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52B7" w14:textId="77777777" w:rsidR="00012E86" w:rsidRPr="00292991" w:rsidRDefault="007520BD" w:rsidP="00292991">
      <w:pPr>
        <w:pStyle w:val="Heading1"/>
      </w:pPr>
      <w:r>
        <w:rPr>
          <w:color w:val="1F497D" w:themeColor="text2"/>
        </w:rPr>
        <w:t>UCL Student Surveys policy</w:t>
      </w:r>
      <w:r w:rsidR="0011302E" w:rsidRPr="008C5E32">
        <w:rPr>
          <w:color w:val="1F497D" w:themeColor="text2"/>
        </w:rPr>
        <w:t xml:space="preserve"> </w:t>
      </w:r>
    </w:p>
    <w:p w14:paraId="672A6659" w14:textId="77777777" w:rsidR="00292991" w:rsidRDefault="00292991" w:rsidP="00B11D50">
      <w:pPr>
        <w:rPr>
          <w:rFonts w:cs="Arial"/>
          <w:b/>
          <w:bCs/>
          <w:color w:val="4F81BD" w:themeColor="accent1"/>
          <w:sz w:val="24"/>
          <w:szCs w:val="24"/>
        </w:rPr>
      </w:pPr>
    </w:p>
    <w:p w14:paraId="5DECFE5C" w14:textId="77777777" w:rsidR="00B11D50" w:rsidRPr="00C629BC" w:rsidRDefault="00012E86" w:rsidP="00B11D50">
      <w:pPr>
        <w:rPr>
          <w:rFonts w:cs="Arial"/>
          <w:b/>
          <w:bCs/>
          <w:color w:val="4F81BD" w:themeColor="accent1"/>
          <w:sz w:val="24"/>
          <w:szCs w:val="24"/>
        </w:rPr>
      </w:pPr>
      <w:r w:rsidRPr="00C629BC">
        <w:rPr>
          <w:rFonts w:cs="Arial"/>
          <w:b/>
          <w:bCs/>
          <w:color w:val="4F81BD" w:themeColor="accent1"/>
          <w:sz w:val="24"/>
          <w:szCs w:val="24"/>
        </w:rPr>
        <w:t>Context</w:t>
      </w:r>
    </w:p>
    <w:p w14:paraId="137CB931" w14:textId="6A70E145" w:rsidR="00AD49A8" w:rsidRDefault="00012E86" w:rsidP="00012E86">
      <w:pPr>
        <w:rPr>
          <w:rFonts w:cs="Arial"/>
        </w:rPr>
      </w:pPr>
      <w:r w:rsidRPr="6DDDE77C">
        <w:rPr>
          <w:rFonts w:cs="Arial"/>
        </w:rPr>
        <w:t xml:space="preserve">UCL uses a variety of </w:t>
      </w:r>
      <w:r w:rsidR="00747890">
        <w:rPr>
          <w:rFonts w:cs="Arial"/>
        </w:rPr>
        <w:t>institutional</w:t>
      </w:r>
      <w:r w:rsidR="00747890" w:rsidRPr="6DDDE77C">
        <w:rPr>
          <w:rFonts w:cs="Arial"/>
        </w:rPr>
        <w:t xml:space="preserve"> </w:t>
      </w:r>
      <w:r w:rsidRPr="6DDDE77C">
        <w:rPr>
          <w:rFonts w:cs="Arial"/>
        </w:rPr>
        <w:t xml:space="preserve">and local surveys to obtain feedback from its students. Whilst some feed into the governance structure, others do not and are used to identify issues within a specific area </w:t>
      </w:r>
      <w:r w:rsidR="00944490" w:rsidRPr="6DDDE77C">
        <w:rPr>
          <w:rFonts w:cs="Arial"/>
        </w:rPr>
        <w:t>(</w:t>
      </w:r>
      <w:r w:rsidRPr="6DDDE77C">
        <w:rPr>
          <w:rFonts w:cs="Arial"/>
        </w:rPr>
        <w:t>e.g. IT provision</w:t>
      </w:r>
      <w:r w:rsidR="00944490" w:rsidRPr="6DDDE77C">
        <w:rPr>
          <w:rFonts w:cs="Arial"/>
        </w:rPr>
        <w:t xml:space="preserve"> or satisfaction with a new Library service)</w:t>
      </w:r>
      <w:r w:rsidRPr="6DDDE77C">
        <w:rPr>
          <w:rFonts w:cs="Arial"/>
        </w:rPr>
        <w:t xml:space="preserve">. </w:t>
      </w:r>
    </w:p>
    <w:p w14:paraId="392CFD71" w14:textId="4845C6FD" w:rsidR="00AD49A8" w:rsidRDefault="00AD49A8" w:rsidP="00012E86">
      <w:pPr>
        <w:rPr>
          <w:rFonts w:cs="Arial"/>
        </w:rPr>
      </w:pPr>
      <w:r w:rsidRPr="6DDDE77C">
        <w:rPr>
          <w:rFonts w:cs="Arial"/>
        </w:rPr>
        <w:t xml:space="preserve">While </w:t>
      </w:r>
      <w:r w:rsidR="00012E86" w:rsidRPr="6DDDE77C">
        <w:rPr>
          <w:rFonts w:cs="Arial"/>
        </w:rPr>
        <w:t>surveys are a</w:t>
      </w:r>
      <w:r w:rsidR="00944490" w:rsidRPr="6DDDE77C">
        <w:rPr>
          <w:rFonts w:cs="Arial"/>
        </w:rPr>
        <w:t>n established</w:t>
      </w:r>
      <w:r w:rsidR="00012E86" w:rsidRPr="6DDDE77C">
        <w:rPr>
          <w:rFonts w:cs="Arial"/>
        </w:rPr>
        <w:t xml:space="preserve"> method of obtaining</w:t>
      </w:r>
      <w:r w:rsidR="00FA76D8" w:rsidRPr="6DDDE77C">
        <w:rPr>
          <w:rFonts w:cs="Arial"/>
        </w:rPr>
        <w:t xml:space="preserve"> mass</w:t>
      </w:r>
      <w:r w:rsidR="00012E86" w:rsidRPr="6DDDE77C">
        <w:rPr>
          <w:rFonts w:cs="Arial"/>
        </w:rPr>
        <w:t xml:space="preserve"> student feedba</w:t>
      </w:r>
      <w:r w:rsidRPr="6DDDE77C">
        <w:rPr>
          <w:rFonts w:cs="Arial"/>
        </w:rPr>
        <w:t xml:space="preserve">ck, in many cases other mechanisms may </w:t>
      </w:r>
      <w:r w:rsidR="25BEE4FD" w:rsidRPr="6DDDE77C">
        <w:rPr>
          <w:rFonts w:cs="Arial"/>
        </w:rPr>
        <w:t xml:space="preserve">be able to </w:t>
      </w:r>
      <w:r w:rsidRPr="6DDDE77C">
        <w:rPr>
          <w:rFonts w:cs="Arial"/>
        </w:rPr>
        <w:t>capture</w:t>
      </w:r>
      <w:r w:rsidR="00944490" w:rsidRPr="6DDDE77C">
        <w:rPr>
          <w:rFonts w:cs="Arial"/>
        </w:rPr>
        <w:t xml:space="preserve"> the most</w:t>
      </w:r>
      <w:r w:rsidR="00FA76D8" w:rsidRPr="6DDDE77C">
        <w:rPr>
          <w:rFonts w:cs="Arial"/>
        </w:rPr>
        <w:t xml:space="preserve"> relevant</w:t>
      </w:r>
      <w:r w:rsidRPr="6DDDE77C">
        <w:rPr>
          <w:rFonts w:cs="Arial"/>
        </w:rPr>
        <w:t xml:space="preserve"> student feedback more effectively.</w:t>
      </w:r>
      <w:r w:rsidR="00FA76D8" w:rsidRPr="6DDDE77C">
        <w:rPr>
          <w:rFonts w:cs="Arial"/>
        </w:rPr>
        <w:t xml:space="preserve">  </w:t>
      </w:r>
      <w:r w:rsidRPr="6DDDE77C">
        <w:rPr>
          <w:rFonts w:cs="Arial"/>
        </w:rPr>
        <w:t xml:space="preserve"> </w:t>
      </w:r>
    </w:p>
    <w:p w14:paraId="6376651A" w14:textId="561B4DD0" w:rsidR="009F7F83" w:rsidRDefault="009F7F83" w:rsidP="6DDDE77C">
      <w:pPr>
        <w:rPr>
          <w:rFonts w:cs="Arial"/>
        </w:rPr>
      </w:pPr>
      <w:r w:rsidRPr="6DDDE77C">
        <w:rPr>
          <w:rFonts w:cs="Arial"/>
        </w:rPr>
        <w:t xml:space="preserve">UCL would like to </w:t>
      </w:r>
      <w:r w:rsidRPr="00D73010">
        <w:rPr>
          <w:rFonts w:cs="Arial"/>
          <w:b/>
        </w:rPr>
        <w:t>avoid</w:t>
      </w:r>
      <w:r w:rsidR="00D73010" w:rsidRPr="00D73010">
        <w:rPr>
          <w:rFonts w:cs="Arial"/>
          <w:b/>
        </w:rPr>
        <w:t xml:space="preserve"> </w:t>
      </w:r>
      <w:r w:rsidRPr="00D73010">
        <w:rPr>
          <w:rFonts w:cs="Arial"/>
          <w:b/>
        </w:rPr>
        <w:t>/</w:t>
      </w:r>
      <w:r w:rsidR="00D73010" w:rsidRPr="00D73010">
        <w:rPr>
          <w:rFonts w:cs="Arial"/>
          <w:b/>
        </w:rPr>
        <w:t xml:space="preserve"> </w:t>
      </w:r>
      <w:r w:rsidRPr="00D73010">
        <w:rPr>
          <w:rFonts w:cs="Arial"/>
          <w:b/>
        </w:rPr>
        <w:t xml:space="preserve">eliminate the </w:t>
      </w:r>
      <w:r w:rsidR="2FDE08D1" w:rsidRPr="00D73010">
        <w:rPr>
          <w:rFonts w:cs="Arial"/>
          <w:b/>
        </w:rPr>
        <w:t xml:space="preserve">potential </w:t>
      </w:r>
      <w:r w:rsidRPr="00D73010">
        <w:rPr>
          <w:rFonts w:cs="Arial"/>
          <w:b/>
        </w:rPr>
        <w:t>situation</w:t>
      </w:r>
      <w:r w:rsidRPr="6DDDE77C">
        <w:rPr>
          <w:rFonts w:cs="Arial"/>
        </w:rPr>
        <w:t xml:space="preserve"> faced by it and other universities where:</w:t>
      </w:r>
    </w:p>
    <w:p w14:paraId="35A3FB72" w14:textId="77777777" w:rsidR="009F7F83" w:rsidRPr="007520BD" w:rsidRDefault="009F7F83" w:rsidP="009F7F83">
      <w:pPr>
        <w:pStyle w:val="ListParagraph"/>
        <w:numPr>
          <w:ilvl w:val="0"/>
          <w:numId w:val="10"/>
        </w:numPr>
        <w:rPr>
          <w:rFonts w:cs="Arial"/>
        </w:rPr>
      </w:pPr>
      <w:r w:rsidRPr="007520BD">
        <w:rPr>
          <w:rFonts w:cs="Arial"/>
        </w:rPr>
        <w:t xml:space="preserve">Students suffer ‘survey fatigue’ i.e. </w:t>
      </w:r>
      <w:r w:rsidR="00095D88" w:rsidRPr="007520BD">
        <w:rPr>
          <w:rFonts w:cs="Arial"/>
        </w:rPr>
        <w:t xml:space="preserve">a lack of proportionality and </w:t>
      </w:r>
      <w:r w:rsidRPr="007520BD">
        <w:rPr>
          <w:rFonts w:cs="Arial"/>
        </w:rPr>
        <w:t>an excess of surveys, and the possibility that the same or similar questions are being asked of the same students more than once, leading to falling response rates;</w:t>
      </w:r>
    </w:p>
    <w:p w14:paraId="73E6B231" w14:textId="77777777" w:rsidR="009F7F83" w:rsidRPr="007520BD" w:rsidRDefault="003F5BD5" w:rsidP="009F7F83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Questionnaires</w:t>
      </w:r>
      <w:r w:rsidR="009F7F83" w:rsidRPr="007520BD">
        <w:rPr>
          <w:rFonts w:cs="Arial"/>
        </w:rPr>
        <w:t xml:space="preserve"> are poorly designed, with poorly worded questions, unlikely to produce good quality information;</w:t>
      </w:r>
      <w:bookmarkStart w:id="0" w:name="_GoBack"/>
      <w:bookmarkEnd w:id="0"/>
    </w:p>
    <w:p w14:paraId="3CF859BA" w14:textId="25EBD853" w:rsidR="009F7F83" w:rsidRPr="007520BD" w:rsidRDefault="009F7F83" w:rsidP="009F7F83">
      <w:pPr>
        <w:pStyle w:val="ListParagraph"/>
        <w:numPr>
          <w:ilvl w:val="0"/>
          <w:numId w:val="10"/>
        </w:numPr>
        <w:rPr>
          <w:rFonts w:cs="Arial"/>
        </w:rPr>
      </w:pPr>
      <w:r w:rsidRPr="6DDDE77C">
        <w:rPr>
          <w:rFonts w:cs="Arial"/>
        </w:rPr>
        <w:t xml:space="preserve">Survey </w:t>
      </w:r>
      <w:r w:rsidR="00F834D0">
        <w:rPr>
          <w:rFonts w:cs="Arial"/>
        </w:rPr>
        <w:t>results are not shared with the appropriate student or staff audiences</w:t>
      </w:r>
      <w:r w:rsidRPr="6DDDE77C">
        <w:rPr>
          <w:rFonts w:cs="Arial"/>
        </w:rPr>
        <w:t>;</w:t>
      </w:r>
    </w:p>
    <w:p w14:paraId="3A890DAE" w14:textId="7D7DF15F" w:rsidR="009F7F83" w:rsidRPr="007520BD" w:rsidRDefault="0F25F523" w:rsidP="009F7F83">
      <w:pPr>
        <w:pStyle w:val="ListParagraph"/>
        <w:numPr>
          <w:ilvl w:val="0"/>
          <w:numId w:val="10"/>
        </w:numPr>
        <w:rPr>
          <w:rFonts w:cs="Arial"/>
        </w:rPr>
      </w:pPr>
      <w:r w:rsidRPr="6DDDE77C">
        <w:rPr>
          <w:rFonts w:cs="Arial"/>
        </w:rPr>
        <w:t>There is often i</w:t>
      </w:r>
      <w:r w:rsidR="00AD49A8" w:rsidRPr="6DDDE77C">
        <w:rPr>
          <w:rFonts w:cs="Arial"/>
        </w:rPr>
        <w:t>nsufficient resource available for analysing and responding to the results, particularly open text comment sections;</w:t>
      </w:r>
    </w:p>
    <w:p w14:paraId="0CA54D8D" w14:textId="3AAF1F09" w:rsidR="007520BD" w:rsidRDefault="009F7F83" w:rsidP="007520BD">
      <w:pPr>
        <w:pStyle w:val="ListParagraph"/>
        <w:numPr>
          <w:ilvl w:val="0"/>
          <w:numId w:val="10"/>
        </w:numPr>
        <w:rPr>
          <w:rFonts w:cs="Arial"/>
        </w:rPr>
      </w:pPr>
      <w:r w:rsidRPr="6DDDE77C">
        <w:rPr>
          <w:rFonts w:cs="Arial"/>
        </w:rPr>
        <w:t xml:space="preserve">Any evidence of feedback to the students about </w:t>
      </w:r>
      <w:r w:rsidR="00D73010">
        <w:rPr>
          <w:rFonts w:cs="Arial"/>
        </w:rPr>
        <w:t>the surveys findings</w:t>
      </w:r>
      <w:r w:rsidRPr="6DDDE77C">
        <w:rPr>
          <w:rFonts w:cs="Arial"/>
        </w:rPr>
        <w:t xml:space="preserve"> and </w:t>
      </w:r>
      <w:r w:rsidR="00D73010">
        <w:rPr>
          <w:rFonts w:cs="Arial"/>
        </w:rPr>
        <w:t>the subsequent</w:t>
      </w:r>
      <w:r w:rsidRPr="6DDDE77C">
        <w:rPr>
          <w:rFonts w:cs="Arial"/>
        </w:rPr>
        <w:t xml:space="preserve"> actions</w:t>
      </w:r>
      <w:r w:rsidR="1FD981C4" w:rsidRPr="6DDDE77C">
        <w:rPr>
          <w:rFonts w:cs="Arial"/>
        </w:rPr>
        <w:t xml:space="preserve"> </w:t>
      </w:r>
      <w:r w:rsidR="00D73010">
        <w:rPr>
          <w:rFonts w:cs="Arial"/>
        </w:rPr>
        <w:t>(</w:t>
      </w:r>
      <w:r w:rsidR="1FD981C4" w:rsidRPr="6DDDE77C">
        <w:rPr>
          <w:rFonts w:cs="Arial"/>
        </w:rPr>
        <w:t>“closing the loop”</w:t>
      </w:r>
      <w:r w:rsidR="00D73010">
        <w:rPr>
          <w:rFonts w:cs="Arial"/>
        </w:rPr>
        <w:t>)</w:t>
      </w:r>
      <w:r w:rsidRPr="6DDDE77C">
        <w:rPr>
          <w:rFonts w:cs="Arial"/>
        </w:rPr>
        <w:t xml:space="preserve"> </w:t>
      </w:r>
      <w:r w:rsidR="00D73010">
        <w:rPr>
          <w:rFonts w:cs="Arial"/>
        </w:rPr>
        <w:t>is</w:t>
      </w:r>
      <w:r w:rsidRPr="6DDDE77C">
        <w:rPr>
          <w:rFonts w:cs="Arial"/>
        </w:rPr>
        <w:t xml:space="preserve"> patchy.</w:t>
      </w:r>
    </w:p>
    <w:p w14:paraId="58909E28" w14:textId="4995DC0D" w:rsidR="00092A0C" w:rsidRPr="00D73010" w:rsidRDefault="00092A0C" w:rsidP="6DDDE77C">
      <w:pPr>
        <w:rPr>
          <w:rFonts w:cs="Arial"/>
        </w:rPr>
      </w:pPr>
      <w:r w:rsidRPr="6DDDE77C">
        <w:rPr>
          <w:rFonts w:cs="Arial"/>
        </w:rPr>
        <w:t xml:space="preserve">Before proposing a new survey, staff should consider alternatives such as </w:t>
      </w:r>
      <w:hyperlink r:id="rId7" w:anchor="Focus%20groups" w:history="1">
        <w:r w:rsidRPr="6DDDE77C">
          <w:rPr>
            <w:rStyle w:val="Hyperlink"/>
            <w:rFonts w:cs="Arial"/>
          </w:rPr>
          <w:t>focus group sessions</w:t>
        </w:r>
      </w:hyperlink>
      <w:r w:rsidRPr="00D73010">
        <w:rPr>
          <w:rFonts w:cs="Arial"/>
        </w:rPr>
        <w:t xml:space="preserve"> </w:t>
      </w:r>
      <w:r w:rsidR="6B644D79" w:rsidRPr="6DDDE77C">
        <w:rPr>
          <w:rFonts w:cs="Arial"/>
        </w:rPr>
        <w:t xml:space="preserve"> asking a question </w:t>
      </w:r>
      <w:hyperlink r:id="rId8" w:history="1">
        <w:r w:rsidR="6B644D79" w:rsidRPr="00747890">
          <w:rPr>
            <w:rStyle w:val="Hyperlink"/>
            <w:rFonts w:cs="Arial"/>
          </w:rPr>
          <w:t>on Unitu</w:t>
        </w:r>
      </w:hyperlink>
      <w:r w:rsidR="6B644D79" w:rsidRPr="6DDDE77C">
        <w:rPr>
          <w:rFonts w:cs="Arial"/>
        </w:rPr>
        <w:t xml:space="preserve"> </w:t>
      </w:r>
      <w:r w:rsidRPr="00D73010">
        <w:rPr>
          <w:rFonts w:cs="Arial"/>
        </w:rPr>
        <w:t xml:space="preserve">or consulting Student Academic Representatives. These activities can help staff gather qualitative feedback, which is often more illuminating than responses to a survey.   </w:t>
      </w:r>
    </w:p>
    <w:p w14:paraId="342C7E60" w14:textId="77777777" w:rsidR="00092A0C" w:rsidRPr="00D73010" w:rsidRDefault="00092A0C" w:rsidP="6DDDE77C">
      <w:pPr>
        <w:rPr>
          <w:rFonts w:cs="Arial"/>
        </w:rPr>
      </w:pPr>
      <w:r>
        <w:rPr>
          <w:rFonts w:cs="Arial"/>
        </w:rPr>
        <w:t xml:space="preserve">The </w:t>
      </w:r>
      <w:hyperlink r:id="rId9" w:anchor="SEPanel" w:history="1">
        <w:r w:rsidRPr="00092A0C">
          <w:rPr>
            <w:rStyle w:val="Hyperlink"/>
            <w:rFonts w:cs="Arial"/>
          </w:rPr>
          <w:t>Student Experience Panel</w:t>
        </w:r>
      </w:hyperlink>
      <w:r>
        <w:rPr>
          <w:rFonts w:cs="Arial"/>
        </w:rPr>
        <w:t xml:space="preserve"> is a helpful resource if </w:t>
      </w:r>
      <w:r w:rsidR="003C2533">
        <w:rPr>
          <w:rFonts w:cs="Arial"/>
        </w:rPr>
        <w:t>you’re trying to find students to give</w:t>
      </w:r>
      <w:r>
        <w:rPr>
          <w:rFonts w:cs="Arial"/>
        </w:rPr>
        <w:t xml:space="preserve"> feedback on a central service or new proposition. This is a community of over 1,000 students who have registered their interest in taking part in feedback activities, and they receive a newsletter offering them feedback opportunities ap</w:t>
      </w:r>
      <w:r w:rsidR="003C2533">
        <w:rPr>
          <w:rFonts w:cs="Arial"/>
        </w:rPr>
        <w:t xml:space="preserve">proximately every six weeks. </w:t>
      </w:r>
      <w:r>
        <w:br/>
      </w:r>
    </w:p>
    <w:p w14:paraId="02758BF0" w14:textId="287BB864" w:rsidR="007520BD" w:rsidRDefault="007520BD" w:rsidP="00D73010">
      <w:pPr>
        <w:rPr>
          <w:rFonts w:eastAsiaTheme="majorEastAsia" w:cs="Arial"/>
          <w:b/>
          <w:bCs/>
          <w:color w:val="4F81BD" w:themeColor="accent1"/>
          <w:sz w:val="24"/>
          <w:szCs w:val="24"/>
        </w:rPr>
      </w:pPr>
      <w:r w:rsidRPr="6DDDE77C">
        <w:rPr>
          <w:rFonts w:eastAsiaTheme="majorEastAsia" w:cs="Arial"/>
          <w:b/>
          <w:bCs/>
          <w:color w:val="4F81BD" w:themeColor="accent1"/>
          <w:sz w:val="24"/>
          <w:szCs w:val="24"/>
        </w:rPr>
        <w:t>Current centrally administered institution-wide surveys at UCL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2132"/>
        <w:gridCol w:w="1775"/>
        <w:gridCol w:w="2286"/>
        <w:gridCol w:w="1721"/>
      </w:tblGrid>
      <w:tr w:rsidR="007520BD" w14:paraId="36A08508" w14:textId="77777777" w:rsidTr="6DDDE77C">
        <w:tc>
          <w:tcPr>
            <w:tcW w:w="1867" w:type="dxa"/>
          </w:tcPr>
          <w:p w14:paraId="401F8812" w14:textId="77777777" w:rsidR="007520BD" w:rsidRPr="007520BD" w:rsidRDefault="007520BD" w:rsidP="007520BD">
            <w:pPr>
              <w:rPr>
                <w:rFonts w:eastAsiaTheme="majorEastAsia" w:cs="Arial"/>
                <w:b/>
                <w:bCs/>
              </w:rPr>
            </w:pPr>
            <w:r w:rsidRPr="007520BD">
              <w:rPr>
                <w:rFonts w:eastAsiaTheme="majorEastAsia" w:cs="Arial"/>
                <w:b/>
                <w:bCs/>
              </w:rPr>
              <w:t>Month</w:t>
            </w:r>
          </w:p>
        </w:tc>
        <w:tc>
          <w:tcPr>
            <w:tcW w:w="2197" w:type="dxa"/>
          </w:tcPr>
          <w:p w14:paraId="0CF8ED5C" w14:textId="77777777" w:rsidR="007520BD" w:rsidRPr="007520BD" w:rsidRDefault="007520BD" w:rsidP="007520BD">
            <w:pPr>
              <w:rPr>
                <w:rFonts w:eastAsiaTheme="majorEastAsia" w:cs="Arial"/>
                <w:b/>
                <w:bCs/>
              </w:rPr>
            </w:pPr>
            <w:r w:rsidRPr="007520BD">
              <w:rPr>
                <w:rFonts w:eastAsiaTheme="majorEastAsia" w:cs="Arial"/>
                <w:b/>
                <w:bCs/>
              </w:rPr>
              <w:t>Survey</w:t>
            </w:r>
          </w:p>
        </w:tc>
        <w:tc>
          <w:tcPr>
            <w:tcW w:w="1823" w:type="dxa"/>
          </w:tcPr>
          <w:p w14:paraId="6F35DBC6" w14:textId="77777777" w:rsidR="007520BD" w:rsidRPr="007520BD" w:rsidRDefault="007520BD" w:rsidP="007520BD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>Frequency</w:t>
            </w:r>
          </w:p>
        </w:tc>
        <w:tc>
          <w:tcPr>
            <w:tcW w:w="2343" w:type="dxa"/>
          </w:tcPr>
          <w:p w14:paraId="6A592DF0" w14:textId="77777777" w:rsidR="007520BD" w:rsidRPr="007520BD" w:rsidRDefault="007520BD" w:rsidP="007520BD">
            <w:pPr>
              <w:rPr>
                <w:rFonts w:eastAsiaTheme="majorEastAsia" w:cs="Arial"/>
                <w:b/>
                <w:bCs/>
              </w:rPr>
            </w:pPr>
            <w:r w:rsidRPr="007520BD">
              <w:rPr>
                <w:rFonts w:eastAsiaTheme="majorEastAsia" w:cs="Arial"/>
                <w:b/>
                <w:bCs/>
              </w:rPr>
              <w:t>Eligible students</w:t>
            </w:r>
          </w:p>
        </w:tc>
        <w:tc>
          <w:tcPr>
            <w:tcW w:w="1732" w:type="dxa"/>
          </w:tcPr>
          <w:p w14:paraId="086867A4" w14:textId="77777777" w:rsidR="007520BD" w:rsidRPr="007520BD" w:rsidRDefault="007520BD" w:rsidP="007520BD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>Administered by</w:t>
            </w:r>
          </w:p>
        </w:tc>
      </w:tr>
      <w:tr w:rsidR="00DF6BDB" w14:paraId="71632F70" w14:textId="77777777" w:rsidTr="6DDDE77C">
        <w:tc>
          <w:tcPr>
            <w:tcW w:w="1867" w:type="dxa"/>
          </w:tcPr>
          <w:p w14:paraId="12E8E3A5" w14:textId="7760B574" w:rsidR="00DF6BDB" w:rsidRPr="007520BD" w:rsidRDefault="00AD49A8" w:rsidP="6DDDE77C">
            <w:pPr>
              <w:rPr>
                <w:rFonts w:eastAsiaTheme="majorEastAsia" w:cs="Arial"/>
              </w:rPr>
            </w:pPr>
            <w:r w:rsidRPr="6DDDE77C">
              <w:rPr>
                <w:rFonts w:eastAsiaTheme="majorEastAsia" w:cs="Arial"/>
              </w:rPr>
              <w:t>October</w:t>
            </w:r>
            <w:r w:rsidR="29FC3079" w:rsidRPr="6DDDE77C">
              <w:rPr>
                <w:rFonts w:eastAsiaTheme="majorEastAsia" w:cs="Arial"/>
              </w:rPr>
              <w:t xml:space="preserve"> to December</w:t>
            </w:r>
          </w:p>
        </w:tc>
        <w:tc>
          <w:tcPr>
            <w:tcW w:w="2197" w:type="dxa"/>
          </w:tcPr>
          <w:p w14:paraId="62F0C3BF" w14:textId="77777777" w:rsidR="00DF6BDB" w:rsidRPr="007520BD" w:rsidRDefault="00C90DBC" w:rsidP="0053110C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New to UCL Survey</w:t>
            </w:r>
          </w:p>
        </w:tc>
        <w:tc>
          <w:tcPr>
            <w:tcW w:w="1823" w:type="dxa"/>
          </w:tcPr>
          <w:p w14:paraId="08EF6AA9" w14:textId="77777777" w:rsidR="00DF6BDB" w:rsidRPr="007520BD" w:rsidRDefault="00DF6BDB" w:rsidP="0053110C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Annual</w:t>
            </w:r>
          </w:p>
        </w:tc>
        <w:tc>
          <w:tcPr>
            <w:tcW w:w="2343" w:type="dxa"/>
          </w:tcPr>
          <w:p w14:paraId="4BAB0D7A" w14:textId="676E4BF7" w:rsidR="00DF6BDB" w:rsidRPr="007520BD" w:rsidRDefault="00AD49A8">
            <w:pPr>
              <w:rPr>
                <w:rFonts w:eastAsiaTheme="majorEastAsia" w:cs="Arial"/>
              </w:rPr>
            </w:pPr>
            <w:r w:rsidRPr="6DDDE77C">
              <w:rPr>
                <w:rFonts w:eastAsiaTheme="majorEastAsia" w:cs="Arial"/>
              </w:rPr>
              <w:t>N</w:t>
            </w:r>
            <w:r w:rsidR="7D9AF0D9" w:rsidRPr="6DDDE77C">
              <w:rPr>
                <w:rFonts w:eastAsiaTheme="majorEastAsia" w:cs="Arial"/>
              </w:rPr>
              <w:t xml:space="preserve">ew </w:t>
            </w:r>
            <w:r w:rsidR="29FC3079" w:rsidRPr="6DDDE77C">
              <w:rPr>
                <w:rFonts w:eastAsiaTheme="majorEastAsia" w:cs="Arial"/>
              </w:rPr>
              <w:t>students</w:t>
            </w:r>
            <w:r w:rsidRPr="6DDDE77C">
              <w:rPr>
                <w:rFonts w:eastAsiaTheme="majorEastAsia" w:cs="Arial"/>
              </w:rPr>
              <w:t xml:space="preserve"> at all levels of study</w:t>
            </w:r>
          </w:p>
        </w:tc>
        <w:tc>
          <w:tcPr>
            <w:tcW w:w="1732" w:type="dxa"/>
          </w:tcPr>
          <w:p w14:paraId="74F3F364" w14:textId="77777777" w:rsidR="00DF6BDB" w:rsidRPr="007520BD" w:rsidRDefault="00DF6BDB" w:rsidP="0053110C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Office of the Vice-Provost (Education and Student Affairs)</w:t>
            </w:r>
          </w:p>
        </w:tc>
      </w:tr>
      <w:tr w:rsidR="00DF6BDB" w14:paraId="55B68316" w14:textId="77777777" w:rsidTr="6DDDE77C">
        <w:tc>
          <w:tcPr>
            <w:tcW w:w="1867" w:type="dxa"/>
          </w:tcPr>
          <w:p w14:paraId="3A89988D" w14:textId="77777777"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January to April</w:t>
            </w:r>
          </w:p>
        </w:tc>
        <w:tc>
          <w:tcPr>
            <w:tcW w:w="2197" w:type="dxa"/>
          </w:tcPr>
          <w:p w14:paraId="15F29A9A" w14:textId="413904A8"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National Student Survey</w:t>
            </w:r>
            <w:r w:rsidR="0053110C">
              <w:rPr>
                <w:rFonts w:eastAsiaTheme="majorEastAsia" w:cs="Arial"/>
              </w:rPr>
              <w:t xml:space="preserve"> (NSS)</w:t>
            </w:r>
          </w:p>
        </w:tc>
        <w:tc>
          <w:tcPr>
            <w:tcW w:w="1823" w:type="dxa"/>
          </w:tcPr>
          <w:p w14:paraId="0DE684A3" w14:textId="77777777" w:rsidR="00DF6BDB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Annual</w:t>
            </w:r>
          </w:p>
        </w:tc>
        <w:tc>
          <w:tcPr>
            <w:tcW w:w="2343" w:type="dxa"/>
          </w:tcPr>
          <w:p w14:paraId="557C9E10" w14:textId="1A49E223"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All final year undergraduates</w:t>
            </w:r>
            <w:r w:rsidR="0053110C">
              <w:rPr>
                <w:rFonts w:eastAsiaTheme="majorEastAsia" w:cs="Arial"/>
              </w:rPr>
              <w:t xml:space="preserve"> (nationwide)</w:t>
            </w:r>
          </w:p>
        </w:tc>
        <w:tc>
          <w:tcPr>
            <w:tcW w:w="1732" w:type="dxa"/>
          </w:tcPr>
          <w:p w14:paraId="49A11B8E" w14:textId="77777777" w:rsidR="00DF6BDB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 xml:space="preserve">Office of the Vice-Provost (Education and </w:t>
            </w:r>
            <w:r>
              <w:rPr>
                <w:rFonts w:eastAsiaTheme="majorEastAsia" w:cs="Arial"/>
              </w:rPr>
              <w:lastRenderedPageBreak/>
              <w:t>Student Affairs)</w:t>
            </w:r>
          </w:p>
        </w:tc>
      </w:tr>
      <w:tr w:rsidR="007B1AF5" w14:paraId="567BEC59" w14:textId="77777777" w:rsidTr="6DDDE77C">
        <w:tc>
          <w:tcPr>
            <w:tcW w:w="1867" w:type="dxa"/>
          </w:tcPr>
          <w:p w14:paraId="4CFD8378" w14:textId="77777777" w:rsidR="007B1AF5" w:rsidRDefault="007B1AF5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lastRenderedPageBreak/>
              <w:t>March to April</w:t>
            </w:r>
          </w:p>
        </w:tc>
        <w:tc>
          <w:tcPr>
            <w:tcW w:w="2197" w:type="dxa"/>
          </w:tcPr>
          <w:p w14:paraId="38CBDB5D" w14:textId="35F6050F" w:rsidR="007B1AF5" w:rsidRDefault="007B1AF5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UCL Student Experience Survey</w:t>
            </w:r>
            <w:r w:rsidR="00747890">
              <w:rPr>
                <w:rFonts w:eastAsiaTheme="majorEastAsia" w:cs="Arial"/>
              </w:rPr>
              <w:t xml:space="preserve"> (SES)</w:t>
            </w:r>
          </w:p>
        </w:tc>
        <w:tc>
          <w:tcPr>
            <w:tcW w:w="1823" w:type="dxa"/>
          </w:tcPr>
          <w:p w14:paraId="07C5C7EA" w14:textId="6C9A6564" w:rsidR="007B1AF5" w:rsidRDefault="1EC14C48">
            <w:pPr>
              <w:rPr>
                <w:rFonts w:eastAsiaTheme="majorEastAsia" w:cs="Arial"/>
              </w:rPr>
            </w:pPr>
            <w:r w:rsidRPr="6DDDE77C">
              <w:rPr>
                <w:rFonts w:eastAsiaTheme="majorEastAsia" w:cs="Arial"/>
              </w:rPr>
              <w:t xml:space="preserve">Annual </w:t>
            </w:r>
            <w:r w:rsidR="03283133" w:rsidRPr="6DDDE77C">
              <w:rPr>
                <w:rFonts w:eastAsiaTheme="majorEastAsia" w:cs="Arial"/>
              </w:rPr>
              <w:t>(*did not run in 2020)</w:t>
            </w:r>
          </w:p>
        </w:tc>
        <w:tc>
          <w:tcPr>
            <w:tcW w:w="2343" w:type="dxa"/>
          </w:tcPr>
          <w:p w14:paraId="73554E7F" w14:textId="6772E83F" w:rsidR="007B1AF5" w:rsidRDefault="00AD49A8" w:rsidP="6DDDE77C">
            <w:pPr>
              <w:rPr>
                <w:rFonts w:eastAsiaTheme="majorEastAsia" w:cs="Arial"/>
              </w:rPr>
            </w:pPr>
            <w:r w:rsidRPr="6DDDE77C">
              <w:rPr>
                <w:rFonts w:eastAsiaTheme="majorEastAsia" w:cs="Arial"/>
              </w:rPr>
              <w:t>All</w:t>
            </w:r>
            <w:r w:rsidR="0053110C">
              <w:rPr>
                <w:rFonts w:eastAsiaTheme="majorEastAsia" w:cs="Arial"/>
              </w:rPr>
              <w:t xml:space="preserve"> UCL</w:t>
            </w:r>
            <w:r w:rsidRPr="6DDDE77C">
              <w:rPr>
                <w:rFonts w:eastAsiaTheme="majorEastAsia" w:cs="Arial"/>
              </w:rPr>
              <w:t xml:space="preserve"> p</w:t>
            </w:r>
            <w:r w:rsidR="1EC14C48" w:rsidRPr="6DDDE77C">
              <w:rPr>
                <w:rFonts w:eastAsiaTheme="majorEastAsia" w:cs="Arial"/>
              </w:rPr>
              <w:t>enultimate year undergraduates</w:t>
            </w:r>
          </w:p>
        </w:tc>
        <w:tc>
          <w:tcPr>
            <w:tcW w:w="1732" w:type="dxa"/>
          </w:tcPr>
          <w:p w14:paraId="75FBBF23" w14:textId="77777777" w:rsidR="007B1AF5" w:rsidRDefault="007B1AF5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Office of the Vice-Provost (Education and Student Affairs)</w:t>
            </w:r>
          </w:p>
        </w:tc>
      </w:tr>
      <w:tr w:rsidR="00DF6BDB" w14:paraId="5125734F" w14:textId="77777777" w:rsidTr="6DDDE77C">
        <w:tc>
          <w:tcPr>
            <w:tcW w:w="1867" w:type="dxa"/>
          </w:tcPr>
          <w:p w14:paraId="09EB3448" w14:textId="77777777" w:rsidR="00E01C95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March to June</w:t>
            </w:r>
          </w:p>
          <w:p w14:paraId="5DAB6C7B" w14:textId="77777777" w:rsidR="00DF6BDB" w:rsidRPr="00E01C95" w:rsidRDefault="00DF6BDB" w:rsidP="00D73010">
            <w:pPr>
              <w:ind w:firstLine="720"/>
              <w:rPr>
                <w:rFonts w:eastAsiaTheme="majorEastAsia" w:cs="Arial"/>
              </w:rPr>
            </w:pPr>
          </w:p>
        </w:tc>
        <w:tc>
          <w:tcPr>
            <w:tcW w:w="2197" w:type="dxa"/>
          </w:tcPr>
          <w:p w14:paraId="224BA167" w14:textId="48C5B1A4"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Postgraduate Taught Experience Survey</w:t>
            </w:r>
            <w:r w:rsidR="00747890">
              <w:rPr>
                <w:rFonts w:eastAsiaTheme="majorEastAsia" w:cs="Arial"/>
              </w:rPr>
              <w:t xml:space="preserve"> (PTES)</w:t>
            </w:r>
          </w:p>
        </w:tc>
        <w:tc>
          <w:tcPr>
            <w:tcW w:w="1823" w:type="dxa"/>
          </w:tcPr>
          <w:p w14:paraId="5B2E2916" w14:textId="77777777"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Annual</w:t>
            </w:r>
          </w:p>
        </w:tc>
        <w:tc>
          <w:tcPr>
            <w:tcW w:w="2343" w:type="dxa"/>
          </w:tcPr>
          <w:p w14:paraId="4ACFA508" w14:textId="77777777"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All postgraduate taught students</w:t>
            </w:r>
          </w:p>
        </w:tc>
        <w:tc>
          <w:tcPr>
            <w:tcW w:w="1732" w:type="dxa"/>
          </w:tcPr>
          <w:p w14:paraId="5B200130" w14:textId="77777777"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Office of the Vice-Provost (Education and Student Affairs)</w:t>
            </w:r>
          </w:p>
        </w:tc>
      </w:tr>
      <w:tr w:rsidR="00DF6BDB" w14:paraId="7E4AA0BB" w14:textId="77777777" w:rsidTr="6DDDE77C">
        <w:tc>
          <w:tcPr>
            <w:tcW w:w="1867" w:type="dxa"/>
          </w:tcPr>
          <w:p w14:paraId="7959E3C5" w14:textId="77777777"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March to June</w:t>
            </w:r>
          </w:p>
        </w:tc>
        <w:tc>
          <w:tcPr>
            <w:tcW w:w="2197" w:type="dxa"/>
          </w:tcPr>
          <w:p w14:paraId="492D1C9C" w14:textId="46180C3F" w:rsidR="00DF6BDB" w:rsidRPr="007520BD" w:rsidRDefault="29FC3079" w:rsidP="6DDDE77C">
            <w:pPr>
              <w:rPr>
                <w:rFonts w:eastAsiaTheme="majorEastAsia" w:cs="Arial"/>
              </w:rPr>
            </w:pPr>
            <w:r w:rsidRPr="6DDDE77C">
              <w:rPr>
                <w:rFonts w:eastAsiaTheme="majorEastAsia" w:cs="Arial"/>
              </w:rPr>
              <w:t>Postgraduate Research Experience Survey</w:t>
            </w:r>
            <w:r w:rsidR="00747890">
              <w:rPr>
                <w:rFonts w:eastAsiaTheme="majorEastAsia" w:cs="Arial"/>
              </w:rPr>
              <w:t xml:space="preserve"> (PRES) </w:t>
            </w:r>
          </w:p>
        </w:tc>
        <w:tc>
          <w:tcPr>
            <w:tcW w:w="1823" w:type="dxa"/>
          </w:tcPr>
          <w:p w14:paraId="02D31180" w14:textId="77777777"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Biennial</w:t>
            </w:r>
          </w:p>
        </w:tc>
        <w:tc>
          <w:tcPr>
            <w:tcW w:w="2343" w:type="dxa"/>
          </w:tcPr>
          <w:p w14:paraId="72FD2325" w14:textId="77777777"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All postgraduate research students</w:t>
            </w:r>
          </w:p>
        </w:tc>
        <w:tc>
          <w:tcPr>
            <w:tcW w:w="1732" w:type="dxa"/>
          </w:tcPr>
          <w:p w14:paraId="70381B40" w14:textId="77777777"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Doctoral School</w:t>
            </w:r>
          </w:p>
        </w:tc>
      </w:tr>
      <w:tr w:rsidR="00DF6BDB" w14:paraId="0983BF7E" w14:textId="77777777" w:rsidTr="6DDDE77C">
        <w:tc>
          <w:tcPr>
            <w:tcW w:w="1867" w:type="dxa"/>
          </w:tcPr>
          <w:p w14:paraId="261E6BE2" w14:textId="3F37EA80" w:rsidR="00DF6BDB" w:rsidRDefault="476A9FA6" w:rsidP="6DDDE77C">
            <w:pPr>
              <w:rPr>
                <w:rFonts w:eastAsiaTheme="majorEastAsia" w:cs="Arial"/>
              </w:rPr>
            </w:pPr>
            <w:r w:rsidRPr="6DDDE77C">
              <w:rPr>
                <w:rFonts w:eastAsiaTheme="majorEastAsia" w:cs="Arial"/>
              </w:rPr>
              <w:t>15</w:t>
            </w:r>
            <w:r w:rsidR="126E636B" w:rsidRPr="6DDDE77C">
              <w:rPr>
                <w:rFonts w:eastAsiaTheme="majorEastAsia" w:cs="Arial"/>
              </w:rPr>
              <w:t xml:space="preserve"> months post graduation</w:t>
            </w:r>
            <w:r w:rsidR="6B510C7D" w:rsidRPr="6DDDE77C">
              <w:rPr>
                <w:rFonts w:eastAsiaTheme="majorEastAsia" w:cs="Arial"/>
              </w:rPr>
              <w:t xml:space="preserve"> (April: postgrads;</w:t>
            </w:r>
            <w:r w:rsidR="6B510C7D">
              <w:t xml:space="preserve"> </w:t>
            </w:r>
            <w:r w:rsidR="6B510C7D" w:rsidRPr="6DDDE77C">
              <w:rPr>
                <w:rFonts w:eastAsiaTheme="majorEastAsia" w:cs="Arial"/>
              </w:rPr>
              <w:t>January: undergrads)</w:t>
            </w:r>
          </w:p>
        </w:tc>
        <w:tc>
          <w:tcPr>
            <w:tcW w:w="2197" w:type="dxa"/>
          </w:tcPr>
          <w:p w14:paraId="0A366162" w14:textId="6B46744F" w:rsidR="00DF6BDB" w:rsidRDefault="027A728B" w:rsidP="6DDDE77C">
            <w:pPr>
              <w:rPr>
                <w:rFonts w:eastAsiaTheme="majorEastAsia" w:cs="Arial"/>
              </w:rPr>
            </w:pPr>
            <w:r w:rsidRPr="6DDDE77C">
              <w:rPr>
                <w:rFonts w:eastAsiaTheme="majorEastAsia" w:cs="Arial"/>
              </w:rPr>
              <w:t>Graduate Outcomes survey</w:t>
            </w:r>
          </w:p>
        </w:tc>
        <w:tc>
          <w:tcPr>
            <w:tcW w:w="1823" w:type="dxa"/>
          </w:tcPr>
          <w:p w14:paraId="56E91A8C" w14:textId="77777777" w:rsidR="00DF6BDB" w:rsidRDefault="00926759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Annual</w:t>
            </w:r>
          </w:p>
        </w:tc>
        <w:tc>
          <w:tcPr>
            <w:tcW w:w="2343" w:type="dxa"/>
          </w:tcPr>
          <w:p w14:paraId="5ACA7583" w14:textId="08E8E4F4" w:rsidR="00DF6BDB" w:rsidRDefault="6B510C7D" w:rsidP="00D73010">
            <w:pPr>
              <w:rPr>
                <w:rFonts w:eastAsiaTheme="majorEastAsia" w:cs="Arial"/>
              </w:rPr>
            </w:pPr>
            <w:r w:rsidRPr="6DDDE77C">
              <w:rPr>
                <w:rFonts w:eastAsiaTheme="majorEastAsia" w:cs="Arial"/>
              </w:rPr>
              <w:t xml:space="preserve">All recently graduated students </w:t>
            </w:r>
            <w:r w:rsidR="0053110C">
              <w:rPr>
                <w:rFonts w:eastAsiaTheme="majorEastAsia" w:cs="Arial"/>
              </w:rPr>
              <w:t>at all levels of study (nationwide)</w:t>
            </w:r>
          </w:p>
        </w:tc>
        <w:tc>
          <w:tcPr>
            <w:tcW w:w="1732" w:type="dxa"/>
          </w:tcPr>
          <w:p w14:paraId="08645A87" w14:textId="77777777" w:rsidR="00DF6BDB" w:rsidRDefault="00926759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UCL Careers</w:t>
            </w:r>
          </w:p>
        </w:tc>
      </w:tr>
    </w:tbl>
    <w:p w14:paraId="02EB378F" w14:textId="77777777" w:rsidR="007520BD" w:rsidRDefault="007520BD" w:rsidP="00620CC5">
      <w:pPr>
        <w:rPr>
          <w:rFonts w:eastAsiaTheme="majorEastAsia" w:cs="Arial"/>
          <w:b/>
          <w:bCs/>
          <w:color w:val="4F81BD" w:themeColor="accent1"/>
          <w:sz w:val="24"/>
          <w:szCs w:val="26"/>
        </w:rPr>
      </w:pPr>
    </w:p>
    <w:p w14:paraId="6A05A809" w14:textId="77777777" w:rsidR="00DF6BDB" w:rsidRPr="00DF6BDB" w:rsidRDefault="00DF6BDB" w:rsidP="00DF6BDB">
      <w:pPr>
        <w:pStyle w:val="HEABullets"/>
        <w:numPr>
          <w:ilvl w:val="0"/>
          <w:numId w:val="0"/>
        </w:numPr>
      </w:pPr>
    </w:p>
    <w:p w14:paraId="0A9E2447" w14:textId="77777777" w:rsidR="005724B3" w:rsidRDefault="007520BD" w:rsidP="00620CC5">
      <w:pPr>
        <w:rPr>
          <w:rFonts w:eastAsiaTheme="majorEastAsia" w:cs="Arial"/>
          <w:b/>
          <w:bCs/>
          <w:color w:val="4F81BD" w:themeColor="accent1"/>
          <w:sz w:val="24"/>
          <w:szCs w:val="26"/>
        </w:rPr>
      </w:pPr>
      <w:r>
        <w:rPr>
          <w:rFonts w:eastAsiaTheme="majorEastAsia" w:cs="Arial"/>
          <w:b/>
          <w:bCs/>
          <w:color w:val="4F81BD" w:themeColor="accent1"/>
          <w:sz w:val="24"/>
          <w:szCs w:val="26"/>
        </w:rPr>
        <w:t>The policy</w:t>
      </w:r>
    </w:p>
    <w:p w14:paraId="70C115C6" w14:textId="500B5D4B" w:rsidR="005724B3" w:rsidRPr="005724B3" w:rsidRDefault="00C86160" w:rsidP="003F5BD5">
      <w:pPr>
        <w:pStyle w:val="ListParagraph"/>
        <w:numPr>
          <w:ilvl w:val="0"/>
          <w:numId w:val="16"/>
        </w:numPr>
        <w:rPr>
          <w:rFonts w:cs="Arial"/>
        </w:rPr>
      </w:pPr>
      <w:r w:rsidRPr="6DDDE77C">
        <w:rPr>
          <w:rFonts w:eastAsiaTheme="majorEastAsia" w:cs="Arial"/>
        </w:rPr>
        <w:t xml:space="preserve">The content and timings </w:t>
      </w:r>
      <w:r w:rsidR="006A3ACE" w:rsidRPr="6DDDE77C">
        <w:rPr>
          <w:rFonts w:eastAsiaTheme="majorEastAsia" w:cs="Arial"/>
        </w:rPr>
        <w:t>of the above surveys are</w:t>
      </w:r>
      <w:r w:rsidRPr="6DDDE77C">
        <w:rPr>
          <w:rFonts w:eastAsiaTheme="majorEastAsia" w:cs="Arial"/>
        </w:rPr>
        <w:t xml:space="preserve"> reviewed on an annual basis</w:t>
      </w:r>
      <w:r w:rsidR="005724B3" w:rsidRPr="6DDDE77C">
        <w:rPr>
          <w:rFonts w:eastAsiaTheme="majorEastAsia" w:cs="Arial"/>
        </w:rPr>
        <w:t xml:space="preserve"> </w:t>
      </w:r>
      <w:r w:rsidR="006A3ACE" w:rsidRPr="6DDDE77C">
        <w:rPr>
          <w:rFonts w:eastAsiaTheme="majorEastAsia" w:cs="Arial"/>
        </w:rPr>
        <w:t xml:space="preserve">by </w:t>
      </w:r>
      <w:r w:rsidR="005724B3" w:rsidRPr="6DDDE77C">
        <w:rPr>
          <w:rFonts w:eastAsiaTheme="majorEastAsia" w:cs="Arial"/>
        </w:rPr>
        <w:t xml:space="preserve">the </w:t>
      </w:r>
      <w:r w:rsidR="003F5BD5" w:rsidRPr="6DDDE77C">
        <w:rPr>
          <w:rFonts w:eastAsiaTheme="majorEastAsia" w:cs="Arial"/>
        </w:rPr>
        <w:t>Vice-Provost (Education and Student Affairs);</w:t>
      </w:r>
    </w:p>
    <w:p w14:paraId="7E2C78C5" w14:textId="77777777" w:rsidR="00B13668" w:rsidRPr="005724B3" w:rsidRDefault="00B13668" w:rsidP="006A3ACE">
      <w:pPr>
        <w:pStyle w:val="ListParagraph"/>
        <w:numPr>
          <w:ilvl w:val="0"/>
          <w:numId w:val="16"/>
        </w:numPr>
        <w:rPr>
          <w:rFonts w:cs="Arial"/>
        </w:rPr>
      </w:pPr>
      <w:r w:rsidRPr="005724B3">
        <w:rPr>
          <w:rFonts w:eastAsiaTheme="majorEastAsia" w:cs="Arial"/>
        </w:rPr>
        <w:t>No institution-wide surveys should take place</w:t>
      </w:r>
      <w:r w:rsidR="006A3ACE">
        <w:rPr>
          <w:rFonts w:eastAsiaTheme="majorEastAsia" w:cs="Arial"/>
        </w:rPr>
        <w:t xml:space="preserve"> at the same time as the NSS, </w:t>
      </w:r>
      <w:r w:rsidR="007C465E">
        <w:rPr>
          <w:rFonts w:eastAsiaTheme="majorEastAsia" w:cs="Arial"/>
        </w:rPr>
        <w:t>New to UCL Survey</w:t>
      </w:r>
      <w:r w:rsidR="0025415D">
        <w:rPr>
          <w:rFonts w:eastAsiaTheme="majorEastAsia" w:cs="Arial"/>
        </w:rPr>
        <w:t xml:space="preserve">, </w:t>
      </w:r>
      <w:r w:rsidR="00DE7CAF">
        <w:rPr>
          <w:rFonts w:eastAsiaTheme="majorEastAsia" w:cs="Arial"/>
        </w:rPr>
        <w:t xml:space="preserve">UCL Student Experience Survey, </w:t>
      </w:r>
      <w:r w:rsidR="0025415D">
        <w:rPr>
          <w:rFonts w:eastAsiaTheme="majorEastAsia" w:cs="Arial"/>
        </w:rPr>
        <w:t>the PTES or the PRES (with the exception of the PTES and PRES which will run concurrently every other year)</w:t>
      </w:r>
      <w:r w:rsidRPr="005724B3">
        <w:rPr>
          <w:rFonts w:eastAsiaTheme="majorEastAsia" w:cs="Arial"/>
        </w:rPr>
        <w:t xml:space="preserve">; </w:t>
      </w:r>
    </w:p>
    <w:p w14:paraId="5226FB8D" w14:textId="69A407A1" w:rsidR="006340DD" w:rsidRPr="006340DD" w:rsidRDefault="006340DD" w:rsidP="006340DD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eastAsiaTheme="majorEastAsia" w:cs="Arial"/>
        </w:rPr>
        <w:t xml:space="preserve">Any additional surveys above Faculty level (e.g. School level, or institution-wide) may </w:t>
      </w:r>
      <w:r w:rsidR="00D37680" w:rsidRPr="005724B3">
        <w:rPr>
          <w:rFonts w:eastAsiaTheme="majorEastAsia" w:cs="Arial"/>
        </w:rPr>
        <w:t xml:space="preserve">only be run if </w:t>
      </w:r>
      <w:r>
        <w:rPr>
          <w:rFonts w:eastAsiaTheme="majorEastAsia" w:cs="Arial"/>
        </w:rPr>
        <w:t>the following can be demonstrated:</w:t>
      </w:r>
    </w:p>
    <w:p w14:paraId="5A39BBE3" w14:textId="77777777" w:rsidR="006340DD" w:rsidRPr="006340DD" w:rsidRDefault="006340DD" w:rsidP="006340DD">
      <w:pPr>
        <w:pStyle w:val="ListParagraph"/>
        <w:rPr>
          <w:rFonts w:cs="Arial"/>
        </w:rPr>
      </w:pPr>
    </w:p>
    <w:p w14:paraId="5F4E66C0" w14:textId="040B271B" w:rsidR="00D37680" w:rsidRDefault="006340DD" w:rsidP="6DDDE77C">
      <w:pPr>
        <w:pStyle w:val="ListParagraph"/>
        <w:numPr>
          <w:ilvl w:val="1"/>
          <w:numId w:val="11"/>
        </w:numPr>
        <w:spacing w:before="200" w:after="0"/>
        <w:outlineLvl w:val="1"/>
        <w:rPr>
          <w:rFonts w:asciiTheme="minorHAnsi" w:hAnsiTheme="minorHAnsi"/>
        </w:rPr>
      </w:pPr>
      <w:r w:rsidRPr="6DDDE77C">
        <w:rPr>
          <w:rFonts w:eastAsiaTheme="majorEastAsia" w:cs="Arial"/>
        </w:rPr>
        <w:t xml:space="preserve">There are no alternative ways of obtaining feedback such as </w:t>
      </w:r>
      <w:r w:rsidR="00D37680" w:rsidRPr="6DDDE77C">
        <w:rPr>
          <w:rFonts w:eastAsiaTheme="majorEastAsia" w:cs="Arial"/>
        </w:rPr>
        <w:t xml:space="preserve">focus groups, exit polls from specific events, </w:t>
      </w:r>
      <w:r w:rsidR="00AD49A8" w:rsidRPr="6DDDE77C">
        <w:rPr>
          <w:rFonts w:eastAsiaTheme="majorEastAsia" w:cs="Arial"/>
        </w:rPr>
        <w:t>online interviews with students</w:t>
      </w:r>
      <w:r w:rsidR="00D37680" w:rsidRPr="6DDDE77C">
        <w:rPr>
          <w:rFonts w:eastAsiaTheme="majorEastAsia" w:cs="Arial"/>
        </w:rPr>
        <w:t xml:space="preserve">, online polls via </w:t>
      </w:r>
      <w:r w:rsidR="2BC9383B" w:rsidRPr="6DDDE77C">
        <w:rPr>
          <w:rFonts w:eastAsiaTheme="majorEastAsia" w:cs="Arial"/>
        </w:rPr>
        <w:t xml:space="preserve">Microsoft Forms; </w:t>
      </w:r>
    </w:p>
    <w:p w14:paraId="3CB40B20" w14:textId="4AEE7BC9" w:rsidR="00D37680" w:rsidRDefault="00D37680" w:rsidP="6DDDE77C">
      <w:pPr>
        <w:pStyle w:val="ListParagraph"/>
        <w:numPr>
          <w:ilvl w:val="1"/>
          <w:numId w:val="11"/>
        </w:numPr>
        <w:spacing w:before="200" w:after="0"/>
        <w:outlineLvl w:val="1"/>
      </w:pPr>
      <w:r w:rsidRPr="6DDDE77C">
        <w:rPr>
          <w:rFonts w:eastAsiaTheme="majorEastAsia" w:cs="Arial"/>
        </w:rPr>
        <w:t>Any new survey is n</w:t>
      </w:r>
      <w:r w:rsidR="00AD49A8" w:rsidRPr="6DDDE77C">
        <w:rPr>
          <w:rFonts w:eastAsiaTheme="majorEastAsia" w:cs="Arial"/>
        </w:rPr>
        <w:t xml:space="preserve">either </w:t>
      </w:r>
      <w:r w:rsidRPr="6DDDE77C">
        <w:rPr>
          <w:rFonts w:eastAsiaTheme="majorEastAsia" w:cs="Arial"/>
        </w:rPr>
        <w:t xml:space="preserve">duplicating questions </w:t>
      </w:r>
      <w:hyperlink r:id="rId10" w:history="1">
        <w:r w:rsidRPr="00747890">
          <w:rPr>
            <w:rStyle w:val="Hyperlink"/>
            <w:rFonts w:eastAsiaTheme="majorEastAsia" w:cs="Arial"/>
          </w:rPr>
          <w:t>from other surveys</w:t>
        </w:r>
      </w:hyperlink>
      <w:r w:rsidR="00620CC5" w:rsidRPr="6DDDE77C">
        <w:rPr>
          <w:rFonts w:eastAsiaTheme="majorEastAsia" w:cs="Arial"/>
        </w:rPr>
        <w:t>,</w:t>
      </w:r>
      <w:r w:rsidRPr="6DDDE77C">
        <w:rPr>
          <w:rFonts w:eastAsiaTheme="majorEastAsia" w:cs="Arial"/>
        </w:rPr>
        <w:t xml:space="preserve"> </w:t>
      </w:r>
      <w:r w:rsidR="00AD49A8" w:rsidRPr="6DDDE77C">
        <w:rPr>
          <w:rFonts w:eastAsiaTheme="majorEastAsia" w:cs="Arial"/>
        </w:rPr>
        <w:t>n</w:t>
      </w:r>
      <w:r w:rsidRPr="6DDDE77C">
        <w:rPr>
          <w:rFonts w:eastAsiaTheme="majorEastAsia" w:cs="Arial"/>
        </w:rPr>
        <w:t>or asking for information which could be gained from other sources e.g. analytics of library borrowing habits;</w:t>
      </w:r>
      <w:commentRangeStart w:id="1"/>
      <w:commentRangeStart w:id="2"/>
      <w:commentRangeEnd w:id="1"/>
      <w:commentRangeEnd w:id="2"/>
    </w:p>
    <w:p w14:paraId="4E6EE9E0" w14:textId="77777777" w:rsidR="00B13668" w:rsidRPr="00D37680" w:rsidRDefault="00B13668" w:rsidP="006340DD">
      <w:pPr>
        <w:pStyle w:val="ListParagraph"/>
        <w:numPr>
          <w:ilvl w:val="1"/>
          <w:numId w:val="11"/>
        </w:numPr>
        <w:rPr>
          <w:rFonts w:eastAsiaTheme="majorEastAsia" w:cs="Arial"/>
        </w:rPr>
      </w:pPr>
      <w:r>
        <w:rPr>
          <w:rFonts w:eastAsiaTheme="majorEastAsia" w:cs="Arial"/>
        </w:rPr>
        <w:t>Any information being sought could not be obtained by the addition of questions to existing UCL-</w:t>
      </w:r>
      <w:r w:rsidR="005724B3">
        <w:rPr>
          <w:rFonts w:eastAsiaTheme="majorEastAsia" w:cs="Arial"/>
        </w:rPr>
        <w:t xml:space="preserve">wide </w:t>
      </w:r>
      <w:r>
        <w:rPr>
          <w:rFonts w:eastAsiaTheme="majorEastAsia" w:cs="Arial"/>
        </w:rPr>
        <w:t>surveys</w:t>
      </w:r>
      <w:r w:rsidR="006340DD">
        <w:rPr>
          <w:rFonts w:eastAsiaTheme="majorEastAsia" w:cs="Arial"/>
        </w:rPr>
        <w:t xml:space="preserve">. Information on how to request this can be found at </w:t>
      </w:r>
      <w:hyperlink r:id="rId11" w:history="1">
        <w:r w:rsidR="006340DD" w:rsidRPr="00CA07BD">
          <w:rPr>
            <w:rStyle w:val="Hyperlink"/>
            <w:rFonts w:eastAsiaTheme="majorEastAsia" w:cs="Arial"/>
          </w:rPr>
          <w:t>www.ucl.ac.uk/studentsurveys</w:t>
        </w:r>
      </w:hyperlink>
      <w:r w:rsidR="006340DD">
        <w:rPr>
          <w:rFonts w:eastAsiaTheme="majorEastAsia" w:cs="Arial"/>
        </w:rPr>
        <w:t xml:space="preserve">; </w:t>
      </w:r>
    </w:p>
    <w:p w14:paraId="56CD6613" w14:textId="77777777" w:rsidR="00D37680" w:rsidRDefault="00D37680" w:rsidP="00D37680">
      <w:pPr>
        <w:pStyle w:val="ListParagraph"/>
        <w:keepNext/>
        <w:numPr>
          <w:ilvl w:val="1"/>
          <w:numId w:val="11"/>
        </w:numPr>
        <w:spacing w:before="200" w:after="0"/>
        <w:outlineLvl w:val="1"/>
        <w:rPr>
          <w:rFonts w:eastAsiaTheme="majorEastAsia" w:cs="Arial"/>
        </w:rPr>
      </w:pPr>
      <w:r>
        <w:rPr>
          <w:rFonts w:eastAsiaTheme="majorEastAsia" w:cs="Arial"/>
        </w:rPr>
        <w:t>Where duplication of questions is identified, those proposing to initiate the surveys aim to consolidate their work, reducing the overall number of surveys</w:t>
      </w:r>
      <w:r w:rsidR="005724B3">
        <w:rPr>
          <w:rFonts w:eastAsiaTheme="majorEastAsia" w:cs="Arial"/>
        </w:rPr>
        <w:t xml:space="preserve"> and increasing response rates</w:t>
      </w:r>
      <w:r>
        <w:rPr>
          <w:rFonts w:eastAsiaTheme="majorEastAsia" w:cs="Arial"/>
        </w:rPr>
        <w:t>;</w:t>
      </w:r>
    </w:p>
    <w:p w14:paraId="32AF332F" w14:textId="3D58A27C" w:rsidR="00AD49A8" w:rsidRDefault="0018115A" w:rsidP="6DDDE77C">
      <w:pPr>
        <w:pStyle w:val="ListParagraph"/>
        <w:numPr>
          <w:ilvl w:val="1"/>
          <w:numId w:val="11"/>
        </w:numPr>
        <w:rPr>
          <w:rFonts w:eastAsiaTheme="majorEastAsia" w:cs="Arial"/>
        </w:rPr>
      </w:pPr>
      <w:r>
        <w:rPr>
          <w:rFonts w:eastAsiaTheme="majorEastAsia" w:cs="Arial"/>
        </w:rPr>
        <w:t>The organisers of any</w:t>
      </w:r>
      <w:r w:rsidRPr="6DDDE77C">
        <w:rPr>
          <w:rFonts w:eastAsiaTheme="majorEastAsia" w:cs="Arial"/>
        </w:rPr>
        <w:t xml:space="preserve"> </w:t>
      </w:r>
      <w:r w:rsidR="00AD49A8" w:rsidRPr="6DDDE77C">
        <w:rPr>
          <w:rFonts w:eastAsiaTheme="majorEastAsia" w:cs="Arial"/>
        </w:rPr>
        <w:t>new</w:t>
      </w:r>
      <w:r w:rsidR="00B13668" w:rsidRPr="6DDDE77C">
        <w:rPr>
          <w:rFonts w:eastAsiaTheme="majorEastAsia" w:cs="Arial"/>
        </w:rPr>
        <w:t xml:space="preserve"> survey must </w:t>
      </w:r>
      <w:r>
        <w:rPr>
          <w:rFonts w:eastAsiaTheme="majorEastAsia" w:cs="Arial"/>
        </w:rPr>
        <w:t xml:space="preserve">have </w:t>
      </w:r>
      <w:r w:rsidR="00B13668" w:rsidRPr="6DDDE77C">
        <w:rPr>
          <w:rFonts w:eastAsiaTheme="majorEastAsia" w:cs="Arial"/>
        </w:rPr>
        <w:t>consider</w:t>
      </w:r>
      <w:r>
        <w:rPr>
          <w:rFonts w:eastAsiaTheme="majorEastAsia" w:cs="Arial"/>
        </w:rPr>
        <w:t>ed</w:t>
      </w:r>
      <w:r w:rsidR="00AD49A8" w:rsidRPr="6DDDE77C">
        <w:rPr>
          <w:rFonts w:eastAsiaTheme="majorEastAsia" w:cs="Arial"/>
        </w:rPr>
        <w:t>:</w:t>
      </w:r>
      <w:r w:rsidR="00B13668" w:rsidRPr="6DDDE77C">
        <w:rPr>
          <w:rFonts w:eastAsiaTheme="majorEastAsia" w:cs="Arial"/>
        </w:rPr>
        <w:t xml:space="preserve"> </w:t>
      </w:r>
    </w:p>
    <w:p w14:paraId="6EE6D203" w14:textId="25475E4F" w:rsidR="00AD49A8" w:rsidRDefault="00AD49A8" w:rsidP="00D73010">
      <w:pPr>
        <w:pStyle w:val="ListParagraph"/>
        <w:numPr>
          <w:ilvl w:val="2"/>
          <w:numId w:val="11"/>
        </w:numPr>
        <w:rPr>
          <w:rFonts w:eastAsiaTheme="majorEastAsia" w:cs="Arial"/>
        </w:rPr>
      </w:pPr>
      <w:r w:rsidRPr="6DDDE77C">
        <w:rPr>
          <w:rFonts w:eastAsiaTheme="majorEastAsia" w:cs="Arial"/>
        </w:rPr>
        <w:t>W</w:t>
      </w:r>
      <w:r w:rsidR="00B13668" w:rsidRPr="6DDDE77C">
        <w:rPr>
          <w:rFonts w:eastAsiaTheme="majorEastAsia" w:cs="Arial"/>
        </w:rPr>
        <w:t>ho it is going to</w:t>
      </w:r>
      <w:r w:rsidRPr="6DDDE77C">
        <w:rPr>
          <w:rFonts w:eastAsiaTheme="majorEastAsia" w:cs="Arial"/>
        </w:rPr>
        <w:t>;</w:t>
      </w:r>
    </w:p>
    <w:p w14:paraId="7EFF0749" w14:textId="72C7F7AF" w:rsidR="00AD49A8" w:rsidRDefault="00AD49A8" w:rsidP="00D73010">
      <w:pPr>
        <w:pStyle w:val="ListParagraph"/>
        <w:numPr>
          <w:ilvl w:val="2"/>
          <w:numId w:val="11"/>
        </w:numPr>
        <w:rPr>
          <w:rFonts w:eastAsiaTheme="majorEastAsia" w:cs="Arial"/>
        </w:rPr>
      </w:pPr>
      <w:r w:rsidRPr="6DDDE77C">
        <w:rPr>
          <w:rFonts w:eastAsiaTheme="majorEastAsia" w:cs="Arial"/>
        </w:rPr>
        <w:t>W</w:t>
      </w:r>
      <w:r w:rsidR="00B13668" w:rsidRPr="6DDDE77C">
        <w:rPr>
          <w:rFonts w:eastAsiaTheme="majorEastAsia" w:cs="Arial"/>
        </w:rPr>
        <w:t>hat questions will be asked</w:t>
      </w:r>
      <w:r w:rsidRPr="6DDDE77C">
        <w:rPr>
          <w:rFonts w:eastAsiaTheme="majorEastAsia" w:cs="Arial"/>
        </w:rPr>
        <w:t>;</w:t>
      </w:r>
    </w:p>
    <w:p w14:paraId="530FD75A" w14:textId="0C5E3795" w:rsidR="00747890" w:rsidRDefault="00AD49A8" w:rsidP="00D73010">
      <w:pPr>
        <w:pStyle w:val="ListParagraph"/>
        <w:numPr>
          <w:ilvl w:val="2"/>
          <w:numId w:val="11"/>
        </w:numPr>
        <w:rPr>
          <w:rFonts w:eastAsiaTheme="majorEastAsia" w:cs="Arial"/>
        </w:rPr>
      </w:pPr>
      <w:r w:rsidRPr="6DDDE77C">
        <w:rPr>
          <w:rFonts w:eastAsiaTheme="majorEastAsia" w:cs="Arial"/>
        </w:rPr>
        <w:t>H</w:t>
      </w:r>
      <w:r w:rsidR="00B13668" w:rsidRPr="6DDDE77C">
        <w:rPr>
          <w:rFonts w:eastAsiaTheme="majorEastAsia" w:cs="Arial"/>
        </w:rPr>
        <w:t>ow the re</w:t>
      </w:r>
      <w:r w:rsidRPr="6DDDE77C">
        <w:rPr>
          <w:rFonts w:eastAsiaTheme="majorEastAsia" w:cs="Arial"/>
        </w:rPr>
        <w:t>sponses will be analysed</w:t>
      </w:r>
      <w:r w:rsidR="00747890">
        <w:rPr>
          <w:rFonts w:eastAsiaTheme="majorEastAsia" w:cs="Arial"/>
        </w:rPr>
        <w:t>;</w:t>
      </w:r>
      <w:r w:rsidRPr="6DDDE77C">
        <w:rPr>
          <w:rFonts w:eastAsiaTheme="majorEastAsia" w:cs="Arial"/>
        </w:rPr>
        <w:t xml:space="preserve"> </w:t>
      </w:r>
    </w:p>
    <w:p w14:paraId="1B71B316" w14:textId="1586FC04" w:rsidR="00AD49A8" w:rsidRDefault="00747890" w:rsidP="00D73010">
      <w:pPr>
        <w:pStyle w:val="ListParagraph"/>
        <w:numPr>
          <w:ilvl w:val="2"/>
          <w:numId w:val="11"/>
        </w:numPr>
        <w:rPr>
          <w:rFonts w:eastAsiaTheme="majorEastAsia" w:cs="Arial"/>
        </w:rPr>
      </w:pPr>
      <w:r>
        <w:rPr>
          <w:rFonts w:eastAsiaTheme="majorEastAsia" w:cs="Arial"/>
        </w:rPr>
        <w:t>H</w:t>
      </w:r>
      <w:r w:rsidR="00AD49A8" w:rsidRPr="6DDDE77C">
        <w:rPr>
          <w:rFonts w:eastAsiaTheme="majorEastAsia" w:cs="Arial"/>
        </w:rPr>
        <w:t>ow the results will be used</w:t>
      </w:r>
      <w:r>
        <w:rPr>
          <w:rFonts w:eastAsiaTheme="majorEastAsia" w:cs="Arial"/>
        </w:rPr>
        <w:t xml:space="preserve"> </w:t>
      </w:r>
      <w:r w:rsidRPr="00D73010">
        <w:rPr>
          <w:rFonts w:eastAsiaTheme="majorEastAsia" w:cs="Arial"/>
          <w:i/>
        </w:rPr>
        <w:t>and</w:t>
      </w:r>
      <w:r>
        <w:rPr>
          <w:rFonts w:eastAsiaTheme="majorEastAsia" w:cs="Arial"/>
        </w:rPr>
        <w:t xml:space="preserve"> where they will be shared</w:t>
      </w:r>
      <w:r w:rsidR="00AD49A8" w:rsidRPr="6DDDE77C">
        <w:rPr>
          <w:rFonts w:eastAsiaTheme="majorEastAsia" w:cs="Arial"/>
        </w:rPr>
        <w:t>;</w:t>
      </w:r>
      <w:r w:rsidR="00B13668" w:rsidRPr="6DDDE77C">
        <w:rPr>
          <w:rFonts w:eastAsiaTheme="majorEastAsia" w:cs="Arial"/>
        </w:rPr>
        <w:t xml:space="preserve"> </w:t>
      </w:r>
    </w:p>
    <w:p w14:paraId="65EE0959" w14:textId="767ED15C" w:rsidR="00B13668" w:rsidRDefault="00AD49A8" w:rsidP="00D73010">
      <w:pPr>
        <w:pStyle w:val="ListParagraph"/>
        <w:numPr>
          <w:ilvl w:val="2"/>
          <w:numId w:val="11"/>
        </w:numPr>
        <w:rPr>
          <w:rFonts w:eastAsiaTheme="majorEastAsia" w:cs="Arial"/>
        </w:rPr>
      </w:pPr>
      <w:r w:rsidRPr="6DDDE77C">
        <w:rPr>
          <w:rFonts w:eastAsiaTheme="majorEastAsia" w:cs="Arial"/>
        </w:rPr>
        <w:lastRenderedPageBreak/>
        <w:t xml:space="preserve">How the </w:t>
      </w:r>
      <w:r w:rsidR="00B13668" w:rsidRPr="6DDDE77C">
        <w:rPr>
          <w:rFonts w:eastAsiaTheme="majorEastAsia" w:cs="Arial"/>
        </w:rPr>
        <w:t xml:space="preserve">surveyor </w:t>
      </w:r>
      <w:r w:rsidRPr="6DDDE77C">
        <w:rPr>
          <w:rFonts w:eastAsiaTheme="majorEastAsia" w:cs="Arial"/>
        </w:rPr>
        <w:t>will</w:t>
      </w:r>
      <w:r w:rsidR="00B13668" w:rsidRPr="6DDDE77C">
        <w:rPr>
          <w:rFonts w:eastAsiaTheme="majorEastAsia" w:cs="Arial"/>
        </w:rPr>
        <w:t xml:space="preserve"> </w:t>
      </w:r>
      <w:r w:rsidRPr="6DDDE77C">
        <w:rPr>
          <w:rFonts w:eastAsiaTheme="majorEastAsia" w:cs="Arial"/>
        </w:rPr>
        <w:t>inform the</w:t>
      </w:r>
      <w:r w:rsidR="006340DD" w:rsidRPr="6DDDE77C">
        <w:rPr>
          <w:rFonts w:eastAsiaTheme="majorEastAsia" w:cs="Arial"/>
        </w:rPr>
        <w:t xml:space="preserve"> student community</w:t>
      </w:r>
      <w:r w:rsidRPr="6DDDE77C">
        <w:rPr>
          <w:rFonts w:eastAsiaTheme="majorEastAsia" w:cs="Arial"/>
        </w:rPr>
        <w:t xml:space="preserve"> of changes implemented in response to the survey’s findings</w:t>
      </w:r>
      <w:r w:rsidR="006340DD" w:rsidRPr="6DDDE77C">
        <w:rPr>
          <w:rFonts w:eastAsiaTheme="majorEastAsia" w:cs="Arial"/>
        </w:rPr>
        <w:t>.</w:t>
      </w:r>
    </w:p>
    <w:p w14:paraId="41C8F396" w14:textId="77777777" w:rsidR="006340DD" w:rsidRDefault="006340DD" w:rsidP="006340DD">
      <w:pPr>
        <w:pStyle w:val="ListParagraph"/>
        <w:ind w:left="1440"/>
        <w:rPr>
          <w:rFonts w:eastAsiaTheme="majorEastAsia" w:cs="Arial"/>
        </w:rPr>
      </w:pPr>
    </w:p>
    <w:p w14:paraId="2B6E47A5" w14:textId="55D230A5" w:rsidR="00EB12B7" w:rsidRPr="006340DD" w:rsidRDefault="006340DD" w:rsidP="6DDDE77C">
      <w:pPr>
        <w:pStyle w:val="ListParagraph"/>
        <w:numPr>
          <w:ilvl w:val="0"/>
          <w:numId w:val="16"/>
        </w:numPr>
        <w:rPr>
          <w:rFonts w:eastAsiaTheme="majorEastAsia" w:cs="Arial"/>
        </w:rPr>
      </w:pPr>
      <w:r w:rsidRPr="6DDDE77C">
        <w:rPr>
          <w:rFonts w:eastAsiaTheme="majorEastAsia" w:cs="Arial"/>
        </w:rPr>
        <w:t>In addition, a</w:t>
      </w:r>
      <w:r w:rsidR="00EB12B7" w:rsidRPr="6DDDE77C">
        <w:rPr>
          <w:rFonts w:eastAsiaTheme="majorEastAsia" w:cs="Arial"/>
        </w:rPr>
        <w:t>ll such surveys must be registered with the Office of the Vice-Provost (Education and Student Affairs)</w:t>
      </w:r>
      <w:r w:rsidRPr="6DDDE77C">
        <w:rPr>
          <w:rFonts w:eastAsiaTheme="majorEastAsia" w:cs="Arial"/>
        </w:rPr>
        <w:t xml:space="preserve"> via </w:t>
      </w:r>
      <w:hyperlink r:id="rId12" w:history="1">
        <w:r w:rsidR="00AD49A8" w:rsidRPr="6DDDE77C">
          <w:rPr>
            <w:rStyle w:val="Hyperlink"/>
            <w:rFonts w:eastAsiaTheme="majorEastAsia" w:cs="Arial"/>
          </w:rPr>
          <w:t>student.engagement@ucl.ac.uk</w:t>
        </w:r>
      </w:hyperlink>
      <w:r w:rsidR="00AD49A8" w:rsidRPr="6DDDE77C">
        <w:rPr>
          <w:rFonts w:eastAsiaTheme="majorEastAsia" w:cs="Arial"/>
        </w:rPr>
        <w:t>.</w:t>
      </w:r>
    </w:p>
    <w:p w14:paraId="72A3D3EC" w14:textId="77777777" w:rsidR="005724B3" w:rsidRDefault="005724B3" w:rsidP="005724B3">
      <w:pPr>
        <w:pStyle w:val="ListParagraph"/>
        <w:ind w:left="1440"/>
        <w:rPr>
          <w:rFonts w:eastAsiaTheme="majorEastAsia" w:cs="Arial"/>
        </w:rPr>
      </w:pPr>
    </w:p>
    <w:p w14:paraId="0E27B00A" w14:textId="6DB7F8D6" w:rsidR="00D37680" w:rsidRPr="00D73010" w:rsidRDefault="00B13668" w:rsidP="6DDDE77C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6DDDE77C">
        <w:rPr>
          <w:rFonts w:eastAsiaTheme="majorEastAsia" w:cs="Arial"/>
        </w:rPr>
        <w:t xml:space="preserve">Ownership of the </w:t>
      </w:r>
      <w:r w:rsidR="00620CC5" w:rsidRPr="6DDDE77C">
        <w:rPr>
          <w:rFonts w:eastAsiaTheme="majorEastAsia" w:cs="Arial"/>
        </w:rPr>
        <w:t>policy</w:t>
      </w:r>
      <w:r w:rsidR="00EB12B7" w:rsidRPr="6DDDE77C">
        <w:rPr>
          <w:rFonts w:eastAsiaTheme="majorEastAsia" w:cs="Arial"/>
        </w:rPr>
        <w:t xml:space="preserve"> </w:t>
      </w:r>
      <w:r w:rsidRPr="6DDDE77C">
        <w:rPr>
          <w:rFonts w:eastAsiaTheme="majorEastAsia" w:cs="Arial"/>
        </w:rPr>
        <w:t xml:space="preserve">will sit with the Office of the Vice-Provost </w:t>
      </w:r>
      <w:r w:rsidR="003F5BD5" w:rsidRPr="6DDDE77C">
        <w:rPr>
          <w:rFonts w:eastAsiaTheme="majorEastAsia" w:cs="Arial"/>
        </w:rPr>
        <w:t>(Education and Student Affairs).</w:t>
      </w:r>
    </w:p>
    <w:p w14:paraId="60061E4C" w14:textId="77777777" w:rsidR="00D37680" w:rsidRPr="00B13668" w:rsidRDefault="00D37680" w:rsidP="00B13668">
      <w:pPr>
        <w:keepNext/>
        <w:spacing w:before="200" w:after="0"/>
        <w:outlineLvl w:val="1"/>
        <w:rPr>
          <w:rFonts w:eastAsiaTheme="majorEastAsia" w:cs="Arial"/>
        </w:rPr>
      </w:pPr>
    </w:p>
    <w:p w14:paraId="44EAFD9C" w14:textId="77777777" w:rsidR="00C86160" w:rsidRPr="00B13668" w:rsidRDefault="00C86160" w:rsidP="00B13668">
      <w:pPr>
        <w:keepNext/>
        <w:spacing w:before="200" w:after="0"/>
        <w:outlineLvl w:val="1"/>
        <w:rPr>
          <w:rFonts w:eastAsiaTheme="majorEastAsia" w:cs="Arial"/>
        </w:rPr>
      </w:pPr>
    </w:p>
    <w:p w14:paraId="4B94D5A5" w14:textId="77777777" w:rsidR="009F7F83" w:rsidRPr="00E31E1B" w:rsidRDefault="009F7F83" w:rsidP="00F06B8D"/>
    <w:sectPr w:rsidR="009F7F83" w:rsidRPr="00E31E1B" w:rsidSect="00E034EF">
      <w:headerReference w:type="default" r:id="rId13"/>
      <w:footerReference w:type="default" r:id="rId14"/>
      <w:headerReference w:type="first" r:id="rId15"/>
      <w:pgSz w:w="11906" w:h="16838"/>
      <w:pgMar w:top="1215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8E548E" w:rsidRDefault="008E548E" w:rsidP="008E548E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8E548E" w:rsidRDefault="008E548E" w:rsidP="008E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3419" w14:textId="77777777" w:rsidR="00E01C95" w:rsidRDefault="00E01C95">
    <w:pPr>
      <w:pStyle w:val="Footer"/>
    </w:pP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8E548E" w:rsidRDefault="008E548E" w:rsidP="008E548E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8E548E" w:rsidRDefault="008E548E" w:rsidP="008E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042EB2" w:rsidRDefault="00042EB2" w:rsidP="0011302E">
    <w:pPr>
      <w:pStyle w:val="Header"/>
      <w:jc w:val="right"/>
      <w:rPr>
        <w:noProof/>
      </w:rPr>
    </w:pPr>
  </w:p>
  <w:p w14:paraId="3656B9AB" w14:textId="77777777" w:rsidR="0011302E" w:rsidRDefault="0011302E" w:rsidP="0011302E">
    <w:pPr>
      <w:pStyle w:val="Header"/>
      <w:jc w:val="right"/>
    </w:pPr>
  </w:p>
  <w:p w14:paraId="45FB0818" w14:textId="77777777" w:rsidR="00042EB2" w:rsidRDefault="00042EB2" w:rsidP="0011302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042EB2" w:rsidRDefault="00042EB2" w:rsidP="00042E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F40D43" wp14:editId="45ADAF03">
          <wp:extent cx="2278403" cy="6667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-logo.jpg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6" t="30946" r="7010" b="31409"/>
                  <a:stretch/>
                </pic:blipFill>
                <pic:spPr bwMode="auto">
                  <a:xfrm>
                    <a:off x="0" y="0"/>
                    <a:ext cx="2278403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7AD"/>
    <w:multiLevelType w:val="hybridMultilevel"/>
    <w:tmpl w:val="A1EC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67E"/>
    <w:multiLevelType w:val="hybridMultilevel"/>
    <w:tmpl w:val="2BA6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35A"/>
    <w:multiLevelType w:val="hybridMultilevel"/>
    <w:tmpl w:val="4C14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3C19"/>
    <w:multiLevelType w:val="hybridMultilevel"/>
    <w:tmpl w:val="71C63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05BE9"/>
    <w:multiLevelType w:val="hybridMultilevel"/>
    <w:tmpl w:val="8F2C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C6389"/>
    <w:multiLevelType w:val="hybridMultilevel"/>
    <w:tmpl w:val="A0E2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349E1"/>
    <w:multiLevelType w:val="hybridMultilevel"/>
    <w:tmpl w:val="DC04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2F8"/>
    <w:multiLevelType w:val="hybridMultilevel"/>
    <w:tmpl w:val="AD3A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4EEF"/>
    <w:multiLevelType w:val="hybridMultilevel"/>
    <w:tmpl w:val="F86C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5935"/>
    <w:multiLevelType w:val="hybridMultilevel"/>
    <w:tmpl w:val="2BF253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93E3E"/>
    <w:multiLevelType w:val="hybridMultilevel"/>
    <w:tmpl w:val="788279DA"/>
    <w:lvl w:ilvl="0" w:tplc="468E2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5358"/>
    <w:multiLevelType w:val="hybridMultilevel"/>
    <w:tmpl w:val="1984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33B67"/>
    <w:multiLevelType w:val="hybridMultilevel"/>
    <w:tmpl w:val="5B00816A"/>
    <w:lvl w:ilvl="0" w:tplc="493CDD72">
      <w:start w:val="1"/>
      <w:numFmt w:val="bullet"/>
      <w:pStyle w:val="HEABullets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36125"/>
    <w:multiLevelType w:val="hybridMultilevel"/>
    <w:tmpl w:val="4C7C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7401C"/>
    <w:multiLevelType w:val="hybridMultilevel"/>
    <w:tmpl w:val="789A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E11F6"/>
    <w:multiLevelType w:val="hybridMultilevel"/>
    <w:tmpl w:val="7602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086A"/>
    <w:multiLevelType w:val="hybridMultilevel"/>
    <w:tmpl w:val="F57C3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6817"/>
    <w:multiLevelType w:val="hybridMultilevel"/>
    <w:tmpl w:val="12489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C0"/>
    <w:rsid w:val="00003217"/>
    <w:rsid w:val="00012E86"/>
    <w:rsid w:val="00020EF9"/>
    <w:rsid w:val="00022C53"/>
    <w:rsid w:val="00040B68"/>
    <w:rsid w:val="00042EB2"/>
    <w:rsid w:val="00072DAB"/>
    <w:rsid w:val="00076E58"/>
    <w:rsid w:val="00092A0C"/>
    <w:rsid w:val="00094DC2"/>
    <w:rsid w:val="00095C1C"/>
    <w:rsid w:val="00095D88"/>
    <w:rsid w:val="000A386B"/>
    <w:rsid w:val="000A6272"/>
    <w:rsid w:val="000B31F6"/>
    <w:rsid w:val="000D1505"/>
    <w:rsid w:val="000D1E71"/>
    <w:rsid w:val="000E5C15"/>
    <w:rsid w:val="000F249E"/>
    <w:rsid w:val="00105ECF"/>
    <w:rsid w:val="00111CA7"/>
    <w:rsid w:val="0011302E"/>
    <w:rsid w:val="00114391"/>
    <w:rsid w:val="001153EC"/>
    <w:rsid w:val="00116FB0"/>
    <w:rsid w:val="00136894"/>
    <w:rsid w:val="00142355"/>
    <w:rsid w:val="0015212E"/>
    <w:rsid w:val="00162A6E"/>
    <w:rsid w:val="00170694"/>
    <w:rsid w:val="00171012"/>
    <w:rsid w:val="00180B1E"/>
    <w:rsid w:val="0018115A"/>
    <w:rsid w:val="0018186B"/>
    <w:rsid w:val="0018420F"/>
    <w:rsid w:val="00184478"/>
    <w:rsid w:val="00194312"/>
    <w:rsid w:val="001A58DF"/>
    <w:rsid w:val="001B50DF"/>
    <w:rsid w:val="001D0714"/>
    <w:rsid w:val="001D3D6C"/>
    <w:rsid w:val="001D5B81"/>
    <w:rsid w:val="001D5FA6"/>
    <w:rsid w:val="001E0D5E"/>
    <w:rsid w:val="001F64AE"/>
    <w:rsid w:val="00201BED"/>
    <w:rsid w:val="00212BC3"/>
    <w:rsid w:val="0021329E"/>
    <w:rsid w:val="00221B47"/>
    <w:rsid w:val="00232D98"/>
    <w:rsid w:val="00234CD2"/>
    <w:rsid w:val="00241667"/>
    <w:rsid w:val="0025415D"/>
    <w:rsid w:val="00265898"/>
    <w:rsid w:val="00277CC1"/>
    <w:rsid w:val="00292991"/>
    <w:rsid w:val="00297669"/>
    <w:rsid w:val="002B0921"/>
    <w:rsid w:val="002C3568"/>
    <w:rsid w:val="002C5B13"/>
    <w:rsid w:val="002D0823"/>
    <w:rsid w:val="002D12A9"/>
    <w:rsid w:val="002D24FE"/>
    <w:rsid w:val="002D4275"/>
    <w:rsid w:val="002D43BD"/>
    <w:rsid w:val="002D563B"/>
    <w:rsid w:val="002E7C2A"/>
    <w:rsid w:val="003010AD"/>
    <w:rsid w:val="00304E71"/>
    <w:rsid w:val="00321617"/>
    <w:rsid w:val="0036282E"/>
    <w:rsid w:val="0036555B"/>
    <w:rsid w:val="0036573E"/>
    <w:rsid w:val="00390FE6"/>
    <w:rsid w:val="003A379C"/>
    <w:rsid w:val="003B02B6"/>
    <w:rsid w:val="003C2533"/>
    <w:rsid w:val="003D01B2"/>
    <w:rsid w:val="003E7013"/>
    <w:rsid w:val="003F5BD5"/>
    <w:rsid w:val="0040698A"/>
    <w:rsid w:val="004132EE"/>
    <w:rsid w:val="00423458"/>
    <w:rsid w:val="00426E79"/>
    <w:rsid w:val="0042744B"/>
    <w:rsid w:val="004322D1"/>
    <w:rsid w:val="00435D1D"/>
    <w:rsid w:val="00461D33"/>
    <w:rsid w:val="00476153"/>
    <w:rsid w:val="00497CD2"/>
    <w:rsid w:val="004A26B4"/>
    <w:rsid w:val="004A5B87"/>
    <w:rsid w:val="004B6E77"/>
    <w:rsid w:val="004B7BF2"/>
    <w:rsid w:val="004E6BE9"/>
    <w:rsid w:val="004E719E"/>
    <w:rsid w:val="005002FA"/>
    <w:rsid w:val="0050197F"/>
    <w:rsid w:val="00511FA5"/>
    <w:rsid w:val="0053110C"/>
    <w:rsid w:val="0054472C"/>
    <w:rsid w:val="0054698C"/>
    <w:rsid w:val="00547B23"/>
    <w:rsid w:val="00547D28"/>
    <w:rsid w:val="005603D7"/>
    <w:rsid w:val="00567075"/>
    <w:rsid w:val="0056770B"/>
    <w:rsid w:val="005724B3"/>
    <w:rsid w:val="005730A1"/>
    <w:rsid w:val="005868AE"/>
    <w:rsid w:val="005C72EF"/>
    <w:rsid w:val="005D1EE4"/>
    <w:rsid w:val="005E37BE"/>
    <w:rsid w:val="005E6439"/>
    <w:rsid w:val="0060529E"/>
    <w:rsid w:val="00620CC5"/>
    <w:rsid w:val="00620DAF"/>
    <w:rsid w:val="00622211"/>
    <w:rsid w:val="00630421"/>
    <w:rsid w:val="006340DD"/>
    <w:rsid w:val="0064092E"/>
    <w:rsid w:val="006409DF"/>
    <w:rsid w:val="0064688C"/>
    <w:rsid w:val="00655EB6"/>
    <w:rsid w:val="00656442"/>
    <w:rsid w:val="006705BB"/>
    <w:rsid w:val="00670D5C"/>
    <w:rsid w:val="00697239"/>
    <w:rsid w:val="006A3ACE"/>
    <w:rsid w:val="006B51EB"/>
    <w:rsid w:val="006C057D"/>
    <w:rsid w:val="006C5318"/>
    <w:rsid w:val="006D29B0"/>
    <w:rsid w:val="00701E02"/>
    <w:rsid w:val="00706D31"/>
    <w:rsid w:val="007235C0"/>
    <w:rsid w:val="007241A8"/>
    <w:rsid w:val="00724313"/>
    <w:rsid w:val="00726412"/>
    <w:rsid w:val="00727AE8"/>
    <w:rsid w:val="007310D7"/>
    <w:rsid w:val="0073618A"/>
    <w:rsid w:val="0074705A"/>
    <w:rsid w:val="00747890"/>
    <w:rsid w:val="007520BD"/>
    <w:rsid w:val="0075456B"/>
    <w:rsid w:val="00784144"/>
    <w:rsid w:val="007A2D0A"/>
    <w:rsid w:val="007B1AF5"/>
    <w:rsid w:val="007C3CEF"/>
    <w:rsid w:val="007C465E"/>
    <w:rsid w:val="007E184A"/>
    <w:rsid w:val="007F1D1C"/>
    <w:rsid w:val="007F5E9E"/>
    <w:rsid w:val="0081123E"/>
    <w:rsid w:val="00831AD1"/>
    <w:rsid w:val="00846A42"/>
    <w:rsid w:val="00853D0B"/>
    <w:rsid w:val="00860186"/>
    <w:rsid w:val="00866405"/>
    <w:rsid w:val="00880A29"/>
    <w:rsid w:val="00882DCC"/>
    <w:rsid w:val="00884D16"/>
    <w:rsid w:val="00896333"/>
    <w:rsid w:val="008A4D29"/>
    <w:rsid w:val="008B4AD4"/>
    <w:rsid w:val="008B4CED"/>
    <w:rsid w:val="008C1EC4"/>
    <w:rsid w:val="008C5E32"/>
    <w:rsid w:val="008E548E"/>
    <w:rsid w:val="008F0ABF"/>
    <w:rsid w:val="008F3A63"/>
    <w:rsid w:val="00913389"/>
    <w:rsid w:val="00916DCB"/>
    <w:rsid w:val="00924783"/>
    <w:rsid w:val="00926759"/>
    <w:rsid w:val="00944490"/>
    <w:rsid w:val="00962CCE"/>
    <w:rsid w:val="009651BC"/>
    <w:rsid w:val="009675E9"/>
    <w:rsid w:val="00970249"/>
    <w:rsid w:val="009705B4"/>
    <w:rsid w:val="00971F94"/>
    <w:rsid w:val="00975BCA"/>
    <w:rsid w:val="00994C7C"/>
    <w:rsid w:val="009A09C1"/>
    <w:rsid w:val="009A0E24"/>
    <w:rsid w:val="009A4C3C"/>
    <w:rsid w:val="009D7659"/>
    <w:rsid w:val="009E070C"/>
    <w:rsid w:val="009F7F83"/>
    <w:rsid w:val="00A025E8"/>
    <w:rsid w:val="00A116B2"/>
    <w:rsid w:val="00A135F0"/>
    <w:rsid w:val="00A17F4F"/>
    <w:rsid w:val="00A33AC1"/>
    <w:rsid w:val="00A426FC"/>
    <w:rsid w:val="00A44617"/>
    <w:rsid w:val="00A46E4D"/>
    <w:rsid w:val="00A47374"/>
    <w:rsid w:val="00A72F99"/>
    <w:rsid w:val="00A7653B"/>
    <w:rsid w:val="00A8467A"/>
    <w:rsid w:val="00A912BB"/>
    <w:rsid w:val="00A918DB"/>
    <w:rsid w:val="00A97DF6"/>
    <w:rsid w:val="00AA14C8"/>
    <w:rsid w:val="00AA474B"/>
    <w:rsid w:val="00AA617D"/>
    <w:rsid w:val="00AB18B9"/>
    <w:rsid w:val="00AC5C1C"/>
    <w:rsid w:val="00AD441A"/>
    <w:rsid w:val="00AD49A8"/>
    <w:rsid w:val="00AE006A"/>
    <w:rsid w:val="00AE20D4"/>
    <w:rsid w:val="00AF0323"/>
    <w:rsid w:val="00AF17D4"/>
    <w:rsid w:val="00B00099"/>
    <w:rsid w:val="00B11D50"/>
    <w:rsid w:val="00B12066"/>
    <w:rsid w:val="00B12CD7"/>
    <w:rsid w:val="00B13668"/>
    <w:rsid w:val="00B17E52"/>
    <w:rsid w:val="00B301AD"/>
    <w:rsid w:val="00B367EB"/>
    <w:rsid w:val="00B36AFC"/>
    <w:rsid w:val="00B52AA7"/>
    <w:rsid w:val="00B560A7"/>
    <w:rsid w:val="00B70370"/>
    <w:rsid w:val="00B74797"/>
    <w:rsid w:val="00B77C01"/>
    <w:rsid w:val="00B81296"/>
    <w:rsid w:val="00B814CA"/>
    <w:rsid w:val="00B835AF"/>
    <w:rsid w:val="00B846E7"/>
    <w:rsid w:val="00B90BBC"/>
    <w:rsid w:val="00B930C6"/>
    <w:rsid w:val="00B93209"/>
    <w:rsid w:val="00B943A1"/>
    <w:rsid w:val="00B94A24"/>
    <w:rsid w:val="00BE20DE"/>
    <w:rsid w:val="00BE520D"/>
    <w:rsid w:val="00BF7AA7"/>
    <w:rsid w:val="00C07BD5"/>
    <w:rsid w:val="00C15380"/>
    <w:rsid w:val="00C26B58"/>
    <w:rsid w:val="00C36C98"/>
    <w:rsid w:val="00C43884"/>
    <w:rsid w:val="00C45871"/>
    <w:rsid w:val="00C629BC"/>
    <w:rsid w:val="00C77517"/>
    <w:rsid w:val="00C821BB"/>
    <w:rsid w:val="00C85E97"/>
    <w:rsid w:val="00C86160"/>
    <w:rsid w:val="00C90DBC"/>
    <w:rsid w:val="00CC299F"/>
    <w:rsid w:val="00CC4B7F"/>
    <w:rsid w:val="00CC57C4"/>
    <w:rsid w:val="00CD387D"/>
    <w:rsid w:val="00CE24F8"/>
    <w:rsid w:val="00CE5839"/>
    <w:rsid w:val="00CF1C04"/>
    <w:rsid w:val="00CF1CEF"/>
    <w:rsid w:val="00CF3A30"/>
    <w:rsid w:val="00CF567A"/>
    <w:rsid w:val="00D03CDB"/>
    <w:rsid w:val="00D1787A"/>
    <w:rsid w:val="00D17DC0"/>
    <w:rsid w:val="00D3509E"/>
    <w:rsid w:val="00D360DE"/>
    <w:rsid w:val="00D37680"/>
    <w:rsid w:val="00D379FD"/>
    <w:rsid w:val="00D45714"/>
    <w:rsid w:val="00D46CC1"/>
    <w:rsid w:val="00D475D8"/>
    <w:rsid w:val="00D526AA"/>
    <w:rsid w:val="00D54559"/>
    <w:rsid w:val="00D60E96"/>
    <w:rsid w:val="00D63970"/>
    <w:rsid w:val="00D7230B"/>
    <w:rsid w:val="00D73010"/>
    <w:rsid w:val="00D85CCA"/>
    <w:rsid w:val="00D93791"/>
    <w:rsid w:val="00D95AE7"/>
    <w:rsid w:val="00DC4A7F"/>
    <w:rsid w:val="00DD52C9"/>
    <w:rsid w:val="00DE2216"/>
    <w:rsid w:val="00DE7CAF"/>
    <w:rsid w:val="00DF03A7"/>
    <w:rsid w:val="00DF04EB"/>
    <w:rsid w:val="00DF2AE7"/>
    <w:rsid w:val="00DF4A1A"/>
    <w:rsid w:val="00DF6BDB"/>
    <w:rsid w:val="00E01C95"/>
    <w:rsid w:val="00E034EF"/>
    <w:rsid w:val="00E0526B"/>
    <w:rsid w:val="00E31E1B"/>
    <w:rsid w:val="00E375D7"/>
    <w:rsid w:val="00E4198D"/>
    <w:rsid w:val="00E434DC"/>
    <w:rsid w:val="00E81FE1"/>
    <w:rsid w:val="00E83F91"/>
    <w:rsid w:val="00E846DE"/>
    <w:rsid w:val="00E85C88"/>
    <w:rsid w:val="00E85E38"/>
    <w:rsid w:val="00E87FD8"/>
    <w:rsid w:val="00E9268C"/>
    <w:rsid w:val="00E96502"/>
    <w:rsid w:val="00EB12B7"/>
    <w:rsid w:val="00EC2D54"/>
    <w:rsid w:val="00ED28F1"/>
    <w:rsid w:val="00ED376C"/>
    <w:rsid w:val="00ED3FFB"/>
    <w:rsid w:val="00EE1255"/>
    <w:rsid w:val="00EE54A3"/>
    <w:rsid w:val="00F039F1"/>
    <w:rsid w:val="00F06A73"/>
    <w:rsid w:val="00F06B8D"/>
    <w:rsid w:val="00F163CC"/>
    <w:rsid w:val="00F225DD"/>
    <w:rsid w:val="00F22605"/>
    <w:rsid w:val="00F25F76"/>
    <w:rsid w:val="00F32F75"/>
    <w:rsid w:val="00F469FB"/>
    <w:rsid w:val="00F51C63"/>
    <w:rsid w:val="00F61AB3"/>
    <w:rsid w:val="00F653AA"/>
    <w:rsid w:val="00F76862"/>
    <w:rsid w:val="00F8112A"/>
    <w:rsid w:val="00F811EB"/>
    <w:rsid w:val="00F834D0"/>
    <w:rsid w:val="00F907DB"/>
    <w:rsid w:val="00F92916"/>
    <w:rsid w:val="00F979DB"/>
    <w:rsid w:val="00FA76D8"/>
    <w:rsid w:val="00FB1762"/>
    <w:rsid w:val="00FB5C81"/>
    <w:rsid w:val="00FD5EB7"/>
    <w:rsid w:val="00FF13D8"/>
    <w:rsid w:val="00FF2A54"/>
    <w:rsid w:val="027A728B"/>
    <w:rsid w:val="03283133"/>
    <w:rsid w:val="073CEFBF"/>
    <w:rsid w:val="0B68C1A4"/>
    <w:rsid w:val="0EA11FF9"/>
    <w:rsid w:val="0F25F523"/>
    <w:rsid w:val="126E636B"/>
    <w:rsid w:val="14935A76"/>
    <w:rsid w:val="15A24B80"/>
    <w:rsid w:val="1EC14C48"/>
    <w:rsid w:val="1FD981C4"/>
    <w:rsid w:val="24A8FA25"/>
    <w:rsid w:val="25BEE4FD"/>
    <w:rsid w:val="266FDA35"/>
    <w:rsid w:val="267D8F16"/>
    <w:rsid w:val="29FC3079"/>
    <w:rsid w:val="29FE4E8D"/>
    <w:rsid w:val="2BC9383B"/>
    <w:rsid w:val="2C8CEC91"/>
    <w:rsid w:val="2FDE08D1"/>
    <w:rsid w:val="30CA6328"/>
    <w:rsid w:val="30EDD4B2"/>
    <w:rsid w:val="31355830"/>
    <w:rsid w:val="335976EE"/>
    <w:rsid w:val="342FF4B2"/>
    <w:rsid w:val="3A1944AA"/>
    <w:rsid w:val="3A824E40"/>
    <w:rsid w:val="427EDB5D"/>
    <w:rsid w:val="431A3F65"/>
    <w:rsid w:val="476A9FA6"/>
    <w:rsid w:val="4FD1304E"/>
    <w:rsid w:val="673DF5FD"/>
    <w:rsid w:val="6B510C7D"/>
    <w:rsid w:val="6B644D79"/>
    <w:rsid w:val="6DDDE77C"/>
    <w:rsid w:val="6EDE559C"/>
    <w:rsid w:val="739A8D03"/>
    <w:rsid w:val="77875234"/>
    <w:rsid w:val="7D9AF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  <w14:docId w14:val="040F7586"/>
  <w15:docId w15:val="{10F9ED2E-3226-4701-83B3-91A8D7DD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0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48E"/>
    <w:pPr>
      <w:keepNext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8E"/>
  </w:style>
  <w:style w:type="paragraph" w:styleId="Footer">
    <w:name w:val="footer"/>
    <w:basedOn w:val="Normal"/>
    <w:link w:val="FooterChar"/>
    <w:uiPriority w:val="99"/>
    <w:unhideWhenUsed/>
    <w:rsid w:val="008E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8E"/>
  </w:style>
  <w:style w:type="paragraph" w:styleId="BalloonText">
    <w:name w:val="Balloon Text"/>
    <w:basedOn w:val="Normal"/>
    <w:link w:val="BalloonTextChar"/>
    <w:uiPriority w:val="99"/>
    <w:semiHidden/>
    <w:unhideWhenUsed/>
    <w:rsid w:val="008E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548E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styleId="Emphasis">
    <w:name w:val="Emphasis"/>
    <w:aliases w:val="Bullets"/>
    <w:uiPriority w:val="20"/>
    <w:qFormat/>
    <w:rsid w:val="008E548E"/>
    <w:rPr>
      <w:rFonts w:ascii="Arial" w:hAnsi="Arial"/>
      <w:iCs/>
    </w:rPr>
  </w:style>
  <w:style w:type="paragraph" w:customStyle="1" w:styleId="HEABullets">
    <w:name w:val="HEA Bullets"/>
    <w:basedOn w:val="Normal"/>
    <w:qFormat/>
    <w:rsid w:val="008E548E"/>
    <w:pPr>
      <w:numPr>
        <w:numId w:val="2"/>
      </w:numPr>
      <w:spacing w:after="0" w:line="240" w:lineRule="auto"/>
    </w:pPr>
    <w:rPr>
      <w:rFonts w:eastAsiaTheme="minorHAnsi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302E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6E58"/>
  </w:style>
  <w:style w:type="character" w:customStyle="1" w:styleId="DateChar">
    <w:name w:val="Date Char"/>
    <w:basedOn w:val="DefaultParagraphFont"/>
    <w:link w:val="Date"/>
    <w:uiPriority w:val="99"/>
    <w:semiHidden/>
    <w:rsid w:val="00076E5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705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CC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CC5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5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teaching-learning/education-planning-2020-21/supporting-student-experience/unitu-student-voice-platfor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l.ac.uk/teaching-learning/student-partnership/student-voice-and-surveys/gathering-further-feedback" TargetMode="External"/><Relationship Id="rId12" Type="http://schemas.openxmlformats.org/officeDocument/2006/relationships/hyperlink" Target="mailto:student.engagement@ucl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l.ac.uk/studentsurvey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ucl.ac.uk/teaching-learning/student-engagement/student-surveys-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teaching-learning/student-partnership/student-voice-and-surveys/gathering-further-feedbac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Allen</dc:creator>
  <cp:keywords/>
  <dc:description/>
  <cp:lastModifiedBy>Thomas McMahon</cp:lastModifiedBy>
  <cp:revision>3</cp:revision>
  <cp:lastPrinted>2015-06-10T11:09:00Z</cp:lastPrinted>
  <dcterms:created xsi:type="dcterms:W3CDTF">2020-10-29T15:55:00Z</dcterms:created>
  <dcterms:modified xsi:type="dcterms:W3CDTF">2020-10-29T17:24:00Z</dcterms:modified>
</cp:coreProperties>
</file>