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39F" w14:textId="77777777" w:rsidR="005C5986" w:rsidRDefault="009A45A3" w:rsidP="003D7F40">
      <w:pPr>
        <w:pStyle w:val="Heading1"/>
        <w:rPr>
          <w:b/>
          <w:color w:val="4472C4" w:themeColor="accent5"/>
        </w:rPr>
      </w:pPr>
      <w:r>
        <w:rPr>
          <w:b/>
          <w:color w:val="4472C4" w:themeColor="accent5"/>
        </w:rPr>
        <w:t>Staff Guide</w:t>
      </w:r>
    </w:p>
    <w:p w14:paraId="668C0E53" w14:textId="7CDD551D" w:rsidR="00BB2F32" w:rsidRPr="005C5986" w:rsidRDefault="00CE6FB2" w:rsidP="005C5986">
      <w:pPr>
        <w:pStyle w:val="Heading1"/>
        <w:rPr>
          <w:b/>
          <w:color w:val="4472C4" w:themeColor="accent5"/>
        </w:rPr>
      </w:pPr>
      <w:r>
        <w:rPr>
          <w:b/>
          <w:color w:val="4472C4" w:themeColor="accent5"/>
        </w:rPr>
        <w:t>Events and ideas for engaging students and gathering feedback</w:t>
      </w:r>
    </w:p>
    <w:p w14:paraId="48E8F6C2" w14:textId="1620305C" w:rsidR="00094C79" w:rsidRPr="00FB6C07" w:rsidRDefault="00094C79" w:rsidP="00FB6C07">
      <w:pPr>
        <w:pStyle w:val="Heading2"/>
      </w:pPr>
      <w:r w:rsidRPr="00FB6C07">
        <w:t>Workshops</w:t>
      </w:r>
      <w:r w:rsidR="005070FE" w:rsidRPr="00FB6C07">
        <w:t xml:space="preserve"> </w:t>
      </w:r>
      <w:r w:rsidR="00B077D2" w:rsidRPr="00FB6C07">
        <w:t>/</w:t>
      </w:r>
      <w:r w:rsidR="005070FE" w:rsidRPr="00FB6C07">
        <w:t xml:space="preserve"> </w:t>
      </w:r>
      <w:r w:rsidR="007041D7" w:rsidRPr="00FB6C07">
        <w:t xml:space="preserve">Hackathons </w:t>
      </w:r>
    </w:p>
    <w:p w14:paraId="26A76413" w14:textId="17B7CA2B" w:rsidR="00B077D2" w:rsidRDefault="00B077D2" w:rsidP="00F12071">
      <w:pPr>
        <w:rPr>
          <w:rFonts w:cstheme="minorHAnsi"/>
        </w:rPr>
      </w:pPr>
      <w:r>
        <w:rPr>
          <w:rFonts w:cstheme="minorHAnsi"/>
        </w:rPr>
        <w:t xml:space="preserve">These types of sessions can be useful for exploring ideas in more detail.  For example, if there is a recurrent issue </w:t>
      </w:r>
      <w:r w:rsidR="007F6FC6">
        <w:rPr>
          <w:rFonts w:cstheme="minorHAnsi"/>
        </w:rPr>
        <w:t>being</w:t>
      </w:r>
      <w:r>
        <w:rPr>
          <w:rFonts w:cstheme="minorHAnsi"/>
        </w:rPr>
        <w:t xml:space="preserve"> raised by your students</w:t>
      </w:r>
      <w:r w:rsidR="00444BF4">
        <w:rPr>
          <w:rFonts w:cstheme="minorHAnsi"/>
        </w:rPr>
        <w:t>,</w:t>
      </w:r>
      <w:r>
        <w:rPr>
          <w:rFonts w:cstheme="minorHAnsi"/>
        </w:rPr>
        <w:t xml:space="preserve"> you could turn this into a challenge t</w:t>
      </w:r>
      <w:r w:rsidR="007F6FC6">
        <w:rPr>
          <w:rFonts w:cstheme="minorHAnsi"/>
        </w:rPr>
        <w:t>o be solved using a ‘hackathon’-</w:t>
      </w:r>
      <w:r>
        <w:rPr>
          <w:rFonts w:cstheme="minorHAnsi"/>
        </w:rPr>
        <w:t>style event</w:t>
      </w:r>
      <w:r w:rsidR="007F6FC6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7F6FC6">
        <w:rPr>
          <w:rFonts w:cstheme="minorHAnsi"/>
        </w:rPr>
        <w:t>In these sessions,</w:t>
      </w:r>
      <w:r>
        <w:rPr>
          <w:rFonts w:cstheme="minorHAnsi"/>
        </w:rPr>
        <w:t xml:space="preserve"> staff and student</w:t>
      </w:r>
      <w:r w:rsidR="007F6FC6">
        <w:rPr>
          <w:rFonts w:cstheme="minorHAnsi"/>
        </w:rPr>
        <w:t>s</w:t>
      </w:r>
      <w:r>
        <w:rPr>
          <w:rFonts w:cstheme="minorHAnsi"/>
        </w:rPr>
        <w:t xml:space="preserve"> brainstorm in</w:t>
      </w:r>
      <w:r w:rsidR="007F6FC6">
        <w:rPr>
          <w:rFonts w:cstheme="minorHAnsi"/>
        </w:rPr>
        <w:t xml:space="preserve"> small</w:t>
      </w:r>
      <w:r>
        <w:rPr>
          <w:rFonts w:cstheme="minorHAnsi"/>
        </w:rPr>
        <w:t xml:space="preserve"> groups to come up with a solution. </w:t>
      </w:r>
      <w:bookmarkStart w:id="0" w:name="_GoBack"/>
      <w:bookmarkEnd w:id="0"/>
    </w:p>
    <w:p w14:paraId="423FE3B4" w14:textId="2AEDB647" w:rsidR="00D655AC" w:rsidRDefault="00D655AC" w:rsidP="00F12071">
      <w:pPr>
        <w:rPr>
          <w:rFonts w:cstheme="minorHAnsi"/>
        </w:rPr>
      </w:pPr>
      <w:r>
        <w:rPr>
          <w:rFonts w:cstheme="minorHAnsi"/>
        </w:rPr>
        <w:t xml:space="preserve">This can also be a useful approach for testing out and improving new concepts. </w:t>
      </w:r>
    </w:p>
    <w:p w14:paraId="7C767EDB" w14:textId="41393BD5" w:rsidR="00BE178D" w:rsidRDefault="00BE178D" w:rsidP="00F12071">
      <w:pPr>
        <w:rPr>
          <w:rFonts w:cstheme="minorHAnsi"/>
        </w:rPr>
      </w:pPr>
      <w:r>
        <w:rPr>
          <w:rFonts w:cstheme="minorHAnsi"/>
        </w:rPr>
        <w:t xml:space="preserve">You could also try using workshop ‘kits’ such as </w:t>
      </w:r>
      <w:hyperlink r:id="rId8" w:history="1">
        <w:proofErr w:type="spellStart"/>
        <w:r w:rsidRPr="00BE178D">
          <w:rPr>
            <w:rStyle w:val="Hyperlink"/>
            <w:rFonts w:cstheme="minorHAnsi"/>
          </w:rPr>
          <w:t>Ke</w:t>
        </w:r>
        <w:r w:rsidRPr="00BE178D">
          <w:rPr>
            <w:rStyle w:val="Hyperlink"/>
            <w:rFonts w:cstheme="minorHAnsi"/>
          </w:rPr>
          <w:t>tso</w:t>
        </w:r>
        <w:proofErr w:type="spellEnd"/>
      </w:hyperlink>
      <w:r>
        <w:rPr>
          <w:rFonts w:cstheme="minorHAnsi"/>
        </w:rPr>
        <w:t xml:space="preserve"> to explore ideas </w:t>
      </w:r>
      <w:r w:rsidR="009A66BB">
        <w:rPr>
          <w:rFonts w:cstheme="minorHAnsi"/>
        </w:rPr>
        <w:t>collectively</w:t>
      </w:r>
      <w:r w:rsidR="00B9614A">
        <w:rPr>
          <w:rFonts w:cstheme="minorHAnsi"/>
        </w:rPr>
        <w:t xml:space="preserve"> and visually. </w:t>
      </w:r>
      <w:r w:rsidR="009A66B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4BB933B1" w14:textId="77777777" w:rsidR="00FB6C07" w:rsidRDefault="00FB6C07" w:rsidP="00F12071">
      <w:pPr>
        <w:rPr>
          <w:rFonts w:cstheme="minorHAnsi"/>
        </w:rPr>
      </w:pPr>
    </w:p>
    <w:p w14:paraId="0E01A556" w14:textId="3A5F01B2" w:rsidR="00094C79" w:rsidRPr="00D655AC" w:rsidRDefault="00094C79" w:rsidP="00FB6C07">
      <w:pPr>
        <w:pStyle w:val="Heading2"/>
      </w:pPr>
      <w:proofErr w:type="spellStart"/>
      <w:r w:rsidRPr="00D655AC">
        <w:t>Townhall</w:t>
      </w:r>
      <w:proofErr w:type="spellEnd"/>
      <w:r w:rsidRPr="00D655AC">
        <w:t xml:space="preserve"> meetings</w:t>
      </w:r>
      <w:r w:rsidR="005070FE">
        <w:t xml:space="preserve"> </w:t>
      </w:r>
      <w:r w:rsidRPr="00D655AC">
        <w:t>/</w:t>
      </w:r>
      <w:r w:rsidR="005070FE">
        <w:t xml:space="preserve"> </w:t>
      </w:r>
      <w:r w:rsidRPr="00D655AC">
        <w:t>Forums</w:t>
      </w:r>
    </w:p>
    <w:p w14:paraId="6D035D79" w14:textId="15154622" w:rsidR="00D655AC" w:rsidRDefault="00D655AC" w:rsidP="00F12071">
      <w:pPr>
        <w:rPr>
          <w:rFonts w:cstheme="minorHAnsi"/>
        </w:rPr>
      </w:pPr>
      <w:r>
        <w:rPr>
          <w:rFonts w:cstheme="minorHAnsi"/>
        </w:rPr>
        <w:t>Some departments have had success with termly</w:t>
      </w:r>
      <w:r w:rsidR="001B4C6F">
        <w:rPr>
          <w:rFonts w:cstheme="minorHAnsi"/>
        </w:rPr>
        <w:t xml:space="preserve"> student experience</w:t>
      </w:r>
      <w:r>
        <w:rPr>
          <w:rFonts w:cstheme="minorHAnsi"/>
        </w:rPr>
        <w:t xml:space="preserve"> meetings or forums, which give those students who are not </w:t>
      </w:r>
      <w:r w:rsidR="001B4C6F">
        <w:rPr>
          <w:rFonts w:cstheme="minorHAnsi"/>
        </w:rPr>
        <w:t>Student Academic Representatives</w:t>
      </w:r>
      <w:r>
        <w:rPr>
          <w:rFonts w:cstheme="minorHAnsi"/>
        </w:rPr>
        <w:t xml:space="preserve"> an opportunity to participate in conversations with staff about their departments. </w:t>
      </w:r>
    </w:p>
    <w:p w14:paraId="71B16BD6" w14:textId="0ADB6704" w:rsidR="005D2974" w:rsidRDefault="00D655AC" w:rsidP="00F12071">
      <w:pPr>
        <w:rPr>
          <w:rFonts w:cstheme="minorHAnsi"/>
        </w:rPr>
      </w:pPr>
      <w:r>
        <w:rPr>
          <w:rFonts w:cstheme="minorHAnsi"/>
        </w:rPr>
        <w:t>Providing some lunch</w:t>
      </w:r>
      <w:r w:rsidR="00924940">
        <w:rPr>
          <w:rFonts w:cstheme="minorHAnsi"/>
        </w:rPr>
        <w:t xml:space="preserve"> for attendees</w:t>
      </w:r>
      <w:r>
        <w:rPr>
          <w:rFonts w:cstheme="minorHAnsi"/>
        </w:rPr>
        <w:t xml:space="preserve"> is always a</w:t>
      </w:r>
      <w:r w:rsidR="00924940">
        <w:rPr>
          <w:rFonts w:cstheme="minorHAnsi"/>
        </w:rPr>
        <w:t xml:space="preserve"> popular</w:t>
      </w:r>
      <w:r>
        <w:rPr>
          <w:rFonts w:cstheme="minorHAnsi"/>
        </w:rPr>
        <w:t xml:space="preserve"> incentive. You could use this time to </w:t>
      </w:r>
      <w:r w:rsidR="00364100">
        <w:rPr>
          <w:rFonts w:cstheme="minorHAnsi"/>
        </w:rPr>
        <w:t>develop a shared charter or raise</w:t>
      </w:r>
      <w:r w:rsidR="005D2974">
        <w:rPr>
          <w:rFonts w:cstheme="minorHAnsi"/>
        </w:rPr>
        <w:t xml:space="preserve"> the</w:t>
      </w:r>
      <w:r w:rsidR="00364100">
        <w:rPr>
          <w:rFonts w:cstheme="minorHAnsi"/>
        </w:rPr>
        <w:t xml:space="preserve"> awareness of</w:t>
      </w:r>
      <w:r w:rsidR="005D2974">
        <w:rPr>
          <w:rFonts w:cstheme="minorHAnsi"/>
        </w:rPr>
        <w:t xml:space="preserve"> the department’s</w:t>
      </w:r>
      <w:r w:rsidR="00364100">
        <w:rPr>
          <w:rFonts w:cstheme="minorHAnsi"/>
        </w:rPr>
        <w:t xml:space="preserve"> priorities for the year ahead. </w:t>
      </w:r>
    </w:p>
    <w:p w14:paraId="621BFB70" w14:textId="0B9935CD" w:rsidR="00D655AC" w:rsidRDefault="00364100" w:rsidP="00F12071">
      <w:pPr>
        <w:rPr>
          <w:rFonts w:cstheme="minorHAnsi"/>
        </w:rPr>
      </w:pPr>
      <w:r>
        <w:rPr>
          <w:rFonts w:cstheme="minorHAnsi"/>
        </w:rPr>
        <w:t xml:space="preserve">Involving Student </w:t>
      </w:r>
      <w:r w:rsidR="005070FE">
        <w:rPr>
          <w:rFonts w:cstheme="minorHAnsi"/>
        </w:rPr>
        <w:t>Reps</w:t>
      </w:r>
      <w:r>
        <w:rPr>
          <w:rFonts w:cstheme="minorHAnsi"/>
        </w:rPr>
        <w:t xml:space="preserve"> in the planning</w:t>
      </w:r>
      <w:r w:rsidR="005D2974">
        <w:rPr>
          <w:rFonts w:cstheme="minorHAnsi"/>
        </w:rPr>
        <w:t xml:space="preserve"> and promotion</w:t>
      </w:r>
      <w:r>
        <w:rPr>
          <w:rFonts w:cstheme="minorHAnsi"/>
        </w:rPr>
        <w:t xml:space="preserve"> of the event </w:t>
      </w:r>
      <w:r w:rsidR="005D2974">
        <w:rPr>
          <w:rFonts w:cstheme="minorHAnsi"/>
        </w:rPr>
        <w:t>can be very effective in fostering a sense of staff-student partnership. Enabl</w:t>
      </w:r>
      <w:r>
        <w:rPr>
          <w:rFonts w:cstheme="minorHAnsi"/>
        </w:rPr>
        <w:t xml:space="preserve">ing </w:t>
      </w:r>
      <w:r w:rsidR="005D2974">
        <w:rPr>
          <w:rFonts w:cstheme="minorHAnsi"/>
        </w:rPr>
        <w:t>Reps to</w:t>
      </w:r>
      <w:r>
        <w:rPr>
          <w:rFonts w:cstheme="minorHAnsi"/>
        </w:rPr>
        <w:t xml:space="preserve"> take an active role in the event can help to raise awareness of the </w:t>
      </w:r>
      <w:r w:rsidR="005D2974">
        <w:rPr>
          <w:rFonts w:cstheme="minorHAnsi"/>
        </w:rPr>
        <w:t>Reps’ role</w:t>
      </w:r>
      <w:r>
        <w:rPr>
          <w:rFonts w:cstheme="minorHAnsi"/>
        </w:rPr>
        <w:t xml:space="preserve"> and</w:t>
      </w:r>
      <w:r w:rsidR="005D2974">
        <w:rPr>
          <w:rFonts w:cstheme="minorHAnsi"/>
        </w:rPr>
        <w:t xml:space="preserve"> is likely to</w:t>
      </w:r>
      <w:r>
        <w:rPr>
          <w:rFonts w:cstheme="minorHAnsi"/>
        </w:rPr>
        <w:t xml:space="preserve"> encourage</w:t>
      </w:r>
      <w:r w:rsidR="005D2974">
        <w:rPr>
          <w:rFonts w:cstheme="minorHAnsi"/>
        </w:rPr>
        <w:t xml:space="preserve"> other</w:t>
      </w:r>
      <w:r>
        <w:rPr>
          <w:rFonts w:cstheme="minorHAnsi"/>
        </w:rPr>
        <w:t xml:space="preserve"> students to liaise with them.  </w:t>
      </w:r>
      <w:r w:rsidR="00D655AC">
        <w:rPr>
          <w:rFonts w:cstheme="minorHAnsi"/>
        </w:rPr>
        <w:t xml:space="preserve"> </w:t>
      </w:r>
    </w:p>
    <w:p w14:paraId="0FB1A921" w14:textId="77777777" w:rsidR="00FB6C07" w:rsidRDefault="00FB6C07" w:rsidP="00F12071">
      <w:pPr>
        <w:rPr>
          <w:rFonts w:cstheme="minorHAnsi"/>
        </w:rPr>
      </w:pPr>
    </w:p>
    <w:p w14:paraId="2D53057D" w14:textId="19D1AA59" w:rsidR="00F9157D" w:rsidRPr="002721AA" w:rsidRDefault="00F9157D" w:rsidP="00FB6C07">
      <w:pPr>
        <w:pStyle w:val="Heading2"/>
      </w:pPr>
      <w:r w:rsidRPr="002721AA">
        <w:t xml:space="preserve">Voting pads in lecture theatres / seminars </w:t>
      </w:r>
    </w:p>
    <w:p w14:paraId="1B80E5F6" w14:textId="3534A7EA" w:rsidR="00F9157D" w:rsidRDefault="00F9157D" w:rsidP="00F12071">
      <w:pPr>
        <w:rPr>
          <w:rFonts w:cstheme="minorHAnsi"/>
        </w:rPr>
      </w:pPr>
      <w:r>
        <w:rPr>
          <w:rFonts w:cstheme="minorHAnsi"/>
        </w:rPr>
        <w:t>If departments are looking to get a quick response to a proposition or question, they can put these questions to students</w:t>
      </w:r>
      <w:r w:rsidR="005070FE">
        <w:rPr>
          <w:rFonts w:cstheme="minorHAnsi"/>
        </w:rPr>
        <w:t xml:space="preserve"> directly</w:t>
      </w:r>
      <w:r>
        <w:rPr>
          <w:rFonts w:cstheme="minorHAnsi"/>
        </w:rPr>
        <w:t xml:space="preserve"> in lectures or tutorials. </w:t>
      </w:r>
    </w:p>
    <w:p w14:paraId="1CC51D06" w14:textId="3B67B33C" w:rsidR="00F9157D" w:rsidRDefault="004E379E" w:rsidP="00F12071">
      <w:pPr>
        <w:rPr>
          <w:rFonts w:cstheme="minorHAnsi"/>
        </w:rPr>
      </w:pPr>
      <w:r>
        <w:rPr>
          <w:rFonts w:cstheme="minorHAnsi"/>
        </w:rPr>
        <w:t>UCL</w:t>
      </w:r>
      <w:r w:rsidR="005070FE">
        <w:rPr>
          <w:rFonts w:cstheme="minorHAnsi"/>
        </w:rPr>
        <w:t xml:space="preserve"> staff are able to</w:t>
      </w:r>
      <w:r>
        <w:rPr>
          <w:rFonts w:cstheme="minorHAnsi"/>
        </w:rPr>
        <w:t xml:space="preserve"> hire </w:t>
      </w:r>
      <w:hyperlink r:id="rId9" w:history="1">
        <w:r w:rsidRPr="0041105B">
          <w:rPr>
            <w:rStyle w:val="Hyperlink"/>
            <w:rFonts w:cstheme="minorHAnsi"/>
          </w:rPr>
          <w:t>Electronic Voting Systems (EVS)</w:t>
        </w:r>
      </w:hyperlink>
      <w:r>
        <w:rPr>
          <w:rFonts w:cstheme="minorHAnsi"/>
        </w:rPr>
        <w:t xml:space="preserve"> pads for live voting. Staff can</w:t>
      </w:r>
      <w:r w:rsidRPr="004E379E">
        <w:rPr>
          <w:rFonts w:cstheme="minorHAnsi"/>
        </w:rPr>
        <w:t xml:space="preserve"> pose a question on the screen, and invite students to vote on this question. After polling is complete, you</w:t>
      </w:r>
      <w:r>
        <w:rPr>
          <w:rFonts w:cstheme="minorHAnsi"/>
        </w:rPr>
        <w:t xml:space="preserve"> will</w:t>
      </w:r>
      <w:r w:rsidRPr="004E379E">
        <w:rPr>
          <w:rFonts w:cstheme="minorHAnsi"/>
        </w:rPr>
        <w:t xml:space="preserve"> see a bar chart of the responses that were received.</w:t>
      </w:r>
    </w:p>
    <w:p w14:paraId="2242E4FA" w14:textId="7EC775A1" w:rsidR="004E379E" w:rsidRDefault="004E379E" w:rsidP="00F12071">
      <w:pPr>
        <w:rPr>
          <w:rFonts w:cstheme="minorHAnsi"/>
        </w:rPr>
      </w:pPr>
      <w:r>
        <w:rPr>
          <w:rFonts w:cstheme="minorHAnsi"/>
        </w:rPr>
        <w:t xml:space="preserve">Three teaching spaces </w:t>
      </w:r>
      <w:r w:rsidR="0041105B">
        <w:rPr>
          <w:rFonts w:cstheme="minorHAnsi"/>
        </w:rPr>
        <w:t>(</w:t>
      </w:r>
      <w:r w:rsidRPr="004E379E">
        <w:rPr>
          <w:rFonts w:cstheme="minorHAnsi"/>
        </w:rPr>
        <w:t xml:space="preserve">Cruciform LT1, Christopher </w:t>
      </w:r>
      <w:proofErr w:type="spellStart"/>
      <w:r w:rsidRPr="004E379E">
        <w:rPr>
          <w:rFonts w:cstheme="minorHAnsi"/>
        </w:rPr>
        <w:t>Ingold</w:t>
      </w:r>
      <w:proofErr w:type="spellEnd"/>
      <w:r w:rsidRPr="004E379E">
        <w:rPr>
          <w:rFonts w:cstheme="minorHAnsi"/>
        </w:rPr>
        <w:t xml:space="preserve"> Auditorium and </w:t>
      </w:r>
      <w:proofErr w:type="spellStart"/>
      <w:r w:rsidRPr="004E379E">
        <w:rPr>
          <w:rFonts w:cstheme="minorHAnsi"/>
        </w:rPr>
        <w:t>Harrie</w:t>
      </w:r>
      <w:proofErr w:type="spellEnd"/>
      <w:r w:rsidRPr="004E379E">
        <w:rPr>
          <w:rFonts w:cstheme="minorHAnsi"/>
        </w:rPr>
        <w:t xml:space="preserve"> Massey </w:t>
      </w:r>
      <w:r w:rsidR="0041105B">
        <w:rPr>
          <w:rFonts w:cstheme="minorHAnsi"/>
        </w:rPr>
        <w:t xml:space="preserve">Theatre) have the pads installed permanently, and the pads can be hired via the </w:t>
      </w:r>
      <w:hyperlink r:id="rId10" w:history="1">
        <w:r w:rsidR="0041105B" w:rsidRPr="0041105B">
          <w:rPr>
            <w:rStyle w:val="Hyperlink"/>
            <w:rFonts w:cstheme="minorHAnsi"/>
          </w:rPr>
          <w:t>UCL Audio Visual Centre</w:t>
        </w:r>
      </w:hyperlink>
      <w:r w:rsidR="0041105B">
        <w:rPr>
          <w:rFonts w:cstheme="minorHAnsi"/>
        </w:rPr>
        <w:t xml:space="preserve">. </w:t>
      </w:r>
    </w:p>
    <w:p w14:paraId="44F8A297" w14:textId="77777777" w:rsidR="00FB6C07" w:rsidRDefault="00FB6C07" w:rsidP="00F12071">
      <w:pPr>
        <w:rPr>
          <w:rFonts w:cstheme="minorHAnsi"/>
        </w:rPr>
      </w:pPr>
    </w:p>
    <w:p w14:paraId="5AA2FFF5" w14:textId="77777777" w:rsidR="00D655AC" w:rsidRDefault="007041D7" w:rsidP="00FB6C07">
      <w:pPr>
        <w:pStyle w:val="Heading2"/>
      </w:pPr>
      <w:r w:rsidRPr="00A83B7D">
        <w:t>Informal events</w:t>
      </w:r>
    </w:p>
    <w:p w14:paraId="0BAA1197" w14:textId="24DFF7A9" w:rsidR="005D2974" w:rsidRDefault="00D655AC" w:rsidP="00F12071">
      <w:pPr>
        <w:rPr>
          <w:rFonts w:cstheme="minorHAnsi"/>
        </w:rPr>
      </w:pPr>
      <w:r>
        <w:rPr>
          <w:rFonts w:cstheme="minorHAnsi"/>
        </w:rPr>
        <w:t>N</w:t>
      </w:r>
      <w:r w:rsidR="00BF4433">
        <w:rPr>
          <w:rFonts w:cstheme="minorHAnsi"/>
        </w:rPr>
        <w:t xml:space="preserve">ever underestimate the power of a free coffee or cake! Speak to your </w:t>
      </w:r>
      <w:r w:rsidR="005D2974">
        <w:rPr>
          <w:rFonts w:cstheme="minorHAnsi"/>
        </w:rPr>
        <w:t>S</w:t>
      </w:r>
      <w:r w:rsidR="00BF4433">
        <w:rPr>
          <w:rFonts w:cstheme="minorHAnsi"/>
        </w:rPr>
        <w:t xml:space="preserve">tudent </w:t>
      </w:r>
      <w:r w:rsidR="005D2974">
        <w:rPr>
          <w:rFonts w:cstheme="minorHAnsi"/>
        </w:rPr>
        <w:t>R</w:t>
      </w:r>
      <w:r w:rsidR="00BF4433">
        <w:rPr>
          <w:rFonts w:cstheme="minorHAnsi"/>
        </w:rPr>
        <w:t xml:space="preserve">eps to find out when a </w:t>
      </w:r>
      <w:r w:rsidR="005D2974">
        <w:rPr>
          <w:rFonts w:cstheme="minorHAnsi"/>
        </w:rPr>
        <w:t xml:space="preserve">convenient </w:t>
      </w:r>
      <w:r w:rsidR="00BF4433">
        <w:rPr>
          <w:rFonts w:cstheme="minorHAnsi"/>
        </w:rPr>
        <w:t xml:space="preserve">regular slot might be. Keep </w:t>
      </w:r>
      <w:r w:rsidR="005D2974">
        <w:rPr>
          <w:rFonts w:cstheme="minorHAnsi"/>
        </w:rPr>
        <w:t>the event</w:t>
      </w:r>
      <w:r w:rsidR="00BF4433">
        <w:rPr>
          <w:rFonts w:cstheme="minorHAnsi"/>
        </w:rPr>
        <w:t xml:space="preserve"> informal and something that students can drop into. </w:t>
      </w:r>
    </w:p>
    <w:p w14:paraId="4C1DCC14" w14:textId="2314688D" w:rsidR="00094C79" w:rsidRDefault="00BF4433" w:rsidP="00F12071">
      <w:pPr>
        <w:rPr>
          <w:rFonts w:cstheme="minorHAnsi"/>
        </w:rPr>
      </w:pPr>
      <w:r>
        <w:rPr>
          <w:rFonts w:cstheme="minorHAnsi"/>
        </w:rPr>
        <w:t xml:space="preserve">Some staff have voiced concerns that they won’t </w:t>
      </w:r>
      <w:r w:rsidR="005D2974">
        <w:rPr>
          <w:rFonts w:cstheme="minorHAnsi"/>
        </w:rPr>
        <w:t xml:space="preserve">be able to find </w:t>
      </w:r>
      <w:r>
        <w:rPr>
          <w:rFonts w:cstheme="minorHAnsi"/>
        </w:rPr>
        <w:t>enough space for everyone</w:t>
      </w:r>
      <w:r w:rsidR="005D2974">
        <w:rPr>
          <w:rFonts w:cstheme="minorHAnsi"/>
        </w:rPr>
        <w:t>,</w:t>
      </w:r>
      <w:r>
        <w:rPr>
          <w:rFonts w:cstheme="minorHAnsi"/>
        </w:rPr>
        <w:t xml:space="preserve"> but it’s very unlikely a</w:t>
      </w:r>
      <w:r w:rsidR="00A83B7D">
        <w:rPr>
          <w:rFonts w:cstheme="minorHAnsi"/>
        </w:rPr>
        <w:t>ll your students will show up</w:t>
      </w:r>
      <w:r w:rsidR="005D2974">
        <w:rPr>
          <w:rFonts w:cstheme="minorHAnsi"/>
        </w:rPr>
        <w:t>.</w:t>
      </w:r>
      <w:r w:rsidR="00D655AC">
        <w:rPr>
          <w:rFonts w:cstheme="minorHAnsi"/>
        </w:rPr>
        <w:t xml:space="preserve"> </w:t>
      </w:r>
      <w:r w:rsidR="005D2974">
        <w:rPr>
          <w:rFonts w:cstheme="minorHAnsi"/>
        </w:rPr>
        <w:t>S</w:t>
      </w:r>
      <w:r w:rsidR="00D655AC">
        <w:rPr>
          <w:rFonts w:cstheme="minorHAnsi"/>
        </w:rPr>
        <w:t>ome programmes or departments have used teaching sessions or induction events to make the mo</w:t>
      </w:r>
      <w:r w:rsidR="005C5986">
        <w:rPr>
          <w:rFonts w:cstheme="minorHAnsi"/>
        </w:rPr>
        <w:t>s</w:t>
      </w:r>
      <w:r w:rsidR="00D655AC">
        <w:rPr>
          <w:rFonts w:cstheme="minorHAnsi"/>
        </w:rPr>
        <w:t xml:space="preserve">t of </w:t>
      </w:r>
      <w:r w:rsidR="005D2974">
        <w:rPr>
          <w:rFonts w:cstheme="minorHAnsi"/>
        </w:rPr>
        <w:t>UCL’s</w:t>
      </w:r>
      <w:r w:rsidR="00D655AC">
        <w:rPr>
          <w:rFonts w:cstheme="minorHAnsi"/>
        </w:rPr>
        <w:t xml:space="preserve"> central London</w:t>
      </w:r>
      <w:r w:rsidR="005D2974">
        <w:rPr>
          <w:rFonts w:cstheme="minorHAnsi"/>
        </w:rPr>
        <w:t xml:space="preserve"> location</w:t>
      </w:r>
      <w:r w:rsidR="00D655AC">
        <w:rPr>
          <w:rFonts w:cstheme="minorHAnsi"/>
        </w:rPr>
        <w:t>, with off-campus visits and walks.</w:t>
      </w:r>
      <w:r w:rsidR="00A83B7D">
        <w:rPr>
          <w:rFonts w:cstheme="minorHAnsi"/>
        </w:rPr>
        <w:t xml:space="preserve"> The event doesn’t need to be badged as an opportunity to give feedback (this will </w:t>
      </w:r>
      <w:r w:rsidR="00A83B7D">
        <w:rPr>
          <w:rFonts w:cstheme="minorHAnsi"/>
        </w:rPr>
        <w:lastRenderedPageBreak/>
        <w:t xml:space="preserve">probably happen naturally) but just an opportunity to get staff and students together and build a sense of community. </w:t>
      </w:r>
    </w:p>
    <w:p w14:paraId="60FBBF9D" w14:textId="77777777" w:rsidR="00FB6C07" w:rsidRDefault="00FB6C07" w:rsidP="00F12071">
      <w:pPr>
        <w:rPr>
          <w:rFonts w:cstheme="minorHAnsi"/>
        </w:rPr>
      </w:pPr>
    </w:p>
    <w:p w14:paraId="1184D525" w14:textId="1F4F5940" w:rsidR="006E05FC" w:rsidRDefault="00F82EC6" w:rsidP="00FB6C07">
      <w:pPr>
        <w:pStyle w:val="Heading2"/>
      </w:pPr>
      <w:r>
        <w:t>Speak to e</w:t>
      </w:r>
      <w:r w:rsidR="00D5293C" w:rsidRPr="006E05FC">
        <w:t>xisting networks</w:t>
      </w:r>
      <w:r w:rsidR="00D5293C">
        <w:t xml:space="preserve"> </w:t>
      </w:r>
    </w:p>
    <w:p w14:paraId="46893F38" w14:textId="27689D5D" w:rsidR="00D5293C" w:rsidRDefault="00D5293C" w:rsidP="00F12071">
      <w:pPr>
        <w:rPr>
          <w:rFonts w:cstheme="minorHAnsi"/>
        </w:rPr>
      </w:pPr>
      <w:r>
        <w:rPr>
          <w:rFonts w:cstheme="minorHAnsi"/>
        </w:rPr>
        <w:t xml:space="preserve">Transition </w:t>
      </w:r>
      <w:r w:rsidR="00924940">
        <w:rPr>
          <w:rFonts w:cstheme="minorHAnsi"/>
        </w:rPr>
        <w:t>M</w:t>
      </w:r>
      <w:r>
        <w:rPr>
          <w:rFonts w:cstheme="minorHAnsi"/>
        </w:rPr>
        <w:t>entors and Academic</w:t>
      </w:r>
      <w:r w:rsidR="001A0344">
        <w:rPr>
          <w:rFonts w:cstheme="minorHAnsi"/>
        </w:rPr>
        <w:t xml:space="preserve"> </w:t>
      </w:r>
      <w:r w:rsidR="00F82EC6">
        <w:rPr>
          <w:rFonts w:cstheme="minorHAnsi"/>
        </w:rPr>
        <w:t>/</w:t>
      </w:r>
      <w:r w:rsidR="001A0344">
        <w:rPr>
          <w:rFonts w:cstheme="minorHAnsi"/>
        </w:rPr>
        <w:t xml:space="preserve"> </w:t>
      </w:r>
      <w:r w:rsidR="00F82EC6">
        <w:rPr>
          <w:rFonts w:cstheme="minorHAnsi"/>
        </w:rPr>
        <w:t>Department</w:t>
      </w:r>
      <w:r w:rsidR="0090648A">
        <w:rPr>
          <w:rFonts w:cstheme="minorHAnsi"/>
        </w:rPr>
        <w:t>al</w:t>
      </w:r>
      <w:r>
        <w:rPr>
          <w:rFonts w:cstheme="minorHAnsi"/>
        </w:rPr>
        <w:t xml:space="preserve"> Societies</w:t>
      </w:r>
      <w:r w:rsidR="00F82EC6">
        <w:rPr>
          <w:rFonts w:cstheme="minorHAnsi"/>
        </w:rPr>
        <w:t xml:space="preserve"> can be great networks to tap into</w:t>
      </w:r>
      <w:r w:rsidR="00924940">
        <w:rPr>
          <w:rFonts w:cstheme="minorHAnsi"/>
        </w:rPr>
        <w:t>:</w:t>
      </w:r>
      <w:r w:rsidR="00F82EC6">
        <w:rPr>
          <w:rFonts w:cstheme="minorHAnsi"/>
        </w:rPr>
        <w:t xml:space="preserve">   Transition </w:t>
      </w:r>
      <w:r w:rsidR="00924940">
        <w:rPr>
          <w:rFonts w:cstheme="minorHAnsi"/>
        </w:rPr>
        <w:t>M</w:t>
      </w:r>
      <w:r w:rsidR="00F82EC6">
        <w:rPr>
          <w:rFonts w:cstheme="minorHAnsi"/>
        </w:rPr>
        <w:t>entors may be aware of common issues mentioned by first</w:t>
      </w:r>
      <w:r w:rsidR="001A0344">
        <w:rPr>
          <w:rFonts w:cstheme="minorHAnsi"/>
        </w:rPr>
        <w:t>-</w:t>
      </w:r>
      <w:r w:rsidR="00F82EC6">
        <w:rPr>
          <w:rFonts w:cstheme="minorHAnsi"/>
        </w:rPr>
        <w:t xml:space="preserve">year students who aren’t sure how to raise it with staff or who to speak to. Likewise, departmental student societies can often provide useful feedback, or </w:t>
      </w:r>
      <w:r w:rsidR="00924940">
        <w:rPr>
          <w:rFonts w:cstheme="minorHAnsi"/>
        </w:rPr>
        <w:t>may be</w:t>
      </w:r>
      <w:r w:rsidR="00F82EC6">
        <w:rPr>
          <w:rFonts w:cstheme="minorHAnsi"/>
        </w:rPr>
        <w:t xml:space="preserve"> interested in developing a discussion or solution through their </w:t>
      </w:r>
      <w:r w:rsidR="001A0344">
        <w:rPr>
          <w:rFonts w:cstheme="minorHAnsi"/>
        </w:rPr>
        <w:t>network</w:t>
      </w:r>
      <w:r w:rsidR="00F82EC6">
        <w:rPr>
          <w:rFonts w:cstheme="minorHAnsi"/>
        </w:rPr>
        <w:t>.</w:t>
      </w:r>
    </w:p>
    <w:p w14:paraId="0E80277A" w14:textId="351B52EC" w:rsidR="00094C79" w:rsidRDefault="00094C79" w:rsidP="00F12071">
      <w:pPr>
        <w:rPr>
          <w:rFonts w:cstheme="minorHAnsi"/>
        </w:rPr>
      </w:pPr>
    </w:p>
    <w:p w14:paraId="3909A23F" w14:textId="719A3810" w:rsidR="004C67C7" w:rsidRPr="002721AA" w:rsidRDefault="004C67C7" w:rsidP="00FB6C07">
      <w:pPr>
        <w:pStyle w:val="Heading2"/>
      </w:pPr>
      <w:r w:rsidRPr="002721AA">
        <w:t>Useful links</w:t>
      </w:r>
      <w:r w:rsidR="001B0EE5" w:rsidRPr="002721AA">
        <w:t xml:space="preserve"> and resources</w:t>
      </w:r>
      <w:r w:rsidR="001A0344" w:rsidRPr="002721AA">
        <w:t xml:space="preserve">: </w:t>
      </w:r>
    </w:p>
    <w:p w14:paraId="5069B5EC" w14:textId="38F4B550" w:rsidR="001B0EE5" w:rsidRDefault="00F82EC6" w:rsidP="00F12071">
      <w:r>
        <w:t xml:space="preserve">A workshop method for gathering feedback: </w:t>
      </w:r>
      <w:hyperlink r:id="rId11" w:history="1">
        <w:r w:rsidR="001B0EE5">
          <w:rPr>
            <w:rStyle w:val="Hyperlink"/>
          </w:rPr>
          <w:t>https://ketso.com/</w:t>
        </w:r>
      </w:hyperlink>
    </w:p>
    <w:p w14:paraId="3643B977" w14:textId="77777777" w:rsidR="001B0EE5" w:rsidRDefault="001B0EE5" w:rsidP="00F12071">
      <w:pPr>
        <w:rPr>
          <w:rFonts w:cstheme="minorHAnsi"/>
        </w:rPr>
      </w:pPr>
    </w:p>
    <w:p w14:paraId="78CC2A69" w14:textId="004C5870" w:rsidR="00DF3799" w:rsidRPr="00DF3799" w:rsidRDefault="00DF3799" w:rsidP="00FB6C07">
      <w:pPr>
        <w:pStyle w:val="Heading2"/>
      </w:pPr>
      <w:r w:rsidRPr="00DF3799">
        <w:t>Useful Case Studies</w:t>
      </w:r>
      <w:r w:rsidR="004E379E">
        <w:t>:</w:t>
      </w:r>
      <w:r w:rsidRPr="00DF3799">
        <w:br/>
      </w:r>
    </w:p>
    <w:p w14:paraId="06F096F6" w14:textId="4D9E60ED" w:rsidR="004C67C7" w:rsidRDefault="00FB6C07" w:rsidP="004C67C7">
      <w:hyperlink r:id="rId12" w:history="1">
        <w:r w:rsidR="001A0344" w:rsidRPr="001A0344">
          <w:rPr>
            <w:rStyle w:val="Hyperlink"/>
          </w:rPr>
          <w:t>Education E-News article: How to engage undergraduates in small or medium cohorts</w:t>
        </w:r>
      </w:hyperlink>
      <w:r w:rsidR="001A0344">
        <w:t xml:space="preserve"> </w:t>
      </w:r>
      <w:hyperlink r:id="rId13" w:history="1">
        <w:r w:rsidR="001A0344" w:rsidRPr="00BA4748">
          <w:rPr>
            <w:rStyle w:val="Hyperlink"/>
          </w:rPr>
          <w:t xml:space="preserve"> </w:t>
        </w:r>
      </w:hyperlink>
    </w:p>
    <w:p w14:paraId="663590D7" w14:textId="65D67283" w:rsidR="001A0344" w:rsidRPr="00DF3799" w:rsidRDefault="001A0344" w:rsidP="004C67C7">
      <w:pPr>
        <w:rPr>
          <w:rFonts w:cstheme="minorHAnsi"/>
          <w:b/>
        </w:rPr>
      </w:pPr>
    </w:p>
    <w:sectPr w:rsidR="001A0344" w:rsidRPr="00DF3799" w:rsidSect="000A5984">
      <w:headerReference w:type="default" r:id="rId14"/>
      <w:footerReference w:type="default" r:id="rId15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7B37A" w14:textId="77777777" w:rsidR="004A21FB" w:rsidRDefault="004A21FB" w:rsidP="004A21FB">
      <w:pPr>
        <w:spacing w:after="0" w:line="240" w:lineRule="auto"/>
      </w:pPr>
      <w:r>
        <w:separator/>
      </w:r>
    </w:p>
  </w:endnote>
  <w:endnote w:type="continuationSeparator" w:id="0">
    <w:p w14:paraId="34D21CB1" w14:textId="77777777" w:rsidR="004A21FB" w:rsidRDefault="004A21FB" w:rsidP="004A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187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73867" w14:textId="77777777" w:rsidR="002721AA" w:rsidRDefault="002721AA">
        <w:pPr>
          <w:pStyle w:val="Footer"/>
          <w:jc w:val="center"/>
        </w:pPr>
      </w:p>
      <w:p w14:paraId="78E56B3A" w14:textId="778AF774" w:rsidR="00BB2F32" w:rsidRDefault="00BB2F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C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F81F7" w14:textId="77777777" w:rsidR="00BB2F32" w:rsidRDefault="00BB2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5A566" w14:textId="77777777" w:rsidR="004A21FB" w:rsidRDefault="004A21FB" w:rsidP="004A21FB">
      <w:pPr>
        <w:spacing w:after="0" w:line="240" w:lineRule="auto"/>
      </w:pPr>
      <w:r>
        <w:separator/>
      </w:r>
    </w:p>
  </w:footnote>
  <w:footnote w:type="continuationSeparator" w:id="0">
    <w:p w14:paraId="3841DF85" w14:textId="77777777" w:rsidR="004A21FB" w:rsidRDefault="004A21FB" w:rsidP="004A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0545" w14:textId="4FF95397" w:rsidR="004A21FB" w:rsidRDefault="00D3281D" w:rsidP="00511AD0">
    <w:pPr>
      <w:pStyle w:val="Header"/>
    </w:pPr>
    <w:r>
      <w:t xml:space="preserve">February </w:t>
    </w:r>
    <w:r w:rsidR="00B077D2">
      <w:t>2020</w:t>
    </w:r>
    <w:r w:rsidR="006622AF">
      <w:tab/>
    </w:r>
    <w:r w:rsidR="006622AF">
      <w:tab/>
    </w:r>
    <w:r w:rsidR="004A21FB">
      <w:rPr>
        <w:noProof/>
        <w:lang w:eastAsia="en-GB"/>
      </w:rPr>
      <w:drawing>
        <wp:inline distT="0" distB="0" distL="0" distR="0" wp14:anchorId="2033E63E" wp14:editId="0214925F">
          <wp:extent cx="2278403" cy="6667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-logo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6" t="30946" r="7010" b="31409"/>
                  <a:stretch/>
                </pic:blipFill>
                <pic:spPr bwMode="auto">
                  <a:xfrm>
                    <a:off x="0" y="0"/>
                    <a:ext cx="2278403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4331863" w14:textId="77777777" w:rsidR="004A21FB" w:rsidRDefault="004A2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3A0"/>
    <w:multiLevelType w:val="hybridMultilevel"/>
    <w:tmpl w:val="6074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9FB"/>
    <w:multiLevelType w:val="hybridMultilevel"/>
    <w:tmpl w:val="6B2AC3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7217"/>
    <w:multiLevelType w:val="hybridMultilevel"/>
    <w:tmpl w:val="5988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23E1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1C005BE9"/>
    <w:multiLevelType w:val="hybridMultilevel"/>
    <w:tmpl w:val="8F2C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2586"/>
    <w:multiLevelType w:val="hybridMultilevel"/>
    <w:tmpl w:val="8DE65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55940"/>
    <w:multiLevelType w:val="hybridMultilevel"/>
    <w:tmpl w:val="787CC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675EC"/>
    <w:multiLevelType w:val="hybridMultilevel"/>
    <w:tmpl w:val="7682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D3E"/>
    <w:multiLevelType w:val="hybridMultilevel"/>
    <w:tmpl w:val="6A3CE8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93E3E"/>
    <w:multiLevelType w:val="hybridMultilevel"/>
    <w:tmpl w:val="46500240"/>
    <w:lvl w:ilvl="0" w:tplc="468E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F6C84"/>
    <w:multiLevelType w:val="hybridMultilevel"/>
    <w:tmpl w:val="45F2A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0A5E"/>
    <w:multiLevelType w:val="hybridMultilevel"/>
    <w:tmpl w:val="D952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7883"/>
    <w:multiLevelType w:val="multilevel"/>
    <w:tmpl w:val="DD72DA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35622C"/>
    <w:multiLevelType w:val="hybridMultilevel"/>
    <w:tmpl w:val="ECAAB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A0DD8"/>
    <w:multiLevelType w:val="hybridMultilevel"/>
    <w:tmpl w:val="25046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27"/>
    <w:rsid w:val="0003634E"/>
    <w:rsid w:val="00076A35"/>
    <w:rsid w:val="00082063"/>
    <w:rsid w:val="00094C79"/>
    <w:rsid w:val="000A5984"/>
    <w:rsid w:val="000A60F8"/>
    <w:rsid w:val="000A6605"/>
    <w:rsid w:val="000C6820"/>
    <w:rsid w:val="001116CA"/>
    <w:rsid w:val="00112236"/>
    <w:rsid w:val="00127C8E"/>
    <w:rsid w:val="00142BF3"/>
    <w:rsid w:val="00160730"/>
    <w:rsid w:val="0016411A"/>
    <w:rsid w:val="0018765A"/>
    <w:rsid w:val="001A0344"/>
    <w:rsid w:val="001B0EE5"/>
    <w:rsid w:val="001B4C6F"/>
    <w:rsid w:val="001C7387"/>
    <w:rsid w:val="001F77CB"/>
    <w:rsid w:val="00216983"/>
    <w:rsid w:val="00221844"/>
    <w:rsid w:val="002546EC"/>
    <w:rsid w:val="00256230"/>
    <w:rsid w:val="002721AA"/>
    <w:rsid w:val="00276FC5"/>
    <w:rsid w:val="002B5787"/>
    <w:rsid w:val="002E0827"/>
    <w:rsid w:val="00323575"/>
    <w:rsid w:val="0032563F"/>
    <w:rsid w:val="0032757E"/>
    <w:rsid w:val="00333C3C"/>
    <w:rsid w:val="0034090C"/>
    <w:rsid w:val="00364100"/>
    <w:rsid w:val="003757A3"/>
    <w:rsid w:val="00375C97"/>
    <w:rsid w:val="003820FC"/>
    <w:rsid w:val="00397D09"/>
    <w:rsid w:val="003B1A8B"/>
    <w:rsid w:val="003B3EBD"/>
    <w:rsid w:val="003D2A81"/>
    <w:rsid w:val="003D7F40"/>
    <w:rsid w:val="0041105B"/>
    <w:rsid w:val="00415B0C"/>
    <w:rsid w:val="004271CA"/>
    <w:rsid w:val="00435D2A"/>
    <w:rsid w:val="00444BF4"/>
    <w:rsid w:val="00454257"/>
    <w:rsid w:val="00475A9A"/>
    <w:rsid w:val="004801B8"/>
    <w:rsid w:val="004A18E9"/>
    <w:rsid w:val="004A21FB"/>
    <w:rsid w:val="004B2D7D"/>
    <w:rsid w:val="004B39BF"/>
    <w:rsid w:val="004C67C7"/>
    <w:rsid w:val="004D0457"/>
    <w:rsid w:val="004E379E"/>
    <w:rsid w:val="005070FE"/>
    <w:rsid w:val="00511AD0"/>
    <w:rsid w:val="005202C6"/>
    <w:rsid w:val="00530E89"/>
    <w:rsid w:val="00553A5D"/>
    <w:rsid w:val="005849CF"/>
    <w:rsid w:val="00585485"/>
    <w:rsid w:val="0058549A"/>
    <w:rsid w:val="00587919"/>
    <w:rsid w:val="005C5986"/>
    <w:rsid w:val="005D2186"/>
    <w:rsid w:val="005D2974"/>
    <w:rsid w:val="005E26AA"/>
    <w:rsid w:val="00601E14"/>
    <w:rsid w:val="0064184C"/>
    <w:rsid w:val="006455BF"/>
    <w:rsid w:val="006622AF"/>
    <w:rsid w:val="00675FD8"/>
    <w:rsid w:val="006763D4"/>
    <w:rsid w:val="00696665"/>
    <w:rsid w:val="006A4EFD"/>
    <w:rsid w:val="006E05FC"/>
    <w:rsid w:val="007041D7"/>
    <w:rsid w:val="00717D2C"/>
    <w:rsid w:val="00720EB1"/>
    <w:rsid w:val="007307D1"/>
    <w:rsid w:val="00746110"/>
    <w:rsid w:val="00784E77"/>
    <w:rsid w:val="007C1C74"/>
    <w:rsid w:val="007E7D41"/>
    <w:rsid w:val="007F6FC6"/>
    <w:rsid w:val="00806B26"/>
    <w:rsid w:val="008103B9"/>
    <w:rsid w:val="00882473"/>
    <w:rsid w:val="008A213B"/>
    <w:rsid w:val="008B6796"/>
    <w:rsid w:val="008C17D7"/>
    <w:rsid w:val="008E2EA0"/>
    <w:rsid w:val="008E56A4"/>
    <w:rsid w:val="008F05E3"/>
    <w:rsid w:val="008F5FE4"/>
    <w:rsid w:val="00901341"/>
    <w:rsid w:val="0090648A"/>
    <w:rsid w:val="00924940"/>
    <w:rsid w:val="00925994"/>
    <w:rsid w:val="009A0557"/>
    <w:rsid w:val="009A45A3"/>
    <w:rsid w:val="009A66BB"/>
    <w:rsid w:val="009C1C93"/>
    <w:rsid w:val="009D3C48"/>
    <w:rsid w:val="00A07F5F"/>
    <w:rsid w:val="00A15CD7"/>
    <w:rsid w:val="00A232E4"/>
    <w:rsid w:val="00A3172B"/>
    <w:rsid w:val="00A40FE2"/>
    <w:rsid w:val="00A44B23"/>
    <w:rsid w:val="00A51D02"/>
    <w:rsid w:val="00A5683C"/>
    <w:rsid w:val="00A71E13"/>
    <w:rsid w:val="00A83B7D"/>
    <w:rsid w:val="00A959BE"/>
    <w:rsid w:val="00AA2A08"/>
    <w:rsid w:val="00AA3557"/>
    <w:rsid w:val="00AA7F5C"/>
    <w:rsid w:val="00AD02C8"/>
    <w:rsid w:val="00B04185"/>
    <w:rsid w:val="00B04773"/>
    <w:rsid w:val="00B077D2"/>
    <w:rsid w:val="00B12897"/>
    <w:rsid w:val="00B6219A"/>
    <w:rsid w:val="00B66A21"/>
    <w:rsid w:val="00B734B2"/>
    <w:rsid w:val="00B82492"/>
    <w:rsid w:val="00B9442C"/>
    <w:rsid w:val="00B9581A"/>
    <w:rsid w:val="00B9614A"/>
    <w:rsid w:val="00B96C7D"/>
    <w:rsid w:val="00BB2F32"/>
    <w:rsid w:val="00BC07E0"/>
    <w:rsid w:val="00BC5B67"/>
    <w:rsid w:val="00BE178D"/>
    <w:rsid w:val="00BE2A52"/>
    <w:rsid w:val="00BF06C1"/>
    <w:rsid w:val="00BF4433"/>
    <w:rsid w:val="00C51057"/>
    <w:rsid w:val="00C605CE"/>
    <w:rsid w:val="00C77226"/>
    <w:rsid w:val="00C80000"/>
    <w:rsid w:val="00CA64BB"/>
    <w:rsid w:val="00CC66BC"/>
    <w:rsid w:val="00CD2958"/>
    <w:rsid w:val="00CE6FB2"/>
    <w:rsid w:val="00CF20BB"/>
    <w:rsid w:val="00CF3F7D"/>
    <w:rsid w:val="00D10D0E"/>
    <w:rsid w:val="00D3281D"/>
    <w:rsid w:val="00D440F8"/>
    <w:rsid w:val="00D5293C"/>
    <w:rsid w:val="00D655AC"/>
    <w:rsid w:val="00D66B00"/>
    <w:rsid w:val="00DD3AC8"/>
    <w:rsid w:val="00DF3799"/>
    <w:rsid w:val="00E066C2"/>
    <w:rsid w:val="00E2127A"/>
    <w:rsid w:val="00E304D7"/>
    <w:rsid w:val="00E803BE"/>
    <w:rsid w:val="00E865A4"/>
    <w:rsid w:val="00EE23D5"/>
    <w:rsid w:val="00EE586D"/>
    <w:rsid w:val="00F02195"/>
    <w:rsid w:val="00F12071"/>
    <w:rsid w:val="00F336FB"/>
    <w:rsid w:val="00F3638A"/>
    <w:rsid w:val="00F4024F"/>
    <w:rsid w:val="00F4231E"/>
    <w:rsid w:val="00F539FC"/>
    <w:rsid w:val="00F82EC6"/>
    <w:rsid w:val="00F9157D"/>
    <w:rsid w:val="00F97A49"/>
    <w:rsid w:val="00FB6C07"/>
    <w:rsid w:val="00FC49C6"/>
    <w:rsid w:val="00FC5900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A5A27"/>
  <w15:chartTrackingRefBased/>
  <w15:docId w15:val="{D22D13AD-2427-488E-8C7E-7D0C5EA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9C6"/>
    <w:pPr>
      <w:keepNext/>
      <w:keepLines/>
      <w:spacing w:after="240"/>
      <w:outlineLvl w:val="0"/>
    </w:pPr>
    <w:rPr>
      <w:rFonts w:ascii="Arial" w:eastAsiaTheme="majorEastAsia" w:hAnsi="Arial" w:cstheme="majorBidi"/>
      <w:color w:val="2F5496" w:themeColor="accent5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FB6C07"/>
    <w:pPr>
      <w:outlineLvl w:val="1"/>
    </w:pPr>
    <w:rPr>
      <w:rFonts w:ascii="Arial" w:hAnsi="Arial" w:cs="Arial"/>
      <w:b/>
      <w:color w:val="4472C4" w:themeColor="accent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1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A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9C6"/>
    <w:rPr>
      <w:rFonts w:ascii="Arial" w:eastAsiaTheme="majorEastAsia" w:hAnsi="Arial" w:cstheme="majorBidi"/>
      <w:color w:val="2F5496" w:themeColor="accent5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C07"/>
    <w:rPr>
      <w:rFonts w:ascii="Arial" w:eastAsiaTheme="majorEastAsia" w:hAnsi="Arial" w:cs="Arial"/>
      <w:b/>
      <w:color w:val="4472C4" w:themeColor="accent5"/>
      <w:sz w:val="24"/>
      <w:szCs w:val="24"/>
    </w:rPr>
  </w:style>
  <w:style w:type="paragraph" w:styleId="NoSpacing">
    <w:name w:val="No Spacing"/>
    <w:uiPriority w:val="1"/>
    <w:qFormat/>
    <w:rsid w:val="004D045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15CD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A21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21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FB"/>
  </w:style>
  <w:style w:type="paragraph" w:styleId="Footer">
    <w:name w:val="footer"/>
    <w:basedOn w:val="Normal"/>
    <w:link w:val="FooterChar"/>
    <w:uiPriority w:val="99"/>
    <w:unhideWhenUsed/>
    <w:rsid w:val="004A2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FB"/>
  </w:style>
  <w:style w:type="character" w:styleId="CommentReference">
    <w:name w:val="annotation reference"/>
    <w:basedOn w:val="DefaultParagraphFont"/>
    <w:uiPriority w:val="99"/>
    <w:semiHidden/>
    <w:unhideWhenUsed/>
    <w:rsid w:val="00784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19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tso.com/" TargetMode="External"/><Relationship Id="rId13" Type="http://schemas.openxmlformats.org/officeDocument/2006/relationships/hyperlink" Target="%20https://www.ucl.ac.uk/teaching-learning/case-studies/2018/dec/how-engage-students-small-medium-cohort-undergradu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l.ac.uk/teaching-learning/case-studies/2018/dec/how-engage-students-small-medium-cohort-undergraduat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etso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vcucl.siso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isd/services/learning-teaching/e-learning-services-for-staff/e-learning-core-tools/electronic-vot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61DBE-D55C-4FD7-A043-B1F68985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Allen</dc:creator>
  <cp:keywords/>
  <dc:description/>
  <cp:lastModifiedBy>Cassidy, Roisin</cp:lastModifiedBy>
  <cp:revision>2</cp:revision>
  <cp:lastPrinted>2020-02-17T17:11:00Z</cp:lastPrinted>
  <dcterms:created xsi:type="dcterms:W3CDTF">2020-02-21T16:24:00Z</dcterms:created>
  <dcterms:modified xsi:type="dcterms:W3CDTF">2020-02-21T16:24:00Z</dcterms:modified>
</cp:coreProperties>
</file>