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7D3A" w:rsidRPr="007918F7" w:rsidRDefault="00BD7D3A" w:rsidP="007918F7">
      <w:pPr>
        <w:pStyle w:val="Title"/>
      </w:pPr>
      <w:bookmarkStart w:id="0" w:name="_GoBack"/>
      <w:bookmarkEnd w:id="0"/>
      <w:r w:rsidRPr="007918F7">
        <w:t>National Student Surv</w:t>
      </w:r>
      <w:r w:rsidR="006E4A38" w:rsidRPr="007918F7">
        <w:t xml:space="preserve">ey Liaison Officer </w:t>
      </w:r>
      <w:r w:rsidR="0053151C" w:rsidRPr="007918F7">
        <w:t xml:space="preserve">Guidance </w:t>
      </w:r>
      <w:r w:rsidR="007918F7">
        <w:t>2018</w:t>
      </w:r>
    </w:p>
    <w:p w:rsidR="00BD7D3A" w:rsidRDefault="00B823D0" w:rsidP="007918F7">
      <w:pPr>
        <w:spacing w:line="240" w:lineRule="auto"/>
      </w:pPr>
      <w:r>
        <w:t xml:space="preserve">(Updated </w:t>
      </w:r>
      <w:r w:rsidR="007918F7">
        <w:t>16 November 2017</w:t>
      </w:r>
      <w:r w:rsidR="00BD7D3A">
        <w:t>)</w:t>
      </w:r>
    </w:p>
    <w:sdt>
      <w:sdtPr>
        <w:rPr>
          <w:rFonts w:ascii="Arial" w:eastAsiaTheme="minorEastAsia" w:hAnsi="Arial" w:cstheme="minorBidi"/>
          <w:b w:val="0"/>
          <w:bCs w:val="0"/>
          <w:color w:val="auto"/>
          <w:sz w:val="22"/>
          <w:szCs w:val="22"/>
          <w:lang w:val="en-GB" w:eastAsia="zh-CN"/>
        </w:rPr>
        <w:id w:val="779149399"/>
        <w:docPartObj>
          <w:docPartGallery w:val="Table of Contents"/>
          <w:docPartUnique/>
        </w:docPartObj>
      </w:sdtPr>
      <w:sdtEndPr>
        <w:rPr>
          <w:noProof/>
        </w:rPr>
      </w:sdtEndPr>
      <w:sdtContent>
        <w:p w:rsidR="00BD7D3A" w:rsidRPr="007918F7" w:rsidRDefault="00BD7D3A" w:rsidP="007918F7">
          <w:pPr>
            <w:pStyle w:val="TOCHeading"/>
            <w:spacing w:line="240" w:lineRule="auto"/>
            <w:rPr>
              <w:rFonts w:asciiTheme="minorBidi" w:hAnsiTheme="minorBidi" w:cstheme="minorBidi"/>
              <w:b w:val="0"/>
              <w:bCs w:val="0"/>
              <w:color w:val="5F2987"/>
            </w:rPr>
          </w:pPr>
          <w:r w:rsidRPr="007918F7">
            <w:rPr>
              <w:rFonts w:asciiTheme="minorBidi" w:hAnsiTheme="minorBidi" w:cstheme="minorBidi"/>
              <w:b w:val="0"/>
              <w:bCs w:val="0"/>
              <w:color w:val="5F2987"/>
            </w:rPr>
            <w:t>Contents</w:t>
          </w:r>
          <w:r w:rsidR="00C323EE" w:rsidRPr="007918F7">
            <w:rPr>
              <w:rFonts w:asciiTheme="minorBidi" w:hAnsiTheme="minorBidi" w:cstheme="minorBidi"/>
              <w:b w:val="0"/>
              <w:bCs w:val="0"/>
              <w:color w:val="5F2987"/>
            </w:rPr>
            <w:br/>
          </w:r>
        </w:p>
        <w:p w:rsidR="00900398" w:rsidRDefault="00BD7D3A">
          <w:pPr>
            <w:pStyle w:val="TOC2"/>
            <w:tabs>
              <w:tab w:val="right" w:leader="dot" w:pos="9736"/>
            </w:tabs>
            <w:rPr>
              <w:rFonts w:asciiTheme="minorHAnsi" w:hAnsiTheme="minorHAnsi"/>
              <w:noProof/>
              <w:lang w:eastAsia="en-GB"/>
            </w:rPr>
          </w:pPr>
          <w:r>
            <w:fldChar w:fldCharType="begin"/>
          </w:r>
          <w:r>
            <w:instrText xml:space="preserve"> TOC \o "1-3" \h \z \u </w:instrText>
          </w:r>
          <w:r>
            <w:fldChar w:fldCharType="separate"/>
          </w:r>
          <w:hyperlink w:anchor="_Toc498599526" w:history="1">
            <w:r w:rsidR="00900398" w:rsidRPr="00553750">
              <w:rPr>
                <w:rStyle w:val="Hyperlink"/>
                <w:noProof/>
              </w:rPr>
              <w:t>The role of the NSS Liaison Officer/s</w:t>
            </w:r>
            <w:r w:rsidR="00900398">
              <w:rPr>
                <w:noProof/>
                <w:webHidden/>
              </w:rPr>
              <w:tab/>
            </w:r>
            <w:r w:rsidR="00900398">
              <w:rPr>
                <w:noProof/>
                <w:webHidden/>
              </w:rPr>
              <w:fldChar w:fldCharType="begin"/>
            </w:r>
            <w:r w:rsidR="00900398">
              <w:rPr>
                <w:noProof/>
                <w:webHidden/>
              </w:rPr>
              <w:instrText xml:space="preserve"> PAGEREF _Toc498599526 \h </w:instrText>
            </w:r>
            <w:r w:rsidR="00900398">
              <w:rPr>
                <w:noProof/>
                <w:webHidden/>
              </w:rPr>
            </w:r>
            <w:r w:rsidR="00900398">
              <w:rPr>
                <w:noProof/>
                <w:webHidden/>
              </w:rPr>
              <w:fldChar w:fldCharType="separate"/>
            </w:r>
            <w:r w:rsidR="00900398">
              <w:rPr>
                <w:noProof/>
                <w:webHidden/>
              </w:rPr>
              <w:t>2</w:t>
            </w:r>
            <w:r w:rsidR="00900398">
              <w:rPr>
                <w:noProof/>
                <w:webHidden/>
              </w:rPr>
              <w:fldChar w:fldCharType="end"/>
            </w:r>
          </w:hyperlink>
        </w:p>
        <w:p w:rsidR="00900398" w:rsidRDefault="001534A5">
          <w:pPr>
            <w:pStyle w:val="TOC2"/>
            <w:tabs>
              <w:tab w:val="right" w:leader="dot" w:pos="9736"/>
            </w:tabs>
            <w:rPr>
              <w:rFonts w:asciiTheme="minorHAnsi" w:hAnsiTheme="minorHAnsi"/>
              <w:noProof/>
              <w:lang w:eastAsia="en-GB"/>
            </w:rPr>
          </w:pPr>
          <w:hyperlink w:anchor="_Toc498599527" w:history="1">
            <w:r w:rsidR="00900398" w:rsidRPr="00553750">
              <w:rPr>
                <w:rStyle w:val="Hyperlink"/>
                <w:noProof/>
              </w:rPr>
              <w:t>Key updates from last year</w:t>
            </w:r>
            <w:r w:rsidR="00900398">
              <w:rPr>
                <w:noProof/>
                <w:webHidden/>
              </w:rPr>
              <w:tab/>
            </w:r>
            <w:r w:rsidR="00900398">
              <w:rPr>
                <w:noProof/>
                <w:webHidden/>
              </w:rPr>
              <w:fldChar w:fldCharType="begin"/>
            </w:r>
            <w:r w:rsidR="00900398">
              <w:rPr>
                <w:noProof/>
                <w:webHidden/>
              </w:rPr>
              <w:instrText xml:space="preserve"> PAGEREF _Toc498599527 \h </w:instrText>
            </w:r>
            <w:r w:rsidR="00900398">
              <w:rPr>
                <w:noProof/>
                <w:webHidden/>
              </w:rPr>
            </w:r>
            <w:r w:rsidR="00900398">
              <w:rPr>
                <w:noProof/>
                <w:webHidden/>
              </w:rPr>
              <w:fldChar w:fldCharType="separate"/>
            </w:r>
            <w:r w:rsidR="00900398">
              <w:rPr>
                <w:noProof/>
                <w:webHidden/>
              </w:rPr>
              <w:t>2</w:t>
            </w:r>
            <w:r w:rsidR="00900398">
              <w:rPr>
                <w:noProof/>
                <w:webHidden/>
              </w:rPr>
              <w:fldChar w:fldCharType="end"/>
            </w:r>
          </w:hyperlink>
        </w:p>
        <w:p w:rsidR="00900398" w:rsidRDefault="001534A5">
          <w:pPr>
            <w:pStyle w:val="TOC2"/>
            <w:tabs>
              <w:tab w:val="right" w:leader="dot" w:pos="9736"/>
            </w:tabs>
            <w:rPr>
              <w:rFonts w:asciiTheme="minorHAnsi" w:hAnsiTheme="minorHAnsi"/>
              <w:noProof/>
              <w:lang w:eastAsia="en-GB"/>
            </w:rPr>
          </w:pPr>
          <w:hyperlink w:anchor="_Toc498599528" w:history="1">
            <w:r w:rsidR="00900398" w:rsidRPr="00553750">
              <w:rPr>
                <w:rStyle w:val="Hyperlink"/>
                <w:noProof/>
              </w:rPr>
              <w:t>NSS 2018 Key Dates</w:t>
            </w:r>
            <w:r w:rsidR="00900398">
              <w:rPr>
                <w:noProof/>
                <w:webHidden/>
              </w:rPr>
              <w:tab/>
            </w:r>
            <w:r w:rsidR="00900398">
              <w:rPr>
                <w:noProof/>
                <w:webHidden/>
              </w:rPr>
              <w:fldChar w:fldCharType="begin"/>
            </w:r>
            <w:r w:rsidR="00900398">
              <w:rPr>
                <w:noProof/>
                <w:webHidden/>
              </w:rPr>
              <w:instrText xml:space="preserve"> PAGEREF _Toc498599528 \h </w:instrText>
            </w:r>
            <w:r w:rsidR="00900398">
              <w:rPr>
                <w:noProof/>
                <w:webHidden/>
              </w:rPr>
            </w:r>
            <w:r w:rsidR="00900398">
              <w:rPr>
                <w:noProof/>
                <w:webHidden/>
              </w:rPr>
              <w:fldChar w:fldCharType="separate"/>
            </w:r>
            <w:r w:rsidR="00900398">
              <w:rPr>
                <w:noProof/>
                <w:webHidden/>
              </w:rPr>
              <w:t>2</w:t>
            </w:r>
            <w:r w:rsidR="00900398">
              <w:rPr>
                <w:noProof/>
                <w:webHidden/>
              </w:rPr>
              <w:fldChar w:fldCharType="end"/>
            </w:r>
          </w:hyperlink>
        </w:p>
        <w:p w:rsidR="00900398" w:rsidRDefault="001534A5">
          <w:pPr>
            <w:pStyle w:val="TOC2"/>
            <w:tabs>
              <w:tab w:val="right" w:leader="dot" w:pos="9736"/>
            </w:tabs>
            <w:rPr>
              <w:rFonts w:asciiTheme="minorHAnsi" w:hAnsiTheme="minorHAnsi"/>
              <w:noProof/>
              <w:lang w:eastAsia="en-GB"/>
            </w:rPr>
          </w:pPr>
          <w:hyperlink w:anchor="_Toc498599529" w:history="1">
            <w:r w:rsidR="00900398" w:rsidRPr="00553750">
              <w:rPr>
                <w:rStyle w:val="Hyperlink"/>
                <w:noProof/>
              </w:rPr>
              <w:t>Student eligibility for the NSS</w:t>
            </w:r>
            <w:r w:rsidR="00900398">
              <w:rPr>
                <w:noProof/>
                <w:webHidden/>
              </w:rPr>
              <w:tab/>
            </w:r>
            <w:r w:rsidR="00900398">
              <w:rPr>
                <w:noProof/>
                <w:webHidden/>
              </w:rPr>
              <w:fldChar w:fldCharType="begin"/>
            </w:r>
            <w:r w:rsidR="00900398">
              <w:rPr>
                <w:noProof/>
                <w:webHidden/>
              </w:rPr>
              <w:instrText xml:space="preserve"> PAGEREF _Toc498599529 \h </w:instrText>
            </w:r>
            <w:r w:rsidR="00900398">
              <w:rPr>
                <w:noProof/>
                <w:webHidden/>
              </w:rPr>
            </w:r>
            <w:r w:rsidR="00900398">
              <w:rPr>
                <w:noProof/>
                <w:webHidden/>
              </w:rPr>
              <w:fldChar w:fldCharType="separate"/>
            </w:r>
            <w:r w:rsidR="00900398">
              <w:rPr>
                <w:noProof/>
                <w:webHidden/>
              </w:rPr>
              <w:t>3</w:t>
            </w:r>
            <w:r w:rsidR="00900398">
              <w:rPr>
                <w:noProof/>
                <w:webHidden/>
              </w:rPr>
              <w:fldChar w:fldCharType="end"/>
            </w:r>
          </w:hyperlink>
        </w:p>
        <w:p w:rsidR="00900398" w:rsidRDefault="001534A5">
          <w:pPr>
            <w:pStyle w:val="TOC3"/>
            <w:tabs>
              <w:tab w:val="right" w:leader="dot" w:pos="9736"/>
            </w:tabs>
            <w:rPr>
              <w:rFonts w:asciiTheme="minorHAnsi" w:hAnsiTheme="minorHAnsi"/>
              <w:noProof/>
              <w:lang w:eastAsia="en-GB"/>
            </w:rPr>
          </w:pPr>
          <w:hyperlink w:anchor="_Toc498599530" w:history="1">
            <w:r w:rsidR="00900398" w:rsidRPr="00553750">
              <w:rPr>
                <w:rStyle w:val="Hyperlink"/>
                <w:noProof/>
              </w:rPr>
              <w:t>Additions</w:t>
            </w:r>
            <w:r w:rsidR="00900398">
              <w:rPr>
                <w:noProof/>
                <w:webHidden/>
              </w:rPr>
              <w:tab/>
            </w:r>
            <w:r w:rsidR="00900398">
              <w:rPr>
                <w:noProof/>
                <w:webHidden/>
              </w:rPr>
              <w:fldChar w:fldCharType="begin"/>
            </w:r>
            <w:r w:rsidR="00900398">
              <w:rPr>
                <w:noProof/>
                <w:webHidden/>
              </w:rPr>
              <w:instrText xml:space="preserve"> PAGEREF _Toc498599530 \h </w:instrText>
            </w:r>
            <w:r w:rsidR="00900398">
              <w:rPr>
                <w:noProof/>
                <w:webHidden/>
              </w:rPr>
            </w:r>
            <w:r w:rsidR="00900398">
              <w:rPr>
                <w:noProof/>
                <w:webHidden/>
              </w:rPr>
              <w:fldChar w:fldCharType="separate"/>
            </w:r>
            <w:r w:rsidR="00900398">
              <w:rPr>
                <w:noProof/>
                <w:webHidden/>
              </w:rPr>
              <w:t>3</w:t>
            </w:r>
            <w:r w:rsidR="00900398">
              <w:rPr>
                <w:noProof/>
                <w:webHidden/>
              </w:rPr>
              <w:fldChar w:fldCharType="end"/>
            </w:r>
          </w:hyperlink>
        </w:p>
        <w:p w:rsidR="00900398" w:rsidRDefault="001534A5">
          <w:pPr>
            <w:pStyle w:val="TOC3"/>
            <w:tabs>
              <w:tab w:val="right" w:leader="dot" w:pos="9736"/>
            </w:tabs>
            <w:rPr>
              <w:rFonts w:asciiTheme="minorHAnsi" w:hAnsiTheme="minorHAnsi"/>
              <w:noProof/>
              <w:lang w:eastAsia="en-GB"/>
            </w:rPr>
          </w:pPr>
          <w:hyperlink w:anchor="_Toc498599531" w:history="1">
            <w:r w:rsidR="00900398" w:rsidRPr="00553750">
              <w:rPr>
                <w:rStyle w:val="Hyperlink"/>
                <w:noProof/>
              </w:rPr>
              <w:t>Removals</w:t>
            </w:r>
            <w:r w:rsidR="00900398">
              <w:rPr>
                <w:noProof/>
                <w:webHidden/>
              </w:rPr>
              <w:tab/>
            </w:r>
            <w:r w:rsidR="00900398">
              <w:rPr>
                <w:noProof/>
                <w:webHidden/>
              </w:rPr>
              <w:fldChar w:fldCharType="begin"/>
            </w:r>
            <w:r w:rsidR="00900398">
              <w:rPr>
                <w:noProof/>
                <w:webHidden/>
              </w:rPr>
              <w:instrText xml:space="preserve"> PAGEREF _Toc498599531 \h </w:instrText>
            </w:r>
            <w:r w:rsidR="00900398">
              <w:rPr>
                <w:noProof/>
                <w:webHidden/>
              </w:rPr>
            </w:r>
            <w:r w:rsidR="00900398">
              <w:rPr>
                <w:noProof/>
                <w:webHidden/>
              </w:rPr>
              <w:fldChar w:fldCharType="separate"/>
            </w:r>
            <w:r w:rsidR="00900398">
              <w:rPr>
                <w:noProof/>
                <w:webHidden/>
              </w:rPr>
              <w:t>3</w:t>
            </w:r>
            <w:r w:rsidR="00900398">
              <w:rPr>
                <w:noProof/>
                <w:webHidden/>
              </w:rPr>
              <w:fldChar w:fldCharType="end"/>
            </w:r>
          </w:hyperlink>
        </w:p>
        <w:p w:rsidR="00900398" w:rsidRDefault="001534A5">
          <w:pPr>
            <w:pStyle w:val="TOC2"/>
            <w:tabs>
              <w:tab w:val="right" w:leader="dot" w:pos="9736"/>
            </w:tabs>
            <w:rPr>
              <w:rFonts w:asciiTheme="minorHAnsi" w:hAnsiTheme="minorHAnsi"/>
              <w:noProof/>
              <w:lang w:eastAsia="en-GB"/>
            </w:rPr>
          </w:pPr>
          <w:hyperlink w:anchor="_Toc498599532" w:history="1">
            <w:r w:rsidR="00900398" w:rsidRPr="00553750">
              <w:rPr>
                <w:rStyle w:val="Hyperlink"/>
                <w:noProof/>
              </w:rPr>
              <w:t>Check-list of actions for the NSSLO to undertake for the NSS</w:t>
            </w:r>
            <w:r w:rsidR="00900398">
              <w:rPr>
                <w:noProof/>
                <w:webHidden/>
              </w:rPr>
              <w:tab/>
            </w:r>
            <w:r w:rsidR="00900398">
              <w:rPr>
                <w:noProof/>
                <w:webHidden/>
              </w:rPr>
              <w:fldChar w:fldCharType="begin"/>
            </w:r>
            <w:r w:rsidR="00900398">
              <w:rPr>
                <w:noProof/>
                <w:webHidden/>
              </w:rPr>
              <w:instrText xml:space="preserve"> PAGEREF _Toc498599532 \h </w:instrText>
            </w:r>
            <w:r w:rsidR="00900398">
              <w:rPr>
                <w:noProof/>
                <w:webHidden/>
              </w:rPr>
            </w:r>
            <w:r w:rsidR="00900398">
              <w:rPr>
                <w:noProof/>
                <w:webHidden/>
              </w:rPr>
              <w:fldChar w:fldCharType="separate"/>
            </w:r>
            <w:r w:rsidR="00900398">
              <w:rPr>
                <w:noProof/>
                <w:webHidden/>
              </w:rPr>
              <w:t>3</w:t>
            </w:r>
            <w:r w:rsidR="00900398">
              <w:rPr>
                <w:noProof/>
                <w:webHidden/>
              </w:rPr>
              <w:fldChar w:fldCharType="end"/>
            </w:r>
          </w:hyperlink>
        </w:p>
        <w:p w:rsidR="00900398" w:rsidRDefault="001534A5">
          <w:pPr>
            <w:pStyle w:val="TOC2"/>
            <w:tabs>
              <w:tab w:val="right" w:leader="dot" w:pos="9736"/>
            </w:tabs>
            <w:rPr>
              <w:rFonts w:asciiTheme="minorHAnsi" w:hAnsiTheme="minorHAnsi"/>
              <w:noProof/>
              <w:lang w:eastAsia="en-GB"/>
            </w:rPr>
          </w:pPr>
          <w:hyperlink w:anchor="_Toc498599533" w:history="1">
            <w:r w:rsidR="00900398" w:rsidRPr="00553750">
              <w:rPr>
                <w:rStyle w:val="Hyperlink"/>
                <w:noProof/>
              </w:rPr>
              <w:t>Other suggestions and good practice from NSSLOs in previous years*</w:t>
            </w:r>
            <w:r w:rsidR="00900398">
              <w:rPr>
                <w:noProof/>
                <w:webHidden/>
              </w:rPr>
              <w:tab/>
            </w:r>
            <w:r w:rsidR="00900398">
              <w:rPr>
                <w:noProof/>
                <w:webHidden/>
              </w:rPr>
              <w:fldChar w:fldCharType="begin"/>
            </w:r>
            <w:r w:rsidR="00900398">
              <w:rPr>
                <w:noProof/>
                <w:webHidden/>
              </w:rPr>
              <w:instrText xml:space="preserve"> PAGEREF _Toc498599533 \h </w:instrText>
            </w:r>
            <w:r w:rsidR="00900398">
              <w:rPr>
                <w:noProof/>
                <w:webHidden/>
              </w:rPr>
            </w:r>
            <w:r w:rsidR="00900398">
              <w:rPr>
                <w:noProof/>
                <w:webHidden/>
              </w:rPr>
              <w:fldChar w:fldCharType="separate"/>
            </w:r>
            <w:r w:rsidR="00900398">
              <w:rPr>
                <w:noProof/>
                <w:webHidden/>
              </w:rPr>
              <w:t>4</w:t>
            </w:r>
            <w:r w:rsidR="00900398">
              <w:rPr>
                <w:noProof/>
                <w:webHidden/>
              </w:rPr>
              <w:fldChar w:fldCharType="end"/>
            </w:r>
          </w:hyperlink>
        </w:p>
        <w:p w:rsidR="00900398" w:rsidRDefault="001534A5">
          <w:pPr>
            <w:pStyle w:val="TOC2"/>
            <w:tabs>
              <w:tab w:val="right" w:leader="dot" w:pos="9736"/>
            </w:tabs>
            <w:rPr>
              <w:rFonts w:asciiTheme="minorHAnsi" w:hAnsiTheme="minorHAnsi"/>
              <w:noProof/>
              <w:lang w:eastAsia="en-GB"/>
            </w:rPr>
          </w:pPr>
          <w:hyperlink w:anchor="_Toc498599534" w:history="1">
            <w:r w:rsidR="00900398" w:rsidRPr="00553750">
              <w:rPr>
                <w:rStyle w:val="Hyperlink"/>
                <w:noProof/>
              </w:rPr>
              <w:t>Publicity tools</w:t>
            </w:r>
            <w:r w:rsidR="00900398">
              <w:rPr>
                <w:noProof/>
                <w:webHidden/>
              </w:rPr>
              <w:tab/>
            </w:r>
            <w:r w:rsidR="00900398">
              <w:rPr>
                <w:noProof/>
                <w:webHidden/>
              </w:rPr>
              <w:fldChar w:fldCharType="begin"/>
            </w:r>
            <w:r w:rsidR="00900398">
              <w:rPr>
                <w:noProof/>
                <w:webHidden/>
              </w:rPr>
              <w:instrText xml:space="preserve"> PAGEREF _Toc498599534 \h </w:instrText>
            </w:r>
            <w:r w:rsidR="00900398">
              <w:rPr>
                <w:noProof/>
                <w:webHidden/>
              </w:rPr>
            </w:r>
            <w:r w:rsidR="00900398">
              <w:rPr>
                <w:noProof/>
                <w:webHidden/>
              </w:rPr>
              <w:fldChar w:fldCharType="separate"/>
            </w:r>
            <w:r w:rsidR="00900398">
              <w:rPr>
                <w:noProof/>
                <w:webHidden/>
              </w:rPr>
              <w:t>4</w:t>
            </w:r>
            <w:r w:rsidR="00900398">
              <w:rPr>
                <w:noProof/>
                <w:webHidden/>
              </w:rPr>
              <w:fldChar w:fldCharType="end"/>
            </w:r>
          </w:hyperlink>
        </w:p>
        <w:p w:rsidR="00900398" w:rsidRDefault="001534A5">
          <w:pPr>
            <w:pStyle w:val="TOC3"/>
            <w:tabs>
              <w:tab w:val="left" w:pos="880"/>
              <w:tab w:val="right" w:leader="dot" w:pos="9736"/>
            </w:tabs>
            <w:rPr>
              <w:rFonts w:asciiTheme="minorHAnsi" w:hAnsiTheme="minorHAnsi"/>
              <w:noProof/>
              <w:lang w:eastAsia="en-GB"/>
            </w:rPr>
          </w:pPr>
          <w:hyperlink w:anchor="_Toc498599535" w:history="1">
            <w:r w:rsidR="00900398" w:rsidRPr="00553750">
              <w:rPr>
                <w:rStyle w:val="Hyperlink"/>
                <w:noProof/>
              </w:rPr>
              <w:t>1)</w:t>
            </w:r>
            <w:r w:rsidR="00900398">
              <w:rPr>
                <w:rFonts w:asciiTheme="minorHAnsi" w:hAnsiTheme="minorHAnsi"/>
                <w:noProof/>
                <w:lang w:eastAsia="en-GB"/>
              </w:rPr>
              <w:tab/>
            </w:r>
            <w:r w:rsidR="00900398" w:rsidRPr="00553750">
              <w:rPr>
                <w:rStyle w:val="Hyperlink"/>
                <w:noProof/>
              </w:rPr>
              <w:t>NSS posters and flyers</w:t>
            </w:r>
            <w:r w:rsidR="00900398">
              <w:rPr>
                <w:noProof/>
                <w:webHidden/>
              </w:rPr>
              <w:tab/>
            </w:r>
            <w:r w:rsidR="00900398">
              <w:rPr>
                <w:noProof/>
                <w:webHidden/>
              </w:rPr>
              <w:fldChar w:fldCharType="begin"/>
            </w:r>
            <w:r w:rsidR="00900398">
              <w:rPr>
                <w:noProof/>
                <w:webHidden/>
              </w:rPr>
              <w:instrText xml:space="preserve"> PAGEREF _Toc498599535 \h </w:instrText>
            </w:r>
            <w:r w:rsidR="00900398">
              <w:rPr>
                <w:noProof/>
                <w:webHidden/>
              </w:rPr>
            </w:r>
            <w:r w:rsidR="00900398">
              <w:rPr>
                <w:noProof/>
                <w:webHidden/>
              </w:rPr>
              <w:fldChar w:fldCharType="separate"/>
            </w:r>
            <w:r w:rsidR="00900398">
              <w:rPr>
                <w:noProof/>
                <w:webHidden/>
              </w:rPr>
              <w:t>4</w:t>
            </w:r>
            <w:r w:rsidR="00900398">
              <w:rPr>
                <w:noProof/>
                <w:webHidden/>
              </w:rPr>
              <w:fldChar w:fldCharType="end"/>
            </w:r>
          </w:hyperlink>
        </w:p>
        <w:p w:rsidR="00900398" w:rsidRDefault="001534A5">
          <w:pPr>
            <w:pStyle w:val="TOC3"/>
            <w:tabs>
              <w:tab w:val="left" w:pos="880"/>
              <w:tab w:val="right" w:leader="dot" w:pos="9736"/>
            </w:tabs>
            <w:rPr>
              <w:rFonts w:asciiTheme="minorHAnsi" w:hAnsiTheme="minorHAnsi"/>
              <w:noProof/>
              <w:lang w:eastAsia="en-GB"/>
            </w:rPr>
          </w:pPr>
          <w:hyperlink w:anchor="_Toc498599536" w:history="1">
            <w:r w:rsidR="00900398" w:rsidRPr="00553750">
              <w:rPr>
                <w:rStyle w:val="Hyperlink"/>
                <w:noProof/>
              </w:rPr>
              <w:t>2)</w:t>
            </w:r>
            <w:r w:rsidR="00900398">
              <w:rPr>
                <w:rFonts w:asciiTheme="minorHAnsi" w:hAnsiTheme="minorHAnsi"/>
                <w:noProof/>
                <w:lang w:eastAsia="en-GB"/>
              </w:rPr>
              <w:tab/>
            </w:r>
            <w:r w:rsidR="00900398" w:rsidRPr="00553750">
              <w:rPr>
                <w:rStyle w:val="Hyperlink"/>
                <w:noProof/>
              </w:rPr>
              <w:t>Electronic publicity material</w:t>
            </w:r>
            <w:r w:rsidR="00900398">
              <w:rPr>
                <w:noProof/>
                <w:webHidden/>
              </w:rPr>
              <w:tab/>
            </w:r>
            <w:r w:rsidR="00900398">
              <w:rPr>
                <w:noProof/>
                <w:webHidden/>
              </w:rPr>
              <w:fldChar w:fldCharType="begin"/>
            </w:r>
            <w:r w:rsidR="00900398">
              <w:rPr>
                <w:noProof/>
                <w:webHidden/>
              </w:rPr>
              <w:instrText xml:space="preserve"> PAGEREF _Toc498599536 \h </w:instrText>
            </w:r>
            <w:r w:rsidR="00900398">
              <w:rPr>
                <w:noProof/>
                <w:webHidden/>
              </w:rPr>
            </w:r>
            <w:r w:rsidR="00900398">
              <w:rPr>
                <w:noProof/>
                <w:webHidden/>
              </w:rPr>
              <w:fldChar w:fldCharType="separate"/>
            </w:r>
            <w:r w:rsidR="00900398">
              <w:rPr>
                <w:noProof/>
                <w:webHidden/>
              </w:rPr>
              <w:t>4</w:t>
            </w:r>
            <w:r w:rsidR="00900398">
              <w:rPr>
                <w:noProof/>
                <w:webHidden/>
              </w:rPr>
              <w:fldChar w:fldCharType="end"/>
            </w:r>
          </w:hyperlink>
        </w:p>
        <w:p w:rsidR="00900398" w:rsidRDefault="001534A5">
          <w:pPr>
            <w:pStyle w:val="TOC3"/>
            <w:tabs>
              <w:tab w:val="left" w:pos="1100"/>
              <w:tab w:val="right" w:leader="dot" w:pos="9736"/>
            </w:tabs>
            <w:rPr>
              <w:rFonts w:asciiTheme="minorHAnsi" w:hAnsiTheme="minorHAnsi"/>
              <w:noProof/>
              <w:lang w:eastAsia="en-GB"/>
            </w:rPr>
          </w:pPr>
          <w:hyperlink w:anchor="_Toc498599537" w:history="1">
            <w:r w:rsidR="00900398" w:rsidRPr="00553750">
              <w:rPr>
                <w:rStyle w:val="Hyperlink"/>
                <w:noProof/>
              </w:rPr>
              <w:t xml:space="preserve">3) </w:t>
            </w:r>
            <w:r w:rsidR="00900398">
              <w:rPr>
                <w:rFonts w:asciiTheme="minorHAnsi" w:hAnsiTheme="minorHAnsi"/>
                <w:noProof/>
                <w:lang w:eastAsia="en-GB"/>
              </w:rPr>
              <w:tab/>
            </w:r>
            <w:r w:rsidR="00900398" w:rsidRPr="00553750">
              <w:rPr>
                <w:rStyle w:val="Hyperlink"/>
                <w:noProof/>
              </w:rPr>
              <w:t>Emails and social media</w:t>
            </w:r>
            <w:r w:rsidR="00900398">
              <w:rPr>
                <w:noProof/>
                <w:webHidden/>
              </w:rPr>
              <w:tab/>
            </w:r>
            <w:r w:rsidR="00900398">
              <w:rPr>
                <w:noProof/>
                <w:webHidden/>
              </w:rPr>
              <w:fldChar w:fldCharType="begin"/>
            </w:r>
            <w:r w:rsidR="00900398">
              <w:rPr>
                <w:noProof/>
                <w:webHidden/>
              </w:rPr>
              <w:instrText xml:space="preserve"> PAGEREF _Toc498599537 \h </w:instrText>
            </w:r>
            <w:r w:rsidR="00900398">
              <w:rPr>
                <w:noProof/>
                <w:webHidden/>
              </w:rPr>
            </w:r>
            <w:r w:rsidR="00900398">
              <w:rPr>
                <w:noProof/>
                <w:webHidden/>
              </w:rPr>
              <w:fldChar w:fldCharType="separate"/>
            </w:r>
            <w:r w:rsidR="00900398">
              <w:rPr>
                <w:noProof/>
                <w:webHidden/>
              </w:rPr>
              <w:t>4</w:t>
            </w:r>
            <w:r w:rsidR="00900398">
              <w:rPr>
                <w:noProof/>
                <w:webHidden/>
              </w:rPr>
              <w:fldChar w:fldCharType="end"/>
            </w:r>
          </w:hyperlink>
        </w:p>
        <w:p w:rsidR="00900398" w:rsidRDefault="001534A5">
          <w:pPr>
            <w:pStyle w:val="TOC2"/>
            <w:tabs>
              <w:tab w:val="right" w:leader="dot" w:pos="9736"/>
            </w:tabs>
            <w:rPr>
              <w:rFonts w:asciiTheme="minorHAnsi" w:hAnsiTheme="minorHAnsi"/>
              <w:noProof/>
              <w:lang w:eastAsia="en-GB"/>
            </w:rPr>
          </w:pPr>
          <w:hyperlink w:anchor="_Toc498599538" w:history="1">
            <w:r w:rsidR="00900398" w:rsidRPr="00553750">
              <w:rPr>
                <w:rStyle w:val="Hyperlink"/>
                <w:noProof/>
              </w:rPr>
              <w:t>NSS 2018 – response rate reward scheme</w:t>
            </w:r>
            <w:r w:rsidR="00900398">
              <w:rPr>
                <w:noProof/>
                <w:webHidden/>
              </w:rPr>
              <w:tab/>
            </w:r>
            <w:r w:rsidR="00900398">
              <w:rPr>
                <w:noProof/>
                <w:webHidden/>
              </w:rPr>
              <w:fldChar w:fldCharType="begin"/>
            </w:r>
            <w:r w:rsidR="00900398">
              <w:rPr>
                <w:noProof/>
                <w:webHidden/>
              </w:rPr>
              <w:instrText xml:space="preserve"> PAGEREF _Toc498599538 \h </w:instrText>
            </w:r>
            <w:r w:rsidR="00900398">
              <w:rPr>
                <w:noProof/>
                <w:webHidden/>
              </w:rPr>
            </w:r>
            <w:r w:rsidR="00900398">
              <w:rPr>
                <w:noProof/>
                <w:webHidden/>
              </w:rPr>
              <w:fldChar w:fldCharType="separate"/>
            </w:r>
            <w:r w:rsidR="00900398">
              <w:rPr>
                <w:noProof/>
                <w:webHidden/>
              </w:rPr>
              <w:t>5</w:t>
            </w:r>
            <w:r w:rsidR="00900398">
              <w:rPr>
                <w:noProof/>
                <w:webHidden/>
              </w:rPr>
              <w:fldChar w:fldCharType="end"/>
            </w:r>
          </w:hyperlink>
        </w:p>
        <w:p w:rsidR="00900398" w:rsidRDefault="001534A5">
          <w:pPr>
            <w:pStyle w:val="TOC2"/>
            <w:tabs>
              <w:tab w:val="right" w:leader="dot" w:pos="9736"/>
            </w:tabs>
            <w:rPr>
              <w:rFonts w:asciiTheme="minorHAnsi" w:hAnsiTheme="minorHAnsi"/>
              <w:noProof/>
              <w:lang w:eastAsia="en-GB"/>
            </w:rPr>
          </w:pPr>
          <w:hyperlink w:anchor="_Toc498599539" w:history="1">
            <w:r w:rsidR="00900398" w:rsidRPr="00553750">
              <w:rPr>
                <w:rStyle w:val="Hyperlink"/>
                <w:noProof/>
              </w:rPr>
              <w:t>Teaching Excellence Framework questions</w:t>
            </w:r>
            <w:r w:rsidR="00900398">
              <w:rPr>
                <w:noProof/>
                <w:webHidden/>
              </w:rPr>
              <w:tab/>
            </w:r>
            <w:r w:rsidR="00900398">
              <w:rPr>
                <w:noProof/>
                <w:webHidden/>
              </w:rPr>
              <w:fldChar w:fldCharType="begin"/>
            </w:r>
            <w:r w:rsidR="00900398">
              <w:rPr>
                <w:noProof/>
                <w:webHidden/>
              </w:rPr>
              <w:instrText xml:space="preserve"> PAGEREF _Toc498599539 \h </w:instrText>
            </w:r>
            <w:r w:rsidR="00900398">
              <w:rPr>
                <w:noProof/>
                <w:webHidden/>
              </w:rPr>
            </w:r>
            <w:r w:rsidR="00900398">
              <w:rPr>
                <w:noProof/>
                <w:webHidden/>
              </w:rPr>
              <w:fldChar w:fldCharType="separate"/>
            </w:r>
            <w:r w:rsidR="00900398">
              <w:rPr>
                <w:noProof/>
                <w:webHidden/>
              </w:rPr>
              <w:t>5</w:t>
            </w:r>
            <w:r w:rsidR="00900398">
              <w:rPr>
                <w:noProof/>
                <w:webHidden/>
              </w:rPr>
              <w:fldChar w:fldCharType="end"/>
            </w:r>
          </w:hyperlink>
        </w:p>
        <w:p w:rsidR="00900398" w:rsidRDefault="001534A5">
          <w:pPr>
            <w:pStyle w:val="TOC2"/>
            <w:tabs>
              <w:tab w:val="right" w:leader="dot" w:pos="9736"/>
            </w:tabs>
            <w:rPr>
              <w:rFonts w:asciiTheme="minorHAnsi" w:hAnsiTheme="minorHAnsi"/>
              <w:noProof/>
              <w:lang w:eastAsia="en-GB"/>
            </w:rPr>
          </w:pPr>
          <w:hyperlink w:anchor="_Toc498599540" w:history="1">
            <w:r w:rsidR="00900398" w:rsidRPr="00553750">
              <w:rPr>
                <w:rStyle w:val="Hyperlink"/>
                <w:noProof/>
              </w:rPr>
              <w:t>Contact us</w:t>
            </w:r>
            <w:r w:rsidR="00900398">
              <w:rPr>
                <w:noProof/>
                <w:webHidden/>
              </w:rPr>
              <w:tab/>
            </w:r>
            <w:r w:rsidR="00900398">
              <w:rPr>
                <w:noProof/>
                <w:webHidden/>
              </w:rPr>
              <w:fldChar w:fldCharType="begin"/>
            </w:r>
            <w:r w:rsidR="00900398">
              <w:rPr>
                <w:noProof/>
                <w:webHidden/>
              </w:rPr>
              <w:instrText xml:space="preserve"> PAGEREF _Toc498599540 \h </w:instrText>
            </w:r>
            <w:r w:rsidR="00900398">
              <w:rPr>
                <w:noProof/>
                <w:webHidden/>
              </w:rPr>
            </w:r>
            <w:r w:rsidR="00900398">
              <w:rPr>
                <w:noProof/>
                <w:webHidden/>
              </w:rPr>
              <w:fldChar w:fldCharType="separate"/>
            </w:r>
            <w:r w:rsidR="00900398">
              <w:rPr>
                <w:noProof/>
                <w:webHidden/>
              </w:rPr>
              <w:t>5</w:t>
            </w:r>
            <w:r w:rsidR="00900398">
              <w:rPr>
                <w:noProof/>
                <w:webHidden/>
              </w:rPr>
              <w:fldChar w:fldCharType="end"/>
            </w:r>
          </w:hyperlink>
        </w:p>
        <w:p w:rsidR="00BD7D3A" w:rsidRDefault="00BD7D3A" w:rsidP="007918F7">
          <w:pPr>
            <w:spacing w:line="240" w:lineRule="auto"/>
          </w:pPr>
          <w:r>
            <w:rPr>
              <w:b/>
              <w:bCs/>
              <w:noProof/>
            </w:rPr>
            <w:fldChar w:fldCharType="end"/>
          </w:r>
        </w:p>
      </w:sdtContent>
    </w:sdt>
    <w:p w:rsidR="00BD7D3A" w:rsidRDefault="00BD7D3A" w:rsidP="007918F7">
      <w:pPr>
        <w:spacing w:line="240" w:lineRule="auto"/>
      </w:pPr>
    </w:p>
    <w:p w:rsidR="00BD7D3A" w:rsidRDefault="00BD7D3A" w:rsidP="007918F7">
      <w:pPr>
        <w:spacing w:line="240" w:lineRule="auto"/>
      </w:pPr>
      <w:r>
        <w:t xml:space="preserve"> </w:t>
      </w:r>
    </w:p>
    <w:p w:rsidR="00BD7D3A" w:rsidRDefault="00BD7D3A" w:rsidP="007918F7">
      <w:pPr>
        <w:spacing w:line="240" w:lineRule="auto"/>
        <w:rPr>
          <w:rFonts w:eastAsiaTheme="majorEastAsia" w:cstheme="majorBidi"/>
          <w:b/>
          <w:bCs/>
          <w:color w:val="404040" w:themeColor="text1" w:themeTint="BF"/>
          <w:sz w:val="24"/>
          <w:szCs w:val="26"/>
        </w:rPr>
      </w:pPr>
      <w:r>
        <w:br w:type="page"/>
      </w:r>
    </w:p>
    <w:p w:rsidR="00BD7D3A" w:rsidRDefault="00BD7D3A" w:rsidP="007918F7">
      <w:pPr>
        <w:pStyle w:val="Heading2"/>
        <w:spacing w:line="240" w:lineRule="auto"/>
      </w:pPr>
      <w:bookmarkStart w:id="1" w:name="_Toc498599526"/>
      <w:r>
        <w:lastRenderedPageBreak/>
        <w:t>The role of the NSS</w:t>
      </w:r>
      <w:r w:rsidR="0053151C">
        <w:t xml:space="preserve"> Liaison Officer</w:t>
      </w:r>
      <w:r w:rsidR="007918F7">
        <w:t>/</w:t>
      </w:r>
      <w:r w:rsidR="0053151C">
        <w:t>s</w:t>
      </w:r>
      <w:bookmarkEnd w:id="1"/>
    </w:p>
    <w:p w:rsidR="00BD7D3A" w:rsidRDefault="00BD7D3A" w:rsidP="007918F7">
      <w:pPr>
        <w:spacing w:line="240" w:lineRule="auto"/>
      </w:pPr>
    </w:p>
    <w:p w:rsidR="00BD7D3A" w:rsidRDefault="00BD7D3A" w:rsidP="007918F7">
      <w:pPr>
        <w:pStyle w:val="HEABullets"/>
      </w:pPr>
      <w:r>
        <w:t xml:space="preserve">Encourage student participation in the NSS within </w:t>
      </w:r>
      <w:r w:rsidR="008D3EE8">
        <w:t>departments or</w:t>
      </w:r>
      <w:r>
        <w:t xml:space="preserve"> other academic units (e.g. divisions, schools, inter-departmental programmes etc.)</w:t>
      </w:r>
    </w:p>
    <w:p w:rsidR="00295A45" w:rsidRDefault="00295A45" w:rsidP="007918F7">
      <w:pPr>
        <w:pStyle w:val="HEABullets"/>
      </w:pPr>
      <w:r>
        <w:t>Ensure the correct students from the department are included in the NSS sample and advise the Student Engagement team if any additions or removals are required</w:t>
      </w:r>
    </w:p>
    <w:p w:rsidR="00BD7D3A" w:rsidRDefault="00BD7D3A" w:rsidP="007918F7">
      <w:pPr>
        <w:pStyle w:val="HEABullets"/>
      </w:pPr>
      <w:r>
        <w:t xml:space="preserve">Ensure staff awareness of the survey and where appropriate </w:t>
      </w:r>
      <w:r w:rsidR="00295A45">
        <w:t>coordinate</w:t>
      </w:r>
      <w:r>
        <w:t xml:space="preserve"> promotional activity</w:t>
      </w:r>
    </w:p>
    <w:p w:rsidR="00BD7D3A" w:rsidRDefault="00BD7D3A" w:rsidP="007918F7">
      <w:pPr>
        <w:pStyle w:val="HEABullets"/>
      </w:pPr>
      <w:r>
        <w:t xml:space="preserve">Liaise with Vice-Provost (Education &amp; Student Affairs) </w:t>
      </w:r>
      <w:r w:rsidR="007918F7">
        <w:t>Student Engagement team</w:t>
      </w:r>
      <w:r>
        <w:t xml:space="preserve"> in coordinating NSS promotional activity</w:t>
      </w:r>
    </w:p>
    <w:p w:rsidR="00BD7D3A" w:rsidRDefault="00BD7D3A" w:rsidP="007918F7">
      <w:pPr>
        <w:pStyle w:val="HEABullets"/>
      </w:pPr>
      <w:r>
        <w:t xml:space="preserve">Receive the weekly response rate update from the </w:t>
      </w:r>
      <w:r w:rsidR="007918F7">
        <w:t>Student Engagement team</w:t>
      </w:r>
      <w:r>
        <w:t xml:space="preserve"> and follow the suggested activity</w:t>
      </w:r>
    </w:p>
    <w:p w:rsidR="00BD7D3A" w:rsidRDefault="00BD7D3A" w:rsidP="007918F7">
      <w:pPr>
        <w:pStyle w:val="HEABullets"/>
      </w:pPr>
      <w:r>
        <w:t>Share any examples of promotional good practice for further transmission across UCL, and</w:t>
      </w:r>
    </w:p>
    <w:p w:rsidR="00BD7D3A" w:rsidRDefault="00BD7D3A" w:rsidP="007918F7">
      <w:pPr>
        <w:pStyle w:val="HEABullets"/>
      </w:pPr>
      <w:r>
        <w:t>Provide</w:t>
      </w:r>
      <w:r w:rsidR="007918F7">
        <w:t xml:space="preserve"> useful</w:t>
      </w:r>
      <w:r>
        <w:t xml:space="preserve"> feedback at the end of the survey to th</w:t>
      </w:r>
      <w:r w:rsidR="007918F7">
        <w:t>e team</w:t>
      </w:r>
      <w:r>
        <w:t xml:space="preserve">. </w:t>
      </w:r>
    </w:p>
    <w:p w:rsidR="00BD7D3A" w:rsidRDefault="00BD7D3A" w:rsidP="007918F7">
      <w:pPr>
        <w:spacing w:line="240" w:lineRule="auto"/>
      </w:pPr>
    </w:p>
    <w:p w:rsidR="0053151C" w:rsidRDefault="0053151C" w:rsidP="007918F7">
      <w:pPr>
        <w:pStyle w:val="Heading2"/>
        <w:spacing w:line="240" w:lineRule="auto"/>
      </w:pPr>
      <w:bookmarkStart w:id="2" w:name="_Toc498599527"/>
      <w:r>
        <w:t xml:space="preserve">Key </w:t>
      </w:r>
      <w:r w:rsidR="00295A45">
        <w:t>updates</w:t>
      </w:r>
      <w:r>
        <w:t xml:space="preserve"> from last year</w:t>
      </w:r>
      <w:bookmarkEnd w:id="2"/>
    </w:p>
    <w:p w:rsidR="007918F7" w:rsidRDefault="007918F7" w:rsidP="007918F7">
      <w:pPr>
        <w:spacing w:line="240" w:lineRule="auto"/>
      </w:pPr>
    </w:p>
    <w:p w:rsidR="007918F7" w:rsidRDefault="007918F7" w:rsidP="007918F7">
      <w:pPr>
        <w:pStyle w:val="HEABullets"/>
      </w:pPr>
      <w:r>
        <w:t>Our target response rate this year will be 65%.</w:t>
      </w:r>
    </w:p>
    <w:p w:rsidR="007918F7" w:rsidRPr="007918F7" w:rsidRDefault="007918F7" w:rsidP="007918F7">
      <w:pPr>
        <w:pStyle w:val="HEABullets"/>
      </w:pPr>
      <w:r>
        <w:t xml:space="preserve">Professor Anthony Smith has kindly agreed to fund the successful NSS incentive scheme (suspended in NSS 2017) this year. </w:t>
      </w:r>
      <w:r w:rsidRPr="007918F7">
        <w:t xml:space="preserve">All departments achieving at least a 65% response rate will receive a reward for their students between £250 and £1,500, depending on department size. Further details are below. </w:t>
      </w:r>
    </w:p>
    <w:p w:rsidR="00BD7D3A" w:rsidRDefault="00BD7D3A" w:rsidP="007918F7">
      <w:pPr>
        <w:spacing w:line="240" w:lineRule="auto"/>
        <w:rPr>
          <w:rFonts w:eastAsiaTheme="majorEastAsia" w:cstheme="majorBidi"/>
          <w:b/>
          <w:bCs/>
          <w:color w:val="404040" w:themeColor="text1" w:themeTint="BF"/>
          <w:sz w:val="24"/>
          <w:szCs w:val="26"/>
        </w:rPr>
      </w:pPr>
    </w:p>
    <w:p w:rsidR="00BD7D3A" w:rsidRDefault="00BD7D3A" w:rsidP="007918F7">
      <w:pPr>
        <w:pStyle w:val="Heading2"/>
        <w:spacing w:line="240" w:lineRule="auto"/>
      </w:pPr>
      <w:bookmarkStart w:id="3" w:name="_Toc498599528"/>
      <w:r>
        <w:t xml:space="preserve">NSS </w:t>
      </w:r>
      <w:r w:rsidR="007918F7">
        <w:t>2018</w:t>
      </w:r>
      <w:r>
        <w:t xml:space="preserve"> Key Dates</w:t>
      </w:r>
      <w:bookmarkEnd w:id="3"/>
      <w:r>
        <w:t xml:space="preserve"> </w:t>
      </w:r>
    </w:p>
    <w:p w:rsidR="00BD7D3A" w:rsidRDefault="00BD7D3A" w:rsidP="007918F7">
      <w:pPr>
        <w:spacing w:line="240" w:lineRule="auto"/>
      </w:pPr>
    </w:p>
    <w:tbl>
      <w:tblPr>
        <w:tblStyle w:val="TableGrid"/>
        <w:tblW w:w="10060" w:type="dxa"/>
        <w:tblLayout w:type="fixed"/>
        <w:tblLook w:val="04A0" w:firstRow="1" w:lastRow="0" w:firstColumn="1" w:lastColumn="0" w:noHBand="0" w:noVBand="1"/>
      </w:tblPr>
      <w:tblGrid>
        <w:gridCol w:w="1980"/>
        <w:gridCol w:w="8080"/>
      </w:tblGrid>
      <w:tr w:rsidR="00BD7D3A" w:rsidTr="001A4BB1">
        <w:trPr>
          <w:trHeight w:val="401"/>
        </w:trPr>
        <w:tc>
          <w:tcPr>
            <w:tcW w:w="1980" w:type="dxa"/>
            <w:shd w:val="clear" w:color="auto" w:fill="5F2987"/>
          </w:tcPr>
          <w:p w:rsidR="00BD7D3A" w:rsidRDefault="00E91763" w:rsidP="007918F7">
            <w:pPr>
              <w:rPr>
                <w:b/>
                <w:bCs/>
                <w:color w:val="FFFFFF" w:themeColor="background1"/>
              </w:rPr>
            </w:pPr>
            <w:r>
              <w:rPr>
                <w:b/>
                <w:bCs/>
                <w:color w:val="FFFFFF" w:themeColor="background1"/>
              </w:rPr>
              <w:t>Date</w:t>
            </w:r>
          </w:p>
          <w:p w:rsidR="00564DFD" w:rsidRPr="00BD7D3A" w:rsidRDefault="00564DFD" w:rsidP="007918F7">
            <w:pPr>
              <w:rPr>
                <w:b/>
                <w:bCs/>
                <w:color w:val="FFFFFF" w:themeColor="background1"/>
              </w:rPr>
            </w:pPr>
          </w:p>
        </w:tc>
        <w:tc>
          <w:tcPr>
            <w:tcW w:w="8080" w:type="dxa"/>
            <w:shd w:val="clear" w:color="auto" w:fill="5F2987"/>
          </w:tcPr>
          <w:p w:rsidR="00BD7D3A" w:rsidRPr="00BD7D3A" w:rsidRDefault="00BD7D3A" w:rsidP="007918F7">
            <w:pPr>
              <w:rPr>
                <w:b/>
                <w:bCs/>
                <w:color w:val="FFFFFF" w:themeColor="background1"/>
              </w:rPr>
            </w:pPr>
            <w:r>
              <w:rPr>
                <w:b/>
                <w:bCs/>
                <w:color w:val="FFFFFF" w:themeColor="background1"/>
              </w:rPr>
              <w:t>Activity</w:t>
            </w:r>
          </w:p>
        </w:tc>
      </w:tr>
      <w:tr w:rsidR="00295A45" w:rsidRPr="00295A45" w:rsidTr="001A4BB1">
        <w:trPr>
          <w:trHeight w:val="589"/>
        </w:trPr>
        <w:tc>
          <w:tcPr>
            <w:tcW w:w="1980" w:type="dxa"/>
            <w:shd w:val="clear" w:color="auto" w:fill="auto"/>
          </w:tcPr>
          <w:p w:rsidR="00295A45" w:rsidRPr="00295A45" w:rsidRDefault="00295A45" w:rsidP="007918F7">
            <w:pPr>
              <w:rPr>
                <w:bCs/>
              </w:rPr>
            </w:pPr>
            <w:r>
              <w:rPr>
                <w:bCs/>
              </w:rPr>
              <w:t>17 November</w:t>
            </w:r>
          </w:p>
        </w:tc>
        <w:tc>
          <w:tcPr>
            <w:tcW w:w="8080" w:type="dxa"/>
            <w:shd w:val="clear" w:color="auto" w:fill="auto"/>
          </w:tcPr>
          <w:p w:rsidR="00295A45" w:rsidRPr="00295A45" w:rsidRDefault="00295A45" w:rsidP="007918F7">
            <w:pPr>
              <w:rPr>
                <w:bCs/>
              </w:rPr>
            </w:pPr>
            <w:r>
              <w:rPr>
                <w:bCs/>
              </w:rPr>
              <w:t>Student Engagement team email all final year undergraduates with the opportunity to opt out of the survey</w:t>
            </w:r>
          </w:p>
        </w:tc>
      </w:tr>
      <w:tr w:rsidR="00BD7D3A" w:rsidTr="001A4BB1">
        <w:trPr>
          <w:trHeight w:val="377"/>
        </w:trPr>
        <w:tc>
          <w:tcPr>
            <w:tcW w:w="1980" w:type="dxa"/>
          </w:tcPr>
          <w:p w:rsidR="00BD7D3A" w:rsidRDefault="00295A45" w:rsidP="007918F7">
            <w:r>
              <w:t>22 November</w:t>
            </w:r>
          </w:p>
        </w:tc>
        <w:tc>
          <w:tcPr>
            <w:tcW w:w="8080" w:type="dxa"/>
          </w:tcPr>
          <w:p w:rsidR="00BD7D3A" w:rsidRDefault="00BD7D3A" w:rsidP="007918F7">
            <w:r>
              <w:t>Lists of students sent to all NSSLOs to check details of participating students</w:t>
            </w:r>
          </w:p>
        </w:tc>
      </w:tr>
      <w:tr w:rsidR="00295A45" w:rsidTr="001A4BB1">
        <w:trPr>
          <w:trHeight w:val="329"/>
        </w:trPr>
        <w:tc>
          <w:tcPr>
            <w:tcW w:w="1980" w:type="dxa"/>
          </w:tcPr>
          <w:p w:rsidR="00295A45" w:rsidRDefault="00295A45" w:rsidP="007918F7">
            <w:r>
              <w:t>4 December</w:t>
            </w:r>
          </w:p>
        </w:tc>
        <w:tc>
          <w:tcPr>
            <w:tcW w:w="8080" w:type="dxa"/>
          </w:tcPr>
          <w:p w:rsidR="00295A45" w:rsidRDefault="00295A45" w:rsidP="007918F7">
            <w:r>
              <w:t xml:space="preserve">NSSLOs and contacts across UCL asked to confirm promotional material choices </w:t>
            </w:r>
          </w:p>
        </w:tc>
      </w:tr>
      <w:tr w:rsidR="00295A45" w:rsidTr="001A4BB1">
        <w:trPr>
          <w:trHeight w:val="346"/>
        </w:trPr>
        <w:tc>
          <w:tcPr>
            <w:tcW w:w="1980" w:type="dxa"/>
          </w:tcPr>
          <w:p w:rsidR="00295A45" w:rsidRDefault="006C2929" w:rsidP="007918F7">
            <w:r>
              <w:t>18 December</w:t>
            </w:r>
          </w:p>
        </w:tc>
        <w:tc>
          <w:tcPr>
            <w:tcW w:w="8080" w:type="dxa"/>
          </w:tcPr>
          <w:p w:rsidR="00295A45" w:rsidRDefault="006C2929" w:rsidP="007918F7">
            <w:r>
              <w:t>Promotional materials are distributed (to be displayed no sooner than 3 January)</w:t>
            </w:r>
          </w:p>
        </w:tc>
      </w:tr>
      <w:tr w:rsidR="00BD7D3A" w:rsidTr="001A4BB1">
        <w:trPr>
          <w:trHeight w:val="285"/>
        </w:trPr>
        <w:tc>
          <w:tcPr>
            <w:tcW w:w="1980" w:type="dxa"/>
          </w:tcPr>
          <w:p w:rsidR="00BD7D3A" w:rsidRDefault="00295A45" w:rsidP="007918F7">
            <w:r>
              <w:t>Mid-December</w:t>
            </w:r>
          </w:p>
        </w:tc>
        <w:tc>
          <w:tcPr>
            <w:tcW w:w="8080" w:type="dxa"/>
          </w:tcPr>
          <w:p w:rsidR="00BD7D3A" w:rsidRDefault="00BD7D3A" w:rsidP="00295A45">
            <w:r>
              <w:t xml:space="preserve">NSSLOs to notify students of NSS launch </w:t>
            </w:r>
            <w:r w:rsidR="006C2929">
              <w:t xml:space="preserve">in </w:t>
            </w:r>
            <w:r>
              <w:t xml:space="preserve">first week of </w:t>
            </w:r>
            <w:r w:rsidR="006C2929">
              <w:t>sp</w:t>
            </w:r>
            <w:r w:rsidR="00295A45">
              <w:t>ring</w:t>
            </w:r>
            <w:r>
              <w:t xml:space="preserve"> term</w:t>
            </w:r>
          </w:p>
        </w:tc>
      </w:tr>
      <w:tr w:rsidR="00BD7D3A" w:rsidTr="001A4BB1">
        <w:trPr>
          <w:trHeight w:val="607"/>
        </w:trPr>
        <w:tc>
          <w:tcPr>
            <w:tcW w:w="1980" w:type="dxa"/>
          </w:tcPr>
          <w:p w:rsidR="00BD7D3A" w:rsidRDefault="007918F7" w:rsidP="007918F7">
            <w:r>
              <w:t>08</w:t>
            </w:r>
            <w:r w:rsidR="00BD7D3A">
              <w:t xml:space="preserve"> January</w:t>
            </w:r>
            <w:r w:rsidR="00BD7D3A">
              <w:tab/>
            </w:r>
          </w:p>
        </w:tc>
        <w:tc>
          <w:tcPr>
            <w:tcW w:w="8080" w:type="dxa"/>
          </w:tcPr>
          <w:p w:rsidR="00BD7D3A" w:rsidRDefault="00BD7D3A" w:rsidP="001A4BB1">
            <w:r>
              <w:t xml:space="preserve">NSS </w:t>
            </w:r>
            <w:r w:rsidR="006C2929">
              <w:t>open</w:t>
            </w:r>
            <w:r>
              <w:t xml:space="preserve"> – </w:t>
            </w:r>
            <w:r w:rsidR="001A4BB1">
              <w:t>p</w:t>
            </w:r>
            <w:r>
              <w:t>romotional material launched on campus</w:t>
            </w:r>
          </w:p>
        </w:tc>
      </w:tr>
      <w:tr w:rsidR="001A4BB1" w:rsidTr="001A4BB1">
        <w:trPr>
          <w:trHeight w:val="465"/>
        </w:trPr>
        <w:tc>
          <w:tcPr>
            <w:tcW w:w="1980" w:type="dxa"/>
          </w:tcPr>
          <w:p w:rsidR="001A4BB1" w:rsidRDefault="001A4BB1" w:rsidP="007918F7">
            <w:r>
              <w:t>11 January</w:t>
            </w:r>
          </w:p>
        </w:tc>
        <w:tc>
          <w:tcPr>
            <w:tcW w:w="8080" w:type="dxa"/>
          </w:tcPr>
          <w:p w:rsidR="001A4BB1" w:rsidRDefault="001A4BB1" w:rsidP="007918F7">
            <w:r>
              <w:t>First invitation email sent to students</w:t>
            </w:r>
          </w:p>
        </w:tc>
      </w:tr>
      <w:tr w:rsidR="007918F7" w:rsidTr="001A4BB1">
        <w:trPr>
          <w:trHeight w:val="363"/>
        </w:trPr>
        <w:tc>
          <w:tcPr>
            <w:tcW w:w="1980" w:type="dxa"/>
          </w:tcPr>
          <w:p w:rsidR="007918F7" w:rsidRDefault="007918F7" w:rsidP="007918F7">
            <w:r>
              <w:t>19 January</w:t>
            </w:r>
          </w:p>
        </w:tc>
        <w:tc>
          <w:tcPr>
            <w:tcW w:w="8080" w:type="dxa"/>
          </w:tcPr>
          <w:p w:rsidR="007918F7" w:rsidRDefault="007918F7" w:rsidP="007918F7">
            <w:r>
              <w:t>First response rate update sent (and weekly thereafter)</w:t>
            </w:r>
          </w:p>
        </w:tc>
      </w:tr>
      <w:tr w:rsidR="001A4BB1" w:rsidTr="001A4BB1">
        <w:trPr>
          <w:trHeight w:val="363"/>
        </w:trPr>
        <w:tc>
          <w:tcPr>
            <w:tcW w:w="1980" w:type="dxa"/>
          </w:tcPr>
          <w:p w:rsidR="001A4BB1" w:rsidRDefault="001A4BB1" w:rsidP="007918F7">
            <w:r>
              <w:t>19 January</w:t>
            </w:r>
          </w:p>
        </w:tc>
        <w:tc>
          <w:tcPr>
            <w:tcW w:w="8080" w:type="dxa"/>
          </w:tcPr>
          <w:p w:rsidR="001A4BB1" w:rsidRDefault="001A4BB1" w:rsidP="007918F7">
            <w:r>
              <w:t>Second reminder email sent to students (via Ipsos MORI)</w:t>
            </w:r>
          </w:p>
        </w:tc>
      </w:tr>
      <w:tr w:rsidR="00E91763" w:rsidTr="001A4BB1">
        <w:trPr>
          <w:trHeight w:val="412"/>
        </w:trPr>
        <w:tc>
          <w:tcPr>
            <w:tcW w:w="1980" w:type="dxa"/>
          </w:tcPr>
          <w:p w:rsidR="00E91763" w:rsidRDefault="001A4BB1" w:rsidP="007918F7">
            <w:r>
              <w:t>1 March</w:t>
            </w:r>
          </w:p>
        </w:tc>
        <w:tc>
          <w:tcPr>
            <w:tcW w:w="8080" w:type="dxa"/>
          </w:tcPr>
          <w:p w:rsidR="00E91763" w:rsidRDefault="00E91763" w:rsidP="006C2929">
            <w:r>
              <w:t xml:space="preserve">Ipsos MORI </w:t>
            </w:r>
            <w:r w:rsidR="006C2929">
              <w:t>begins</w:t>
            </w:r>
            <w:r>
              <w:t xml:space="preserve"> telephoning</w:t>
            </w:r>
            <w:r w:rsidR="006C2929">
              <w:t xml:space="preserve"> non-responsive</w:t>
            </w:r>
            <w:r>
              <w:t xml:space="preserve"> students (until end of survey)</w:t>
            </w:r>
          </w:p>
        </w:tc>
      </w:tr>
      <w:tr w:rsidR="001A4BB1" w:rsidTr="006A3754">
        <w:trPr>
          <w:trHeight w:val="352"/>
        </w:trPr>
        <w:tc>
          <w:tcPr>
            <w:tcW w:w="1980" w:type="dxa"/>
          </w:tcPr>
          <w:p w:rsidR="001A4BB1" w:rsidRDefault="001A4BB1" w:rsidP="006A3754">
            <w:r>
              <w:t>w/c 12 February</w:t>
            </w:r>
          </w:p>
        </w:tc>
        <w:tc>
          <w:tcPr>
            <w:tcW w:w="8080" w:type="dxa"/>
          </w:tcPr>
          <w:p w:rsidR="001A4BB1" w:rsidRDefault="001A4BB1" w:rsidP="006A3754">
            <w:r>
              <w:t>Reading week</w:t>
            </w:r>
          </w:p>
          <w:p w:rsidR="001A4BB1" w:rsidRDefault="001A4BB1" w:rsidP="006A3754"/>
        </w:tc>
      </w:tr>
      <w:tr w:rsidR="00BD7D3A" w:rsidTr="001A4BB1">
        <w:trPr>
          <w:trHeight w:val="409"/>
        </w:trPr>
        <w:tc>
          <w:tcPr>
            <w:tcW w:w="1980" w:type="dxa"/>
          </w:tcPr>
          <w:p w:rsidR="00BD7D3A" w:rsidRDefault="001A4BB1" w:rsidP="007918F7">
            <w:r>
              <w:t>12 February</w:t>
            </w:r>
          </w:p>
        </w:tc>
        <w:tc>
          <w:tcPr>
            <w:tcW w:w="8080" w:type="dxa"/>
          </w:tcPr>
          <w:p w:rsidR="00BD7D3A" w:rsidRDefault="00BD7D3A" w:rsidP="007918F7">
            <w:r>
              <w:t>Suggested email from HoD (or equivalent) to students</w:t>
            </w:r>
          </w:p>
        </w:tc>
      </w:tr>
      <w:tr w:rsidR="00564DFD" w:rsidTr="001A4BB1">
        <w:trPr>
          <w:trHeight w:val="410"/>
        </w:trPr>
        <w:tc>
          <w:tcPr>
            <w:tcW w:w="1980" w:type="dxa"/>
          </w:tcPr>
          <w:p w:rsidR="00564DFD" w:rsidRDefault="001A4BB1" w:rsidP="001A4BB1">
            <w:r>
              <w:t>16 February</w:t>
            </w:r>
          </w:p>
        </w:tc>
        <w:tc>
          <w:tcPr>
            <w:tcW w:w="8080" w:type="dxa"/>
          </w:tcPr>
          <w:p w:rsidR="00564DFD" w:rsidRDefault="00564DFD" w:rsidP="007918F7">
            <w:r>
              <w:t>Deadline for adding or removing students from the NSS population</w:t>
            </w:r>
          </w:p>
        </w:tc>
      </w:tr>
      <w:tr w:rsidR="00BD7D3A" w:rsidTr="001A4BB1">
        <w:trPr>
          <w:trHeight w:val="407"/>
        </w:trPr>
        <w:tc>
          <w:tcPr>
            <w:tcW w:w="1980" w:type="dxa"/>
          </w:tcPr>
          <w:p w:rsidR="00BD7D3A" w:rsidRDefault="00BD7D3A" w:rsidP="007918F7">
            <w:r>
              <w:t>30 April</w:t>
            </w:r>
          </w:p>
        </w:tc>
        <w:tc>
          <w:tcPr>
            <w:tcW w:w="8080" w:type="dxa"/>
          </w:tcPr>
          <w:p w:rsidR="00BD7D3A" w:rsidRDefault="00BD7D3A" w:rsidP="007918F7">
            <w:r>
              <w:t>NSS closes</w:t>
            </w:r>
          </w:p>
        </w:tc>
      </w:tr>
      <w:tr w:rsidR="006C2929" w:rsidTr="001A4BB1">
        <w:trPr>
          <w:trHeight w:val="407"/>
        </w:trPr>
        <w:tc>
          <w:tcPr>
            <w:tcW w:w="1980" w:type="dxa"/>
          </w:tcPr>
          <w:p w:rsidR="006C2929" w:rsidRDefault="006C2929" w:rsidP="007918F7">
            <w:r>
              <w:t>1 August</w:t>
            </w:r>
          </w:p>
        </w:tc>
        <w:tc>
          <w:tcPr>
            <w:tcW w:w="8080" w:type="dxa"/>
          </w:tcPr>
          <w:p w:rsidR="006C2929" w:rsidRDefault="006C2929" w:rsidP="007918F7">
            <w:r>
              <w:t>R</w:t>
            </w:r>
            <w:r w:rsidR="001A4BB1">
              <w:t>esults release begins (embargoed until 12 August)</w:t>
            </w:r>
          </w:p>
        </w:tc>
      </w:tr>
    </w:tbl>
    <w:p w:rsidR="00BD7D3A" w:rsidRDefault="00BD7D3A" w:rsidP="007918F7">
      <w:pPr>
        <w:spacing w:line="240" w:lineRule="auto"/>
      </w:pPr>
    </w:p>
    <w:p w:rsidR="007918F7" w:rsidRDefault="007918F7" w:rsidP="007918F7">
      <w:pPr>
        <w:pStyle w:val="Heading2"/>
        <w:spacing w:line="240" w:lineRule="auto"/>
      </w:pPr>
      <w:bookmarkStart w:id="4" w:name="_Toc498599529"/>
      <w:r>
        <w:lastRenderedPageBreak/>
        <w:t>Student eligibility for the NSS</w:t>
      </w:r>
      <w:bookmarkEnd w:id="4"/>
    </w:p>
    <w:p w:rsidR="007918F7" w:rsidRDefault="007918F7" w:rsidP="007918F7">
      <w:pPr>
        <w:spacing w:line="240" w:lineRule="auto"/>
      </w:pPr>
    </w:p>
    <w:p w:rsidR="007918F7" w:rsidRDefault="007918F7" w:rsidP="007918F7">
      <w:pPr>
        <w:spacing w:line="240" w:lineRule="auto"/>
      </w:pPr>
      <w:r>
        <w:t>There are strict criteria governing inclusion or removal from the NSS sample.</w:t>
      </w:r>
      <w:r w:rsidR="00295A45">
        <w:t xml:space="preserve"> The list of students HEFCE considers eligible for inclusion in the NSS will be sent to you for checking in late-November.</w:t>
      </w:r>
    </w:p>
    <w:p w:rsidR="007918F7" w:rsidRDefault="007918F7" w:rsidP="007918F7">
      <w:pPr>
        <w:pStyle w:val="Heading3"/>
        <w:spacing w:line="240" w:lineRule="auto"/>
      </w:pPr>
      <w:bookmarkStart w:id="5" w:name="_Toc498599530"/>
      <w:r>
        <w:t>Additions</w:t>
      </w:r>
      <w:bookmarkEnd w:id="5"/>
    </w:p>
    <w:p w:rsidR="007918F7" w:rsidRDefault="007918F7" w:rsidP="007918F7">
      <w:pPr>
        <w:spacing w:line="240" w:lineRule="auto"/>
      </w:pPr>
      <w:r>
        <w:t xml:space="preserve">If there are any students </w:t>
      </w:r>
      <w:r w:rsidRPr="001A4BB1">
        <w:rPr>
          <w:b/>
        </w:rPr>
        <w:t>not</w:t>
      </w:r>
      <w:r>
        <w:t xml:space="preserve"> on the NSS student excel lists (</w:t>
      </w:r>
      <w:r w:rsidR="001A4BB1">
        <w:t>to be provided to NSSLOs in mid-November)</w:t>
      </w:r>
      <w:r>
        <w:t xml:space="preserve"> who you think should be, please let the Student </w:t>
      </w:r>
      <w:r w:rsidR="001A4BB1">
        <w:t>Engagement team</w:t>
      </w:r>
      <w:r>
        <w:t xml:space="preserve"> know </w:t>
      </w:r>
      <w:r w:rsidR="001A4BB1">
        <w:t>by Friday 16</w:t>
      </w:r>
      <w:r>
        <w:t xml:space="preserve"> Feb</w:t>
      </w:r>
      <w:r w:rsidR="001A4BB1">
        <w:t>ruary</w:t>
      </w:r>
      <w:r>
        <w:t xml:space="preserve"> and they will be queried with HEFCE/Ipsos MORI. </w:t>
      </w:r>
    </w:p>
    <w:p w:rsidR="007918F7" w:rsidRDefault="007918F7" w:rsidP="007918F7">
      <w:pPr>
        <w:spacing w:line="240" w:lineRule="auto"/>
      </w:pPr>
      <w:r>
        <w:t xml:space="preserve">Students can be added to the sample if they have reduced the length of their programme (e.g. from an MSci to a BSc) and will be graduating in the coming year. We cannot add students who have been in the NSS sample in previous years, even if they did not take the survey. If you’re unsure about this, please contact the Student </w:t>
      </w:r>
      <w:r w:rsidR="001A4BB1">
        <w:t xml:space="preserve">Engagement team </w:t>
      </w:r>
      <w:r>
        <w:t xml:space="preserve">who can check previous years’ lists. </w:t>
      </w:r>
    </w:p>
    <w:p w:rsidR="007918F7" w:rsidRDefault="007918F7" w:rsidP="007918F7">
      <w:pPr>
        <w:pStyle w:val="Heading3"/>
        <w:spacing w:line="240" w:lineRule="auto"/>
      </w:pPr>
      <w:bookmarkStart w:id="6" w:name="_Toc498599531"/>
      <w:r>
        <w:t>Removals</w:t>
      </w:r>
      <w:bookmarkEnd w:id="6"/>
    </w:p>
    <w:p w:rsidR="007918F7" w:rsidRDefault="007918F7" w:rsidP="007918F7">
      <w:pPr>
        <w:spacing w:line="240" w:lineRule="auto"/>
      </w:pPr>
      <w:r>
        <w:t xml:space="preserve">HEFCE amended the rules </w:t>
      </w:r>
      <w:r w:rsidR="001A4BB1">
        <w:t>last</w:t>
      </w:r>
      <w:r>
        <w:t xml:space="preserve"> year to allow us to remove students who have interrupted or are repeating a year. The </w:t>
      </w:r>
      <w:r w:rsidR="001A4BB1">
        <w:t>criteria</w:t>
      </w:r>
      <w:r>
        <w:t xml:space="preserve"> for removal are now as follows:</w:t>
      </w:r>
    </w:p>
    <w:p w:rsidR="007918F7" w:rsidRDefault="007918F7" w:rsidP="007918F7">
      <w:pPr>
        <w:pStyle w:val="HEABullets"/>
      </w:pPr>
      <w:r>
        <w:t>Student is deceased.</w:t>
      </w:r>
    </w:p>
    <w:p w:rsidR="007918F7" w:rsidRDefault="007918F7" w:rsidP="007918F7">
      <w:pPr>
        <w:pStyle w:val="HEABullets"/>
      </w:pPr>
      <w:r>
        <w:t>Student has serious health difficulties (including mental health difficulties) where seeking a response may be distressing for the student.</w:t>
      </w:r>
    </w:p>
    <w:p w:rsidR="007918F7" w:rsidRDefault="007918F7" w:rsidP="007918F7">
      <w:pPr>
        <w:pStyle w:val="HEABullets"/>
      </w:pPr>
      <w:r>
        <w:t xml:space="preserve">Student has ‘opted out’ – i.e. asked that their contact details not be passed on (they were given this opportunity in early December). Any student not wishing to participate can inform Ipsos MORI through the NSS website: </w:t>
      </w:r>
      <w:hyperlink r:id="rId5" w:history="1">
        <w:r w:rsidRPr="00AC551C">
          <w:rPr>
            <w:rStyle w:val="Hyperlink"/>
          </w:rPr>
          <w:t>www.thestudentsurvey.com</w:t>
        </w:r>
      </w:hyperlink>
      <w:r>
        <w:t>.</w:t>
      </w:r>
    </w:p>
    <w:p w:rsidR="007918F7" w:rsidRDefault="007918F7" w:rsidP="007918F7">
      <w:pPr>
        <w:pStyle w:val="HEABullets"/>
      </w:pPr>
      <w:r>
        <w:t>Student is repeating a year and will now graduate in 2018/19 etc.</w:t>
      </w:r>
    </w:p>
    <w:p w:rsidR="007918F7" w:rsidRDefault="007918F7" w:rsidP="007918F7">
      <w:pPr>
        <w:pStyle w:val="HEABullets"/>
      </w:pPr>
      <w:r>
        <w:t>Student is on interruption and will not graduate this academic year.</w:t>
      </w:r>
    </w:p>
    <w:p w:rsidR="007918F7" w:rsidRDefault="007918F7" w:rsidP="007918F7">
      <w:pPr>
        <w:pStyle w:val="HEABullets"/>
        <w:numPr>
          <w:ilvl w:val="0"/>
          <w:numId w:val="0"/>
        </w:numPr>
      </w:pPr>
    </w:p>
    <w:p w:rsidR="007918F7" w:rsidRPr="001A4BB1" w:rsidRDefault="001A4BB1" w:rsidP="007918F7">
      <w:pPr>
        <w:pStyle w:val="HEABullets"/>
        <w:numPr>
          <w:ilvl w:val="0"/>
          <w:numId w:val="0"/>
        </w:numPr>
        <w:rPr>
          <w:b/>
        </w:rPr>
      </w:pPr>
      <w:r w:rsidRPr="001A4BB1">
        <w:rPr>
          <w:b/>
        </w:rPr>
        <w:t>Please note, s</w:t>
      </w:r>
      <w:r w:rsidR="007918F7" w:rsidRPr="001A4BB1">
        <w:rPr>
          <w:b/>
        </w:rPr>
        <w:t>tudents cannot be removed if they have withdrawn from UCL,</w:t>
      </w:r>
      <w:r>
        <w:rPr>
          <w:b/>
        </w:rPr>
        <w:t xml:space="preserve"> have taken the survey previously,</w:t>
      </w:r>
      <w:r w:rsidR="007918F7" w:rsidRPr="001A4BB1">
        <w:rPr>
          <w:b/>
        </w:rPr>
        <w:t xml:space="preserve"> have poor attendance or are otherwise unlikely to respond.</w:t>
      </w:r>
    </w:p>
    <w:p w:rsidR="001A4BB1" w:rsidRPr="001A4BB1" w:rsidRDefault="001A4BB1" w:rsidP="007918F7">
      <w:pPr>
        <w:pStyle w:val="HEABullets"/>
        <w:numPr>
          <w:ilvl w:val="0"/>
          <w:numId w:val="0"/>
        </w:numPr>
        <w:rPr>
          <w:b/>
        </w:rPr>
      </w:pPr>
    </w:p>
    <w:p w:rsidR="007918F7" w:rsidRDefault="007918F7" w:rsidP="007918F7">
      <w:pPr>
        <w:spacing w:line="240" w:lineRule="auto"/>
      </w:pPr>
      <w:r>
        <w:t xml:space="preserve">Please let the Student Engagement team know if you become aware of any student in the above categories. </w:t>
      </w:r>
    </w:p>
    <w:p w:rsidR="007918F7" w:rsidRDefault="007918F7" w:rsidP="007918F7">
      <w:pPr>
        <w:spacing w:line="240" w:lineRule="auto"/>
      </w:pPr>
    </w:p>
    <w:p w:rsidR="00BD7D3A" w:rsidRDefault="00BD7D3A" w:rsidP="007918F7">
      <w:pPr>
        <w:pStyle w:val="Heading2"/>
        <w:spacing w:line="240" w:lineRule="auto"/>
      </w:pPr>
      <w:bookmarkStart w:id="7" w:name="_Toc498599532"/>
      <w:r>
        <w:t>Check-list of actions for the NSSLO to undertake for the NSS</w:t>
      </w:r>
      <w:bookmarkEnd w:id="7"/>
    </w:p>
    <w:p w:rsidR="00BD7D3A" w:rsidRDefault="00BD7D3A" w:rsidP="007918F7">
      <w:pPr>
        <w:spacing w:line="240" w:lineRule="auto"/>
      </w:pPr>
    </w:p>
    <w:p w:rsidR="00BD7D3A" w:rsidRDefault="00BD7D3A" w:rsidP="007918F7">
      <w:pPr>
        <w:pStyle w:val="HEABullets"/>
      </w:pPr>
      <w:r>
        <w:t xml:space="preserve">Receive the weekly response rate update and liaise with </w:t>
      </w:r>
      <w:r w:rsidR="0023131E">
        <w:t xml:space="preserve">the Student Engagement team </w:t>
      </w:r>
      <w:r>
        <w:t>to take action to improve it as necessary. A res</w:t>
      </w:r>
      <w:r w:rsidR="00564DFD">
        <w:t>ponse rate of at least 50% and 10</w:t>
      </w:r>
      <w:r>
        <w:t xml:space="preserve"> </w:t>
      </w:r>
      <w:r w:rsidR="0023131E">
        <w:t xml:space="preserve">responses </w:t>
      </w:r>
      <w:r>
        <w:t xml:space="preserve">is required for results to be </w:t>
      </w:r>
      <w:r w:rsidR="0023131E">
        <w:t>published;</w:t>
      </w:r>
    </w:p>
    <w:p w:rsidR="00BD7D3A" w:rsidRDefault="00BD7D3A" w:rsidP="007918F7">
      <w:pPr>
        <w:pStyle w:val="HEABullets"/>
      </w:pPr>
      <w:r>
        <w:t xml:space="preserve">Arrange for: </w:t>
      </w:r>
    </w:p>
    <w:p w:rsidR="00BD7D3A" w:rsidRDefault="00BD7D3A" w:rsidP="007918F7">
      <w:pPr>
        <w:pStyle w:val="HEABullets"/>
        <w:numPr>
          <w:ilvl w:val="1"/>
          <w:numId w:val="5"/>
        </w:numPr>
      </w:pPr>
      <w:r>
        <w:t xml:space="preserve">Distribution of NSS flyers to the students - via their pigeon holes or handed to them in lectures, seminars or tutorials. Target list of students is provided by the surveys team. </w:t>
      </w:r>
    </w:p>
    <w:p w:rsidR="00BD7D3A" w:rsidRDefault="00BD7D3A" w:rsidP="007918F7">
      <w:pPr>
        <w:pStyle w:val="HEABullets"/>
        <w:numPr>
          <w:ilvl w:val="1"/>
          <w:numId w:val="5"/>
        </w:numPr>
      </w:pPr>
      <w:r>
        <w:t>D</w:t>
      </w:r>
      <w:r w:rsidR="00564DFD">
        <w:t>isplay of NSS posters on notice</w:t>
      </w:r>
      <w:r>
        <w:t xml:space="preserve">boards, student common rooms, corridors (if possible), staff rooms as appropriate – </w:t>
      </w:r>
      <w:r w:rsidR="00564DFD">
        <w:t>any</w:t>
      </w:r>
      <w:r>
        <w:t>where students congregate and visit.</w:t>
      </w:r>
    </w:p>
    <w:p w:rsidR="00BD7D3A" w:rsidRDefault="00BD7D3A" w:rsidP="007918F7">
      <w:pPr>
        <w:pStyle w:val="HEABullets"/>
        <w:numPr>
          <w:ilvl w:val="1"/>
          <w:numId w:val="5"/>
        </w:numPr>
      </w:pPr>
      <w:r>
        <w:t>An item to be posted on the departmental (or equivalent) website publicising the NSS with links to the website: ht</w:t>
      </w:r>
      <w:r w:rsidR="00564DFD">
        <w:t xml:space="preserve">tp://www.thestudentsurvey.com/ </w:t>
      </w:r>
      <w:r>
        <w:t xml:space="preserve"> </w:t>
      </w:r>
    </w:p>
    <w:p w:rsidR="00BD7D3A" w:rsidRDefault="00BD7D3A" w:rsidP="007918F7">
      <w:pPr>
        <w:pStyle w:val="HEABullets"/>
      </w:pPr>
      <w:r>
        <w:t>Encourage lecturers/tutors to ask students to participate in the NSS and explain that they have a key important role in communicating with th</w:t>
      </w:r>
      <w:r w:rsidR="0023131E">
        <w:t>eir students about the survey;</w:t>
      </w:r>
    </w:p>
    <w:p w:rsidR="00BD7D3A" w:rsidRDefault="00BD7D3A" w:rsidP="007918F7">
      <w:pPr>
        <w:pStyle w:val="HEABullets"/>
      </w:pPr>
      <w:r>
        <w:t xml:space="preserve">Add the NSS and the previous year’s reports as items for the Departmental Teaching Committee (DTC) or equivalent and the Staff Student Consultative Committee (SSCC). The reports and further information are available on </w:t>
      </w:r>
      <w:r w:rsidR="0023131E">
        <w:t>our Student Surveys NSS webpage;</w:t>
      </w:r>
    </w:p>
    <w:p w:rsidR="00BD7D3A" w:rsidRDefault="00BD7D3A" w:rsidP="007918F7">
      <w:pPr>
        <w:pStyle w:val="HEABullets"/>
      </w:pPr>
      <w:r>
        <w:t>Encoura</w:t>
      </w:r>
      <w:r w:rsidR="0023131E">
        <w:t>ge the student representatives</w:t>
      </w:r>
      <w:r>
        <w:t xml:space="preserve"> and student societies to promote the survey (the reward scheme should be useful for this). Consider the use of social media, such as Twitter, </w:t>
      </w:r>
      <w:r w:rsidR="00564DFD">
        <w:lastRenderedPageBreak/>
        <w:t xml:space="preserve">Instagram, </w:t>
      </w:r>
      <w:r>
        <w:t xml:space="preserve">Facebook etc. This was highly effective in some departments </w:t>
      </w:r>
      <w:r w:rsidR="0023131E">
        <w:t>in 2016</w:t>
      </w:r>
      <w:r>
        <w:t>, particularly w</w:t>
      </w:r>
      <w:r w:rsidR="0023131E">
        <w:t>hen student groups took this on;</w:t>
      </w:r>
    </w:p>
    <w:p w:rsidR="00BD7D3A" w:rsidRDefault="0023131E" w:rsidP="007918F7">
      <w:pPr>
        <w:pStyle w:val="HEABullets"/>
      </w:pPr>
      <w:r>
        <w:t>Ask</w:t>
      </w:r>
      <w:r w:rsidR="00BD7D3A">
        <w:t xml:space="preserve"> Heads of Department</w:t>
      </w:r>
      <w:r>
        <w:t>s</w:t>
      </w:r>
      <w:r w:rsidR="00BD7D3A">
        <w:t xml:space="preserve">, programme directors </w:t>
      </w:r>
      <w:r w:rsidR="00E91763">
        <w:t>etc.</w:t>
      </w:r>
      <w:r w:rsidR="00564DFD">
        <w:t xml:space="preserve"> to send an e</w:t>
      </w:r>
      <w:r w:rsidR="00BD7D3A">
        <w:t xml:space="preserve">mail message to students </w:t>
      </w:r>
      <w:r>
        <w:t>(suggested text below);</w:t>
      </w:r>
    </w:p>
    <w:p w:rsidR="00BD7D3A" w:rsidRDefault="00BD7D3A" w:rsidP="007918F7">
      <w:pPr>
        <w:pStyle w:val="HEABullets"/>
      </w:pPr>
      <w:r>
        <w:t xml:space="preserve">Help ensure student awareness </w:t>
      </w:r>
      <w:r w:rsidR="0023131E">
        <w:t>about changes the department has made in response to student feedback in the past;</w:t>
      </w:r>
    </w:p>
    <w:p w:rsidR="00BD7D3A" w:rsidRDefault="00BD7D3A" w:rsidP="007918F7">
      <w:pPr>
        <w:pStyle w:val="HEABullets"/>
      </w:pPr>
      <w:r>
        <w:t xml:space="preserve">Ensure that staff are aware that students should be free to give honest feedback and not encouraged to give answers outside their own perceptions of their UCL experience (i.e. no link should be made between the NSS and league tables, or the value of their degrees). </w:t>
      </w:r>
      <w:r w:rsidR="0023131E">
        <w:t>However departments are encouraged to speak to students about how to interpret the questions and understand the response scales;</w:t>
      </w:r>
    </w:p>
    <w:p w:rsidR="00BD7D3A" w:rsidRDefault="00BD7D3A" w:rsidP="007918F7">
      <w:pPr>
        <w:pStyle w:val="HEABullets"/>
      </w:pPr>
      <w:r>
        <w:t>Encourage students to complete the NSS online, as it is more convenient for them to fill it in at their leisure, rather than be contacted by Ipsos MORI by phone. The sooner they complete, the fewer reminders they will receive!</w:t>
      </w:r>
    </w:p>
    <w:p w:rsidR="00BD7D3A" w:rsidRDefault="00BD7D3A" w:rsidP="007918F7">
      <w:pPr>
        <w:spacing w:line="240" w:lineRule="auto"/>
      </w:pPr>
    </w:p>
    <w:p w:rsidR="00BD7D3A" w:rsidRDefault="00734F76" w:rsidP="007918F7">
      <w:pPr>
        <w:pStyle w:val="Heading2"/>
        <w:spacing w:line="240" w:lineRule="auto"/>
      </w:pPr>
      <w:bookmarkStart w:id="8" w:name="_Toc498599533"/>
      <w:r>
        <w:t>Other s</w:t>
      </w:r>
      <w:r w:rsidR="00BD7D3A">
        <w:t>uggestions and good practice from NSSLOs</w:t>
      </w:r>
      <w:r w:rsidR="00E91763">
        <w:t xml:space="preserve"> in previous years</w:t>
      </w:r>
      <w:r w:rsidR="00BD7D3A">
        <w:t>*</w:t>
      </w:r>
      <w:bookmarkEnd w:id="8"/>
    </w:p>
    <w:p w:rsidR="00BD7D3A" w:rsidRDefault="00BD7D3A" w:rsidP="007918F7">
      <w:pPr>
        <w:spacing w:line="240" w:lineRule="auto"/>
      </w:pPr>
    </w:p>
    <w:p w:rsidR="00BD7D3A" w:rsidRDefault="00BD7D3A" w:rsidP="007918F7">
      <w:pPr>
        <w:pStyle w:val="HEABullets"/>
      </w:pPr>
      <w:r>
        <w:t xml:space="preserve">Hold individual or group meetings with students and the Head of Department or other senior departmental figures (such as the Departmental Tutor or equivalent), where numbers allow. Some departments combine these meetings to also provide information on exam and revision techniques, careers advice and/or as part of Personal Tutoring meetings. </w:t>
      </w:r>
    </w:p>
    <w:p w:rsidR="00BD7D3A" w:rsidRDefault="00BD7D3A" w:rsidP="007918F7">
      <w:pPr>
        <w:pStyle w:val="HEABullets"/>
      </w:pPr>
      <w:r>
        <w:t xml:space="preserve">Organise an NSS lunch </w:t>
      </w:r>
      <w:r w:rsidR="00887A0C">
        <w:t>in an undergraduate common room. Some depart</w:t>
      </w:r>
      <w:r w:rsidR="00E91763">
        <w:t>ments use pizza or cake as an incentive.</w:t>
      </w:r>
    </w:p>
    <w:p w:rsidR="00BD7D3A" w:rsidRDefault="00BD7D3A" w:rsidP="007918F7">
      <w:pPr>
        <w:pStyle w:val="HEABullets"/>
      </w:pPr>
      <w:r>
        <w:t>Use a “totaliser” system whereby donations will be provided to the student society for end of term activities, scaled according to the NSS response rate.</w:t>
      </w:r>
    </w:p>
    <w:p w:rsidR="00BD7D3A" w:rsidRDefault="00BD7D3A" w:rsidP="007918F7">
      <w:pPr>
        <w:pStyle w:val="HEABullets"/>
      </w:pPr>
      <w:r>
        <w:t>Book a cluster room for NSS completion and enter the event into students’ timetables. Alternatively, if final year students already have sessions in cluster rooms scheduled consider setting aside some time at the end for NSS completion.</w:t>
      </w:r>
    </w:p>
    <w:p w:rsidR="00BD7D3A" w:rsidRDefault="00BD7D3A" w:rsidP="007918F7">
      <w:pPr>
        <w:pStyle w:val="HEABullets"/>
        <w:numPr>
          <w:ilvl w:val="0"/>
          <w:numId w:val="0"/>
        </w:numPr>
        <w:ind w:left="720"/>
      </w:pPr>
    </w:p>
    <w:p w:rsidR="00BD7D3A" w:rsidRDefault="00BD7D3A" w:rsidP="007918F7">
      <w:pPr>
        <w:spacing w:line="240" w:lineRule="auto"/>
      </w:pPr>
      <w:r>
        <w:t xml:space="preserve">* Please let the </w:t>
      </w:r>
      <w:r w:rsidR="0023131E">
        <w:t>Student Engagement</w:t>
      </w:r>
      <w:r>
        <w:t xml:space="preserve"> team know of any of your own activities that may be good practice other departments can use and we will add them to the list.  </w:t>
      </w:r>
    </w:p>
    <w:p w:rsidR="00BD7D3A" w:rsidRDefault="00BD7D3A" w:rsidP="007918F7">
      <w:pPr>
        <w:pStyle w:val="Heading2"/>
        <w:spacing w:line="240" w:lineRule="auto"/>
      </w:pPr>
      <w:bookmarkStart w:id="9" w:name="_Toc498599534"/>
      <w:r>
        <w:t>Publicity tools</w:t>
      </w:r>
      <w:bookmarkEnd w:id="9"/>
      <w:r>
        <w:t xml:space="preserve"> </w:t>
      </w:r>
    </w:p>
    <w:p w:rsidR="00BD7D3A" w:rsidRDefault="00BD7D3A" w:rsidP="007918F7">
      <w:pPr>
        <w:pStyle w:val="Heading3"/>
        <w:spacing w:line="240" w:lineRule="auto"/>
      </w:pPr>
      <w:bookmarkStart w:id="10" w:name="_Toc498599535"/>
      <w:r>
        <w:t>1)</w:t>
      </w:r>
      <w:r>
        <w:tab/>
        <w:t>NSS posters and flyers</w:t>
      </w:r>
      <w:bookmarkEnd w:id="10"/>
    </w:p>
    <w:p w:rsidR="00BD7D3A" w:rsidRDefault="00BD7D3A" w:rsidP="007918F7">
      <w:pPr>
        <w:spacing w:line="240" w:lineRule="auto"/>
      </w:pPr>
      <w:r>
        <w:br/>
        <w:t xml:space="preserve">Flyers, </w:t>
      </w:r>
      <w:r w:rsidR="0053151C">
        <w:t xml:space="preserve">A4 and A3 </w:t>
      </w:r>
      <w:r>
        <w:t>posters,</w:t>
      </w:r>
      <w:r w:rsidR="0053151C">
        <w:t xml:space="preserve"> and</w:t>
      </w:r>
      <w:r>
        <w:t xml:space="preserve"> pens </w:t>
      </w:r>
      <w:r w:rsidR="0053151C">
        <w:t xml:space="preserve">will be sent you during the week of </w:t>
      </w:r>
      <w:r w:rsidR="0023131E">
        <w:t xml:space="preserve">18 December </w:t>
      </w:r>
      <w:r w:rsidR="006776B8">
        <w:t xml:space="preserve">(you will be contacted separately about </w:t>
      </w:r>
      <w:r w:rsidR="0023131E">
        <w:t>ordering promotional materials</w:t>
      </w:r>
      <w:r w:rsidR="006776B8">
        <w:t>)</w:t>
      </w:r>
      <w:r w:rsidR="0053151C">
        <w:t xml:space="preserve">. </w:t>
      </w:r>
    </w:p>
    <w:p w:rsidR="00BD7D3A" w:rsidRDefault="00734F76" w:rsidP="007918F7">
      <w:pPr>
        <w:pStyle w:val="Heading3"/>
        <w:spacing w:line="240" w:lineRule="auto"/>
      </w:pPr>
      <w:bookmarkStart w:id="11" w:name="_Toc498599536"/>
      <w:r>
        <w:t>2)</w:t>
      </w:r>
      <w:r>
        <w:tab/>
        <w:t>Electronic publicity m</w:t>
      </w:r>
      <w:r w:rsidR="00BD7D3A">
        <w:t>aterial</w:t>
      </w:r>
      <w:bookmarkEnd w:id="11"/>
    </w:p>
    <w:p w:rsidR="00BD7D3A" w:rsidRDefault="00BD7D3A" w:rsidP="007918F7">
      <w:pPr>
        <w:spacing w:line="240" w:lineRule="auto"/>
      </w:pPr>
      <w:r>
        <w:br/>
        <w:t xml:space="preserve">The following will be sent to </w:t>
      </w:r>
      <w:r w:rsidR="00E91763">
        <w:t>all:</w:t>
      </w:r>
    </w:p>
    <w:p w:rsidR="00BD7D3A" w:rsidRDefault="00887A0C" w:rsidP="007918F7">
      <w:pPr>
        <w:pStyle w:val="HEABullets"/>
      </w:pPr>
      <w:r>
        <w:t xml:space="preserve">Web </w:t>
      </w:r>
      <w:r w:rsidR="00BD7D3A">
        <w:t>graphic</w:t>
      </w:r>
      <w:r w:rsidR="006776B8">
        <w:t>s</w:t>
      </w:r>
      <w:r w:rsidR="00BD7D3A">
        <w:t xml:space="preserve"> – for use on departmental webpages. </w:t>
      </w:r>
    </w:p>
    <w:p w:rsidR="00BD7D3A" w:rsidRDefault="00BD7D3A" w:rsidP="007918F7">
      <w:pPr>
        <w:pStyle w:val="HEABullets"/>
      </w:pPr>
      <w:r>
        <w:t>Wallpaper – for use on PCs (note ISD are doing this in the cluster rooms and library) and can be used for plasma screens too.</w:t>
      </w:r>
    </w:p>
    <w:p w:rsidR="00BD7D3A" w:rsidRDefault="00887A0C" w:rsidP="007918F7">
      <w:pPr>
        <w:pStyle w:val="HEABullets"/>
      </w:pPr>
      <w:r>
        <w:t>E</w:t>
      </w:r>
      <w:r w:rsidR="00BD7D3A">
        <w:t xml:space="preserve">mail-footer – Please add this to your </w:t>
      </w:r>
      <w:r>
        <w:t>email</w:t>
      </w:r>
      <w:r w:rsidR="00BD7D3A">
        <w:t xml:space="preserve"> signature and ask other staff, especially the Head, Dept Tutor and key lecturers to make use of it too.</w:t>
      </w:r>
    </w:p>
    <w:p w:rsidR="00BD7D3A" w:rsidRDefault="00BD7D3A" w:rsidP="007918F7">
      <w:pPr>
        <w:spacing w:line="240" w:lineRule="auto"/>
      </w:pPr>
      <w:r>
        <w:br/>
      </w:r>
      <w:r w:rsidRPr="00BD7D3A">
        <w:t>Different sizes of the materials are available; please contact</w:t>
      </w:r>
      <w:r w:rsidR="00E91763">
        <w:t xml:space="preserve"> the</w:t>
      </w:r>
      <w:r w:rsidRPr="00BD7D3A">
        <w:t xml:space="preserve"> </w:t>
      </w:r>
      <w:r w:rsidR="0023131E">
        <w:t>Student Engagement team</w:t>
      </w:r>
      <w:r w:rsidR="0023131E" w:rsidRPr="00BD7D3A">
        <w:t xml:space="preserve"> </w:t>
      </w:r>
      <w:r w:rsidRPr="00BD7D3A">
        <w:t>if you require</w:t>
      </w:r>
      <w:r>
        <w:t xml:space="preserve"> them.</w:t>
      </w:r>
    </w:p>
    <w:p w:rsidR="006776B8" w:rsidRPr="006776B8" w:rsidRDefault="006776B8" w:rsidP="007918F7">
      <w:pPr>
        <w:pStyle w:val="Heading3"/>
        <w:spacing w:line="240" w:lineRule="auto"/>
      </w:pPr>
      <w:bookmarkStart w:id="12" w:name="_Toc498599537"/>
      <w:r>
        <w:t xml:space="preserve">3) </w:t>
      </w:r>
      <w:r>
        <w:tab/>
        <w:t>Emails and social media</w:t>
      </w:r>
      <w:bookmarkEnd w:id="12"/>
      <w:r>
        <w:br/>
      </w:r>
    </w:p>
    <w:p w:rsidR="006776B8" w:rsidRDefault="006776B8" w:rsidP="007918F7">
      <w:pPr>
        <w:spacing w:line="240" w:lineRule="auto"/>
      </w:pPr>
      <w:r>
        <w:t xml:space="preserve">We will </w:t>
      </w:r>
      <w:r w:rsidR="00C23D6E">
        <w:t>provide</w:t>
      </w:r>
      <w:r>
        <w:t xml:space="preserve"> email templates, suggested text for tweets and social media posts, and key messages </w:t>
      </w:r>
      <w:r w:rsidR="00C23D6E">
        <w:t>for communications to use at your discretion.</w:t>
      </w:r>
    </w:p>
    <w:p w:rsidR="00BD7D3A" w:rsidRDefault="00734F76" w:rsidP="007918F7">
      <w:pPr>
        <w:pStyle w:val="Heading2"/>
        <w:spacing w:line="240" w:lineRule="auto"/>
      </w:pPr>
      <w:bookmarkStart w:id="13" w:name="_Toc498599538"/>
      <w:r>
        <w:lastRenderedPageBreak/>
        <w:t xml:space="preserve">NSS </w:t>
      </w:r>
      <w:r w:rsidR="007918F7">
        <w:t>2018</w:t>
      </w:r>
      <w:r>
        <w:t xml:space="preserve"> – r</w:t>
      </w:r>
      <w:r w:rsidR="00BD7D3A">
        <w:t xml:space="preserve">esponse </w:t>
      </w:r>
      <w:r>
        <w:t>r</w:t>
      </w:r>
      <w:r w:rsidR="00BD7D3A">
        <w:t xml:space="preserve">ate </w:t>
      </w:r>
      <w:r>
        <w:t>reward s</w:t>
      </w:r>
      <w:r w:rsidR="00BD7D3A">
        <w:t>cheme</w:t>
      </w:r>
      <w:bookmarkEnd w:id="13"/>
      <w:r w:rsidR="00BD7D3A">
        <w:t xml:space="preserve"> </w:t>
      </w:r>
    </w:p>
    <w:p w:rsidR="007918F7" w:rsidRDefault="00376BFE" w:rsidP="007918F7">
      <w:pPr>
        <w:spacing w:line="240" w:lineRule="auto"/>
        <w:rPr>
          <w:rFonts w:cs="Arial"/>
        </w:rPr>
      </w:pPr>
      <w:r>
        <w:br/>
      </w:r>
      <w:r w:rsidR="007918F7">
        <w:t xml:space="preserve">Professor Anthony Smith has kindly agreed to fund the successful NSS incentive scheme (suspended in NSS 2017) this year. </w:t>
      </w:r>
      <w:r w:rsidR="007918F7" w:rsidRPr="00A54F67">
        <w:rPr>
          <w:rFonts w:cs="Arial"/>
        </w:rPr>
        <w:t>All departments achieving at least a 65% response rate will receive a reward for their students between £250 and £1,500, depend</w:t>
      </w:r>
      <w:r w:rsidR="007918F7">
        <w:rPr>
          <w:rFonts w:cs="Arial"/>
        </w:rPr>
        <w:t>ing on department size:</w:t>
      </w:r>
    </w:p>
    <w:tbl>
      <w:tblPr>
        <w:tblStyle w:val="TableGrid"/>
        <w:tblW w:w="0" w:type="auto"/>
        <w:tblInd w:w="250" w:type="dxa"/>
        <w:tblLook w:val="04A0" w:firstRow="1" w:lastRow="0" w:firstColumn="1" w:lastColumn="0" w:noHBand="0" w:noVBand="1"/>
      </w:tblPr>
      <w:tblGrid>
        <w:gridCol w:w="2683"/>
        <w:gridCol w:w="2683"/>
      </w:tblGrid>
      <w:tr w:rsidR="007918F7" w:rsidTr="007918F7">
        <w:trPr>
          <w:trHeight w:val="263"/>
        </w:trPr>
        <w:tc>
          <w:tcPr>
            <w:tcW w:w="2683" w:type="dxa"/>
            <w:shd w:val="clear" w:color="auto" w:fill="7030A0"/>
          </w:tcPr>
          <w:p w:rsidR="007918F7" w:rsidRPr="00376BFE" w:rsidRDefault="007918F7" w:rsidP="007918F7">
            <w:pPr>
              <w:rPr>
                <w:b/>
                <w:bCs/>
                <w:color w:val="FFFFFF" w:themeColor="background1"/>
              </w:rPr>
            </w:pPr>
            <w:r w:rsidRPr="00376BFE">
              <w:rPr>
                <w:b/>
                <w:bCs/>
                <w:color w:val="FFFFFF" w:themeColor="background1"/>
              </w:rPr>
              <w:t>No of students</w:t>
            </w:r>
          </w:p>
        </w:tc>
        <w:tc>
          <w:tcPr>
            <w:tcW w:w="2683" w:type="dxa"/>
            <w:shd w:val="clear" w:color="auto" w:fill="7030A0"/>
          </w:tcPr>
          <w:p w:rsidR="007918F7" w:rsidRPr="00376BFE" w:rsidRDefault="007918F7" w:rsidP="007918F7">
            <w:pPr>
              <w:rPr>
                <w:b/>
                <w:bCs/>
                <w:color w:val="FFFFFF" w:themeColor="background1"/>
              </w:rPr>
            </w:pPr>
            <w:r w:rsidRPr="00376BFE">
              <w:rPr>
                <w:b/>
                <w:bCs/>
                <w:color w:val="FFFFFF" w:themeColor="background1"/>
              </w:rPr>
              <w:t>Prize</w:t>
            </w:r>
          </w:p>
        </w:tc>
      </w:tr>
      <w:tr w:rsidR="007918F7" w:rsidTr="005F5977">
        <w:trPr>
          <w:trHeight w:val="248"/>
        </w:trPr>
        <w:tc>
          <w:tcPr>
            <w:tcW w:w="2683" w:type="dxa"/>
          </w:tcPr>
          <w:p w:rsidR="007918F7" w:rsidRDefault="007918F7" w:rsidP="007918F7">
            <w:r>
              <w:t>0 – 49</w:t>
            </w:r>
          </w:p>
        </w:tc>
        <w:tc>
          <w:tcPr>
            <w:tcW w:w="2683" w:type="dxa"/>
          </w:tcPr>
          <w:p w:rsidR="007918F7" w:rsidRDefault="007918F7" w:rsidP="007918F7">
            <w:r>
              <w:t>£250</w:t>
            </w:r>
          </w:p>
        </w:tc>
      </w:tr>
      <w:tr w:rsidR="007918F7" w:rsidTr="005F5977">
        <w:trPr>
          <w:trHeight w:val="263"/>
        </w:trPr>
        <w:tc>
          <w:tcPr>
            <w:tcW w:w="2683" w:type="dxa"/>
          </w:tcPr>
          <w:p w:rsidR="007918F7" w:rsidRDefault="007918F7" w:rsidP="007918F7">
            <w:r>
              <w:t>50 – 99</w:t>
            </w:r>
          </w:p>
        </w:tc>
        <w:tc>
          <w:tcPr>
            <w:tcW w:w="2683" w:type="dxa"/>
          </w:tcPr>
          <w:p w:rsidR="007918F7" w:rsidRDefault="007918F7" w:rsidP="007918F7">
            <w:r>
              <w:t>£400</w:t>
            </w:r>
          </w:p>
        </w:tc>
      </w:tr>
      <w:tr w:rsidR="007918F7" w:rsidTr="005F5977">
        <w:trPr>
          <w:trHeight w:val="248"/>
        </w:trPr>
        <w:tc>
          <w:tcPr>
            <w:tcW w:w="2683" w:type="dxa"/>
          </w:tcPr>
          <w:p w:rsidR="007918F7" w:rsidRDefault="007918F7" w:rsidP="007918F7">
            <w:r>
              <w:t xml:space="preserve">100 – 149 </w:t>
            </w:r>
          </w:p>
        </w:tc>
        <w:tc>
          <w:tcPr>
            <w:tcW w:w="2683" w:type="dxa"/>
          </w:tcPr>
          <w:p w:rsidR="007918F7" w:rsidRDefault="007918F7" w:rsidP="007918F7">
            <w:r>
              <w:t>£650</w:t>
            </w:r>
          </w:p>
        </w:tc>
      </w:tr>
      <w:tr w:rsidR="007918F7" w:rsidTr="005F5977">
        <w:trPr>
          <w:trHeight w:val="263"/>
        </w:trPr>
        <w:tc>
          <w:tcPr>
            <w:tcW w:w="2683" w:type="dxa"/>
          </w:tcPr>
          <w:p w:rsidR="007918F7" w:rsidRDefault="007918F7" w:rsidP="007918F7">
            <w:r>
              <w:t>150 – 199</w:t>
            </w:r>
          </w:p>
        </w:tc>
        <w:tc>
          <w:tcPr>
            <w:tcW w:w="2683" w:type="dxa"/>
          </w:tcPr>
          <w:p w:rsidR="007918F7" w:rsidRDefault="007918F7" w:rsidP="007918F7">
            <w:r>
              <w:t>£1,000</w:t>
            </w:r>
          </w:p>
        </w:tc>
      </w:tr>
      <w:tr w:rsidR="007918F7" w:rsidTr="005F5977">
        <w:trPr>
          <w:trHeight w:val="248"/>
        </w:trPr>
        <w:tc>
          <w:tcPr>
            <w:tcW w:w="2683" w:type="dxa"/>
          </w:tcPr>
          <w:p w:rsidR="007918F7" w:rsidRDefault="007918F7" w:rsidP="007918F7">
            <w:r>
              <w:t>200+</w:t>
            </w:r>
          </w:p>
        </w:tc>
        <w:tc>
          <w:tcPr>
            <w:tcW w:w="2683" w:type="dxa"/>
          </w:tcPr>
          <w:p w:rsidR="007918F7" w:rsidRDefault="007918F7" w:rsidP="007918F7">
            <w:r>
              <w:t>£1,500</w:t>
            </w:r>
          </w:p>
        </w:tc>
      </w:tr>
    </w:tbl>
    <w:p w:rsidR="007918F7" w:rsidRDefault="007918F7" w:rsidP="007918F7">
      <w:pPr>
        <w:spacing w:line="240" w:lineRule="auto"/>
        <w:rPr>
          <w:rFonts w:cs="Arial"/>
        </w:rPr>
      </w:pPr>
    </w:p>
    <w:p w:rsidR="007918F7" w:rsidRPr="00A54F67" w:rsidRDefault="007918F7" w:rsidP="007918F7">
      <w:pPr>
        <w:spacing w:line="240" w:lineRule="auto"/>
        <w:rPr>
          <w:rFonts w:cs="Arial"/>
        </w:rPr>
      </w:pPr>
      <w:r w:rsidRPr="00A54F67">
        <w:rPr>
          <w:rFonts w:cs="Arial"/>
        </w:rPr>
        <w:t xml:space="preserve">The money could be spent on a party or other social occasion for the students, a donation to the student society, or other ideas (departments are encouraged to meet with the students to decide what to spend the money on). Please note that students are not able to donate this money to charity. Prizes will be awarded quickly in order to ensure that the students taking part in this year’s survey benefit. </w:t>
      </w:r>
    </w:p>
    <w:p w:rsidR="00C23D6E" w:rsidRDefault="00900398" w:rsidP="0023131E">
      <w:pPr>
        <w:pStyle w:val="Heading2"/>
      </w:pPr>
      <w:bookmarkStart w:id="14" w:name="_Toc498599539"/>
      <w:r>
        <w:t xml:space="preserve">NSS and the </w:t>
      </w:r>
      <w:r w:rsidR="0023131E">
        <w:t>Teaching Excellence Framework</w:t>
      </w:r>
      <w:bookmarkEnd w:id="14"/>
    </w:p>
    <w:p w:rsidR="00324608" w:rsidRDefault="00324608" w:rsidP="00324608">
      <w:pPr>
        <w:spacing w:before="200" w:line="276" w:lineRule="atLeast"/>
        <w:rPr>
          <w:color w:val="000000"/>
        </w:rPr>
      </w:pPr>
      <w:r>
        <w:rPr>
          <w:rFonts w:eastAsia="Times New Roman" w:cs="Arial"/>
          <w:color w:val="212121"/>
        </w:rPr>
        <w:t>The National Student Survey (NSS) has been a powerful driver of change since its launch in 2010. Every cohort of students benefits from improvements brought about by the voice of previous students.  </w:t>
      </w:r>
    </w:p>
    <w:p w:rsidR="00324608" w:rsidRDefault="00324608" w:rsidP="00324608">
      <w:pPr>
        <w:spacing w:before="100" w:beforeAutospacing="1"/>
        <w:rPr>
          <w:color w:val="000000"/>
        </w:rPr>
      </w:pPr>
      <w:r>
        <w:rPr>
          <w:rFonts w:eastAsia="Times New Roman" w:cs="Arial"/>
          <w:color w:val="212121"/>
        </w:rPr>
        <w:t xml:space="preserve">We have made great strides in participation rates in the NSS since 2010, achieving 79% in 2016, putting us in the top quartile in the country, and very near the top in comparison to other institutions of our size and complexity. This is thanks to the hard work of departments, in particular you in your roles as NSS Liaison Officers. </w:t>
      </w:r>
    </w:p>
    <w:p w:rsidR="00324608" w:rsidRDefault="00324608" w:rsidP="00324608">
      <w:pPr>
        <w:spacing w:before="100" w:beforeAutospacing="1"/>
        <w:rPr>
          <w:color w:val="000000"/>
        </w:rPr>
      </w:pPr>
      <w:r>
        <w:rPr>
          <w:rFonts w:eastAsia="Times New Roman" w:cs="Arial"/>
          <w:color w:val="212121"/>
        </w:rPr>
        <w:t xml:space="preserve"> As you know, the Students’ Union called for a boycott of the NSS in 2017 due to its proposed use in the Teaching Excellence Framework (TEF) metrics. As a result, we did not achieve the 50% required minimum response rate for publication of NSS data. After a national debate, </w:t>
      </w:r>
      <w:r>
        <w:rPr>
          <w:rFonts w:eastAsia="Times New Roman" w:cs="Arial"/>
          <w:b/>
          <w:bCs/>
          <w:color w:val="212121"/>
        </w:rPr>
        <w:t xml:space="preserve">the Department for Education has confirmed that it will </w:t>
      </w:r>
      <w:r>
        <w:rPr>
          <w:rFonts w:eastAsia="Times New Roman" w:cs="Arial"/>
          <w:b/>
          <w:bCs/>
          <w:color w:val="212121"/>
          <w:u w:val="single"/>
        </w:rPr>
        <w:t>not</w:t>
      </w:r>
      <w:r>
        <w:rPr>
          <w:rFonts w:eastAsia="Times New Roman" w:cs="Arial"/>
          <w:b/>
          <w:bCs/>
          <w:color w:val="212121"/>
        </w:rPr>
        <w:t xml:space="preserve"> link TEF ratings to tuition fees</w:t>
      </w:r>
      <w:r>
        <w:rPr>
          <w:rFonts w:eastAsia="Times New Roman" w:cs="Arial"/>
          <w:color w:val="212121"/>
        </w:rPr>
        <w:t>. We will therefore be encouraging students to participate fully this year and we will do all we can to support you engage your students in this vital process. It is important that they are given the opportunity to shape the future of education at UCL without worrying that their responses will be used to penalise future students. Please reassure them, if they have concerns, that this is no longer the case.</w:t>
      </w:r>
    </w:p>
    <w:p w:rsidR="00BB10BC" w:rsidRDefault="00BB10BC" w:rsidP="00324608">
      <w:pPr>
        <w:spacing w:line="240" w:lineRule="auto"/>
      </w:pPr>
    </w:p>
    <w:p w:rsidR="00BB10BC" w:rsidRPr="00BB10BC" w:rsidRDefault="00BB10BC" w:rsidP="00BB10BC">
      <w:pPr>
        <w:pStyle w:val="Heading2"/>
      </w:pPr>
      <w:bookmarkStart w:id="15" w:name="_Toc498599540"/>
      <w:r>
        <w:t>Contact us</w:t>
      </w:r>
      <w:bookmarkEnd w:id="15"/>
      <w:r>
        <w:br/>
      </w:r>
    </w:p>
    <w:p w:rsidR="00BB10BC" w:rsidRDefault="00BB10BC" w:rsidP="0023131E">
      <w:pPr>
        <w:spacing w:line="240" w:lineRule="auto"/>
      </w:pPr>
      <w:r>
        <w:t>If you wish to clarify anything in this guidance document or would like to speak to us about any aspect of NSS, surveys or student engagement at UCL, please contact the Student Engagement team:</w:t>
      </w:r>
    </w:p>
    <w:p w:rsidR="00BB10BC" w:rsidRDefault="00BB10BC" w:rsidP="0023131E">
      <w:pPr>
        <w:spacing w:line="240" w:lineRule="auto"/>
      </w:pPr>
      <w:r>
        <w:t xml:space="preserve">Rebecca (Data and Insight Manager) </w:t>
      </w:r>
      <w:hyperlink r:id="rId6" w:history="1">
        <w:r w:rsidRPr="00D44C67">
          <w:rPr>
            <w:rStyle w:val="Hyperlink"/>
          </w:rPr>
          <w:t>r.allen@ucl.ac.uk</w:t>
        </w:r>
      </w:hyperlink>
      <w:r>
        <w:t xml:space="preserve"> ext. 56508</w:t>
      </w:r>
    </w:p>
    <w:p w:rsidR="00BB10BC" w:rsidRDefault="00BB10BC" w:rsidP="0023131E">
      <w:pPr>
        <w:spacing w:line="240" w:lineRule="auto"/>
      </w:pPr>
      <w:r>
        <w:t xml:space="preserve">Csenge (Student Engagement Officer) </w:t>
      </w:r>
      <w:hyperlink r:id="rId7" w:history="1">
        <w:r w:rsidRPr="00D44C67">
          <w:rPr>
            <w:rStyle w:val="Hyperlink"/>
          </w:rPr>
          <w:t>c.lantos@ucl.ac.uk</w:t>
        </w:r>
      </w:hyperlink>
      <w:r>
        <w:t xml:space="preserve"> ext. 56505</w:t>
      </w:r>
    </w:p>
    <w:p w:rsidR="00BB10BC" w:rsidRDefault="00BB10BC" w:rsidP="0023131E">
      <w:pPr>
        <w:spacing w:line="240" w:lineRule="auto"/>
      </w:pPr>
      <w:r>
        <w:t xml:space="preserve">Rachel (interim Head of Student Engagement) </w:t>
      </w:r>
      <w:hyperlink r:id="rId8" w:history="1">
        <w:r w:rsidRPr="00D44C67">
          <w:rPr>
            <w:rStyle w:val="Hyperlink"/>
          </w:rPr>
          <w:t>r.heatley@ucl.ac.uk</w:t>
        </w:r>
      </w:hyperlink>
      <w:r>
        <w:t xml:space="preserve"> 56509</w:t>
      </w:r>
    </w:p>
    <w:sectPr w:rsidR="00BB10BC" w:rsidSect="00C23D6E">
      <w:pgSz w:w="11906" w:h="16838"/>
      <w:pgMar w:top="1134"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6866"/>
    <w:multiLevelType w:val="hybridMultilevel"/>
    <w:tmpl w:val="A29A9CE0"/>
    <w:lvl w:ilvl="0" w:tplc="ADEA8DC8">
      <w:start w:val="1"/>
      <w:numFmt w:val="bullet"/>
      <w:pStyle w:val="Bullets"/>
      <w:lvlText w:val=""/>
      <w:lvlJc w:val="left"/>
      <w:pPr>
        <w:ind w:left="720" w:hanging="360"/>
      </w:pPr>
      <w:rPr>
        <w:rFonts w:ascii="Symbol" w:hAnsi="Symbol" w:cs="Symbol" w:hint="default"/>
        <w:color w:val="4F81BD"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B27D3F"/>
    <w:multiLevelType w:val="hybridMultilevel"/>
    <w:tmpl w:val="57782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833B67"/>
    <w:multiLevelType w:val="hybridMultilevel"/>
    <w:tmpl w:val="101657D2"/>
    <w:lvl w:ilvl="0" w:tplc="66A2EEB6">
      <w:start w:val="1"/>
      <w:numFmt w:val="bullet"/>
      <w:pStyle w:val="HEABullets"/>
      <w:lvlText w:val=""/>
      <w:lvlJc w:val="left"/>
      <w:pPr>
        <w:ind w:left="720" w:hanging="360"/>
      </w:pPr>
      <w:rPr>
        <w:rFonts w:ascii="Symbol" w:hAnsi="Symbol" w:cs="Symbol" w:hint="default"/>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2"/>
  </w:num>
  <w:num w:numId="5">
    <w:abstractNumId w:val="2"/>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D3A"/>
    <w:rsid w:val="00000D24"/>
    <w:rsid w:val="00000ED4"/>
    <w:rsid w:val="00003217"/>
    <w:rsid w:val="00003268"/>
    <w:rsid w:val="00012343"/>
    <w:rsid w:val="0001566D"/>
    <w:rsid w:val="0002068A"/>
    <w:rsid w:val="00020EF9"/>
    <w:rsid w:val="00022C53"/>
    <w:rsid w:val="00022C76"/>
    <w:rsid w:val="00023110"/>
    <w:rsid w:val="00033324"/>
    <w:rsid w:val="00040615"/>
    <w:rsid w:val="00040B68"/>
    <w:rsid w:val="00042665"/>
    <w:rsid w:val="000428F6"/>
    <w:rsid w:val="00044E93"/>
    <w:rsid w:val="00045CA5"/>
    <w:rsid w:val="000467BF"/>
    <w:rsid w:val="000468C3"/>
    <w:rsid w:val="000528AE"/>
    <w:rsid w:val="00057C75"/>
    <w:rsid w:val="000615CF"/>
    <w:rsid w:val="00063897"/>
    <w:rsid w:val="000650A8"/>
    <w:rsid w:val="0007004F"/>
    <w:rsid w:val="000722AE"/>
    <w:rsid w:val="0007278C"/>
    <w:rsid w:val="00072A69"/>
    <w:rsid w:val="00072DAB"/>
    <w:rsid w:val="000742F2"/>
    <w:rsid w:val="0008357F"/>
    <w:rsid w:val="00085413"/>
    <w:rsid w:val="00094DC2"/>
    <w:rsid w:val="00095C1C"/>
    <w:rsid w:val="00096045"/>
    <w:rsid w:val="00096F35"/>
    <w:rsid w:val="000A11F2"/>
    <w:rsid w:val="000A1DD6"/>
    <w:rsid w:val="000A2B17"/>
    <w:rsid w:val="000A2B88"/>
    <w:rsid w:val="000A5E94"/>
    <w:rsid w:val="000A6272"/>
    <w:rsid w:val="000A7B5B"/>
    <w:rsid w:val="000B1482"/>
    <w:rsid w:val="000B31F6"/>
    <w:rsid w:val="000B35EA"/>
    <w:rsid w:val="000B482C"/>
    <w:rsid w:val="000C02AD"/>
    <w:rsid w:val="000C7A8C"/>
    <w:rsid w:val="000D0B69"/>
    <w:rsid w:val="000D1228"/>
    <w:rsid w:val="000D1505"/>
    <w:rsid w:val="000D1F70"/>
    <w:rsid w:val="000D42AE"/>
    <w:rsid w:val="000D6E5C"/>
    <w:rsid w:val="000D7BFE"/>
    <w:rsid w:val="000E01A1"/>
    <w:rsid w:val="000E0CD6"/>
    <w:rsid w:val="000E3342"/>
    <w:rsid w:val="000E3B8E"/>
    <w:rsid w:val="000E5C15"/>
    <w:rsid w:val="000F249E"/>
    <w:rsid w:val="000F378F"/>
    <w:rsid w:val="000F3CD8"/>
    <w:rsid w:val="000F484E"/>
    <w:rsid w:val="000F4EBB"/>
    <w:rsid w:val="000F661E"/>
    <w:rsid w:val="000F6795"/>
    <w:rsid w:val="00104981"/>
    <w:rsid w:val="0010508D"/>
    <w:rsid w:val="00105ECF"/>
    <w:rsid w:val="00106FD8"/>
    <w:rsid w:val="00111CA7"/>
    <w:rsid w:val="0011424F"/>
    <w:rsid w:val="00114391"/>
    <w:rsid w:val="001153EC"/>
    <w:rsid w:val="00116A50"/>
    <w:rsid w:val="00116FB0"/>
    <w:rsid w:val="00117130"/>
    <w:rsid w:val="00117820"/>
    <w:rsid w:val="00117F85"/>
    <w:rsid w:val="00123153"/>
    <w:rsid w:val="0012499D"/>
    <w:rsid w:val="00125B49"/>
    <w:rsid w:val="001260FE"/>
    <w:rsid w:val="00126601"/>
    <w:rsid w:val="00131B09"/>
    <w:rsid w:val="001338C7"/>
    <w:rsid w:val="001356C8"/>
    <w:rsid w:val="0013634E"/>
    <w:rsid w:val="00136894"/>
    <w:rsid w:val="00141D56"/>
    <w:rsid w:val="00142355"/>
    <w:rsid w:val="0015212E"/>
    <w:rsid w:val="001534A5"/>
    <w:rsid w:val="001544E0"/>
    <w:rsid w:val="0015512C"/>
    <w:rsid w:val="001561E2"/>
    <w:rsid w:val="00157532"/>
    <w:rsid w:val="00161091"/>
    <w:rsid w:val="0016139B"/>
    <w:rsid w:val="00162A6E"/>
    <w:rsid w:val="00164561"/>
    <w:rsid w:val="00164BE3"/>
    <w:rsid w:val="001674D7"/>
    <w:rsid w:val="00170694"/>
    <w:rsid w:val="00171012"/>
    <w:rsid w:val="00171315"/>
    <w:rsid w:val="00172B51"/>
    <w:rsid w:val="00175F57"/>
    <w:rsid w:val="0017688B"/>
    <w:rsid w:val="00177D00"/>
    <w:rsid w:val="00180662"/>
    <w:rsid w:val="00180B1E"/>
    <w:rsid w:val="0018186B"/>
    <w:rsid w:val="00181D64"/>
    <w:rsid w:val="00182D0A"/>
    <w:rsid w:val="0018420F"/>
    <w:rsid w:val="00184478"/>
    <w:rsid w:val="00184D13"/>
    <w:rsid w:val="00187C0E"/>
    <w:rsid w:val="0019015E"/>
    <w:rsid w:val="00194312"/>
    <w:rsid w:val="001A3F86"/>
    <w:rsid w:val="001A456E"/>
    <w:rsid w:val="001A49FD"/>
    <w:rsid w:val="001A4BB1"/>
    <w:rsid w:val="001A58DF"/>
    <w:rsid w:val="001B0A63"/>
    <w:rsid w:val="001B2371"/>
    <w:rsid w:val="001B2457"/>
    <w:rsid w:val="001B50DF"/>
    <w:rsid w:val="001C7726"/>
    <w:rsid w:val="001D0DB2"/>
    <w:rsid w:val="001D2482"/>
    <w:rsid w:val="001D3010"/>
    <w:rsid w:val="001D3D6C"/>
    <w:rsid w:val="001D53CA"/>
    <w:rsid w:val="001D5B81"/>
    <w:rsid w:val="001D5FA6"/>
    <w:rsid w:val="001D7F3D"/>
    <w:rsid w:val="001E674E"/>
    <w:rsid w:val="001E70A9"/>
    <w:rsid w:val="001F35CF"/>
    <w:rsid w:val="001F3ADE"/>
    <w:rsid w:val="001F64AE"/>
    <w:rsid w:val="001F7BEC"/>
    <w:rsid w:val="00201BED"/>
    <w:rsid w:val="00201C39"/>
    <w:rsid w:val="002034EE"/>
    <w:rsid w:val="00204F87"/>
    <w:rsid w:val="002121D5"/>
    <w:rsid w:val="00212BC3"/>
    <w:rsid w:val="0021329E"/>
    <w:rsid w:val="00213D78"/>
    <w:rsid w:val="00214846"/>
    <w:rsid w:val="00221B47"/>
    <w:rsid w:val="00223A9A"/>
    <w:rsid w:val="00223F8C"/>
    <w:rsid w:val="002253CB"/>
    <w:rsid w:val="0023131E"/>
    <w:rsid w:val="002329C7"/>
    <w:rsid w:val="00232D98"/>
    <w:rsid w:val="00234CD2"/>
    <w:rsid w:val="002354C4"/>
    <w:rsid w:val="00235936"/>
    <w:rsid w:val="00237444"/>
    <w:rsid w:val="00241667"/>
    <w:rsid w:val="00242508"/>
    <w:rsid w:val="00253C7D"/>
    <w:rsid w:val="002606CB"/>
    <w:rsid w:val="002636C4"/>
    <w:rsid w:val="00263B42"/>
    <w:rsid w:val="00265898"/>
    <w:rsid w:val="00265F1C"/>
    <w:rsid w:val="0027306A"/>
    <w:rsid w:val="00275DFB"/>
    <w:rsid w:val="00277CC1"/>
    <w:rsid w:val="0028021B"/>
    <w:rsid w:val="002829D1"/>
    <w:rsid w:val="00285993"/>
    <w:rsid w:val="0028786E"/>
    <w:rsid w:val="00293E83"/>
    <w:rsid w:val="00295A45"/>
    <w:rsid w:val="00296D68"/>
    <w:rsid w:val="00297669"/>
    <w:rsid w:val="002A013E"/>
    <w:rsid w:val="002A019F"/>
    <w:rsid w:val="002A1ADB"/>
    <w:rsid w:val="002A50D6"/>
    <w:rsid w:val="002A7621"/>
    <w:rsid w:val="002B0921"/>
    <w:rsid w:val="002B31D7"/>
    <w:rsid w:val="002B532D"/>
    <w:rsid w:val="002C3568"/>
    <w:rsid w:val="002C6F2D"/>
    <w:rsid w:val="002D0823"/>
    <w:rsid w:val="002D12A9"/>
    <w:rsid w:val="002D24FE"/>
    <w:rsid w:val="002D4275"/>
    <w:rsid w:val="002D43BD"/>
    <w:rsid w:val="002D563B"/>
    <w:rsid w:val="002D59E0"/>
    <w:rsid w:val="002E0B4B"/>
    <w:rsid w:val="002E1949"/>
    <w:rsid w:val="002E7C2A"/>
    <w:rsid w:val="002F3B4C"/>
    <w:rsid w:val="002F42B9"/>
    <w:rsid w:val="002F6E65"/>
    <w:rsid w:val="003010AD"/>
    <w:rsid w:val="003015AB"/>
    <w:rsid w:val="0030274D"/>
    <w:rsid w:val="00311478"/>
    <w:rsid w:val="0031245E"/>
    <w:rsid w:val="00320F61"/>
    <w:rsid w:val="00321617"/>
    <w:rsid w:val="00324608"/>
    <w:rsid w:val="00327C72"/>
    <w:rsid w:val="00333252"/>
    <w:rsid w:val="003334DB"/>
    <w:rsid w:val="00333A74"/>
    <w:rsid w:val="00340924"/>
    <w:rsid w:val="00342E7C"/>
    <w:rsid w:val="00345374"/>
    <w:rsid w:val="00346C33"/>
    <w:rsid w:val="003514C9"/>
    <w:rsid w:val="00356BF9"/>
    <w:rsid w:val="0036282E"/>
    <w:rsid w:val="0036555B"/>
    <w:rsid w:val="0036573E"/>
    <w:rsid w:val="00370A7E"/>
    <w:rsid w:val="0037421B"/>
    <w:rsid w:val="00376BFE"/>
    <w:rsid w:val="0037702D"/>
    <w:rsid w:val="00381C10"/>
    <w:rsid w:val="003917FF"/>
    <w:rsid w:val="00396A4E"/>
    <w:rsid w:val="003A252E"/>
    <w:rsid w:val="003A379C"/>
    <w:rsid w:val="003A59E2"/>
    <w:rsid w:val="003A5DFA"/>
    <w:rsid w:val="003A6241"/>
    <w:rsid w:val="003B5965"/>
    <w:rsid w:val="003B6F2E"/>
    <w:rsid w:val="003C1050"/>
    <w:rsid w:val="003C2CC3"/>
    <w:rsid w:val="003C63D6"/>
    <w:rsid w:val="003C77D8"/>
    <w:rsid w:val="003D17B5"/>
    <w:rsid w:val="003D240A"/>
    <w:rsid w:val="003D2B39"/>
    <w:rsid w:val="003D53F0"/>
    <w:rsid w:val="003D62B7"/>
    <w:rsid w:val="003E020A"/>
    <w:rsid w:val="003E2297"/>
    <w:rsid w:val="003E49D8"/>
    <w:rsid w:val="003E665B"/>
    <w:rsid w:val="003E7013"/>
    <w:rsid w:val="003F635B"/>
    <w:rsid w:val="0040070B"/>
    <w:rsid w:val="0040282B"/>
    <w:rsid w:val="004039EA"/>
    <w:rsid w:val="00404A85"/>
    <w:rsid w:val="00405BC8"/>
    <w:rsid w:val="00406F99"/>
    <w:rsid w:val="004132EE"/>
    <w:rsid w:val="00415FA1"/>
    <w:rsid w:val="00416E0D"/>
    <w:rsid w:val="00417061"/>
    <w:rsid w:val="00420A61"/>
    <w:rsid w:val="004217CD"/>
    <w:rsid w:val="00423458"/>
    <w:rsid w:val="004255CE"/>
    <w:rsid w:val="00426E79"/>
    <w:rsid w:val="0042744B"/>
    <w:rsid w:val="004302DA"/>
    <w:rsid w:val="004322D1"/>
    <w:rsid w:val="00432AAB"/>
    <w:rsid w:val="00433073"/>
    <w:rsid w:val="00435D1D"/>
    <w:rsid w:val="00437354"/>
    <w:rsid w:val="00443097"/>
    <w:rsid w:val="00444215"/>
    <w:rsid w:val="00447022"/>
    <w:rsid w:val="00452DDA"/>
    <w:rsid w:val="004531AC"/>
    <w:rsid w:val="004569DF"/>
    <w:rsid w:val="00461D33"/>
    <w:rsid w:val="00463B0F"/>
    <w:rsid w:val="0046540A"/>
    <w:rsid w:val="004709B5"/>
    <w:rsid w:val="004728C3"/>
    <w:rsid w:val="00475EF1"/>
    <w:rsid w:val="00476153"/>
    <w:rsid w:val="00481035"/>
    <w:rsid w:val="004815DE"/>
    <w:rsid w:val="00483DAD"/>
    <w:rsid w:val="00485BA7"/>
    <w:rsid w:val="0048678A"/>
    <w:rsid w:val="00487AED"/>
    <w:rsid w:val="00490E14"/>
    <w:rsid w:val="004941AE"/>
    <w:rsid w:val="0049433D"/>
    <w:rsid w:val="004952A8"/>
    <w:rsid w:val="0049663F"/>
    <w:rsid w:val="00496DDF"/>
    <w:rsid w:val="00497CD2"/>
    <w:rsid w:val="004A18CF"/>
    <w:rsid w:val="004A3485"/>
    <w:rsid w:val="004A4983"/>
    <w:rsid w:val="004A5B87"/>
    <w:rsid w:val="004A64A3"/>
    <w:rsid w:val="004A6BDA"/>
    <w:rsid w:val="004A7B6A"/>
    <w:rsid w:val="004B24A7"/>
    <w:rsid w:val="004B2AAA"/>
    <w:rsid w:val="004B597C"/>
    <w:rsid w:val="004B5BC8"/>
    <w:rsid w:val="004B655F"/>
    <w:rsid w:val="004B6E77"/>
    <w:rsid w:val="004B6F12"/>
    <w:rsid w:val="004B7BF2"/>
    <w:rsid w:val="004C19B9"/>
    <w:rsid w:val="004C371E"/>
    <w:rsid w:val="004C50E1"/>
    <w:rsid w:val="004C67D6"/>
    <w:rsid w:val="004D033D"/>
    <w:rsid w:val="004D4E51"/>
    <w:rsid w:val="004D65CA"/>
    <w:rsid w:val="004D70B7"/>
    <w:rsid w:val="004E0255"/>
    <w:rsid w:val="004E2376"/>
    <w:rsid w:val="004E3A27"/>
    <w:rsid w:val="004E6BE9"/>
    <w:rsid w:val="004F454C"/>
    <w:rsid w:val="004F69FB"/>
    <w:rsid w:val="00500264"/>
    <w:rsid w:val="005002FA"/>
    <w:rsid w:val="005004B5"/>
    <w:rsid w:val="0050197F"/>
    <w:rsid w:val="00501B9E"/>
    <w:rsid w:val="00505745"/>
    <w:rsid w:val="00505ADC"/>
    <w:rsid w:val="00510842"/>
    <w:rsid w:val="00511FA5"/>
    <w:rsid w:val="00515A0F"/>
    <w:rsid w:val="00515B74"/>
    <w:rsid w:val="00522172"/>
    <w:rsid w:val="0052364A"/>
    <w:rsid w:val="00523F88"/>
    <w:rsid w:val="00524A85"/>
    <w:rsid w:val="00527909"/>
    <w:rsid w:val="00530190"/>
    <w:rsid w:val="0053151C"/>
    <w:rsid w:val="0053250B"/>
    <w:rsid w:val="00533555"/>
    <w:rsid w:val="00534228"/>
    <w:rsid w:val="00535144"/>
    <w:rsid w:val="005358CD"/>
    <w:rsid w:val="0054472C"/>
    <w:rsid w:val="0054698C"/>
    <w:rsid w:val="00547D28"/>
    <w:rsid w:val="00552114"/>
    <w:rsid w:val="005536AC"/>
    <w:rsid w:val="005546C3"/>
    <w:rsid w:val="00555137"/>
    <w:rsid w:val="00555B61"/>
    <w:rsid w:val="005603D7"/>
    <w:rsid w:val="00564DFD"/>
    <w:rsid w:val="00567075"/>
    <w:rsid w:val="00567107"/>
    <w:rsid w:val="0056770B"/>
    <w:rsid w:val="00567CCA"/>
    <w:rsid w:val="005707C4"/>
    <w:rsid w:val="00572867"/>
    <w:rsid w:val="005730A1"/>
    <w:rsid w:val="00573245"/>
    <w:rsid w:val="00574C3D"/>
    <w:rsid w:val="00577526"/>
    <w:rsid w:val="0058061E"/>
    <w:rsid w:val="005810BB"/>
    <w:rsid w:val="005815FA"/>
    <w:rsid w:val="0058242B"/>
    <w:rsid w:val="005865D3"/>
    <w:rsid w:val="00586AF5"/>
    <w:rsid w:val="00587442"/>
    <w:rsid w:val="00590207"/>
    <w:rsid w:val="005973AF"/>
    <w:rsid w:val="00597CA8"/>
    <w:rsid w:val="005A16B3"/>
    <w:rsid w:val="005A44BF"/>
    <w:rsid w:val="005A5D6A"/>
    <w:rsid w:val="005B0D1C"/>
    <w:rsid w:val="005B212F"/>
    <w:rsid w:val="005B48B3"/>
    <w:rsid w:val="005C3936"/>
    <w:rsid w:val="005C78F5"/>
    <w:rsid w:val="005D0B39"/>
    <w:rsid w:val="005D10E2"/>
    <w:rsid w:val="005D2B32"/>
    <w:rsid w:val="005E1985"/>
    <w:rsid w:val="005E37BE"/>
    <w:rsid w:val="005E4267"/>
    <w:rsid w:val="005E5F70"/>
    <w:rsid w:val="005E6439"/>
    <w:rsid w:val="005E7083"/>
    <w:rsid w:val="005F1866"/>
    <w:rsid w:val="005F3967"/>
    <w:rsid w:val="005F5BAF"/>
    <w:rsid w:val="00603470"/>
    <w:rsid w:val="0060529E"/>
    <w:rsid w:val="00606605"/>
    <w:rsid w:val="0060778E"/>
    <w:rsid w:val="00611AFA"/>
    <w:rsid w:val="0061393A"/>
    <w:rsid w:val="00620DAF"/>
    <w:rsid w:val="006215AA"/>
    <w:rsid w:val="00621AD0"/>
    <w:rsid w:val="006221AB"/>
    <w:rsid w:val="00622211"/>
    <w:rsid w:val="006265E4"/>
    <w:rsid w:val="00630421"/>
    <w:rsid w:val="00630AEC"/>
    <w:rsid w:val="00633BC7"/>
    <w:rsid w:val="00634727"/>
    <w:rsid w:val="00635CFD"/>
    <w:rsid w:val="0063699C"/>
    <w:rsid w:val="0064092E"/>
    <w:rsid w:val="006409DF"/>
    <w:rsid w:val="00643CA3"/>
    <w:rsid w:val="006466C0"/>
    <w:rsid w:val="0064688C"/>
    <w:rsid w:val="0065360F"/>
    <w:rsid w:val="00655EB6"/>
    <w:rsid w:val="00656442"/>
    <w:rsid w:val="00657D56"/>
    <w:rsid w:val="00660647"/>
    <w:rsid w:val="00660C3B"/>
    <w:rsid w:val="00670518"/>
    <w:rsid w:val="006705BB"/>
    <w:rsid w:val="00670D3C"/>
    <w:rsid w:val="00670D5C"/>
    <w:rsid w:val="00671D02"/>
    <w:rsid w:val="00672328"/>
    <w:rsid w:val="0067382C"/>
    <w:rsid w:val="006773F2"/>
    <w:rsid w:val="006776B8"/>
    <w:rsid w:val="00677CC0"/>
    <w:rsid w:val="0069711F"/>
    <w:rsid w:val="006975DF"/>
    <w:rsid w:val="006A0261"/>
    <w:rsid w:val="006A03F6"/>
    <w:rsid w:val="006A0EDD"/>
    <w:rsid w:val="006A1679"/>
    <w:rsid w:val="006A1994"/>
    <w:rsid w:val="006A2584"/>
    <w:rsid w:val="006B2AE8"/>
    <w:rsid w:val="006B3B66"/>
    <w:rsid w:val="006B51EB"/>
    <w:rsid w:val="006B6F24"/>
    <w:rsid w:val="006C002A"/>
    <w:rsid w:val="006C2929"/>
    <w:rsid w:val="006C3C29"/>
    <w:rsid w:val="006C5318"/>
    <w:rsid w:val="006C764E"/>
    <w:rsid w:val="006C7E24"/>
    <w:rsid w:val="006D00A5"/>
    <w:rsid w:val="006D08E2"/>
    <w:rsid w:val="006D19AE"/>
    <w:rsid w:val="006D2210"/>
    <w:rsid w:val="006D29B0"/>
    <w:rsid w:val="006D3597"/>
    <w:rsid w:val="006D4CE7"/>
    <w:rsid w:val="006D56C6"/>
    <w:rsid w:val="006D7C45"/>
    <w:rsid w:val="006E0434"/>
    <w:rsid w:val="006E3D1C"/>
    <w:rsid w:val="006E4A38"/>
    <w:rsid w:val="006F040E"/>
    <w:rsid w:val="006F222F"/>
    <w:rsid w:val="006F37F2"/>
    <w:rsid w:val="006F70AD"/>
    <w:rsid w:val="00701E02"/>
    <w:rsid w:val="007043CB"/>
    <w:rsid w:val="00705A0D"/>
    <w:rsid w:val="00706D31"/>
    <w:rsid w:val="0071053C"/>
    <w:rsid w:val="00721574"/>
    <w:rsid w:val="007227E5"/>
    <w:rsid w:val="007235C0"/>
    <w:rsid w:val="007241A8"/>
    <w:rsid w:val="00724313"/>
    <w:rsid w:val="00726412"/>
    <w:rsid w:val="00727AE8"/>
    <w:rsid w:val="00727CCA"/>
    <w:rsid w:val="0073102A"/>
    <w:rsid w:val="0073180D"/>
    <w:rsid w:val="00734539"/>
    <w:rsid w:val="00734F76"/>
    <w:rsid w:val="0073618A"/>
    <w:rsid w:val="00743667"/>
    <w:rsid w:val="007440CC"/>
    <w:rsid w:val="00745897"/>
    <w:rsid w:val="007466C0"/>
    <w:rsid w:val="0074705A"/>
    <w:rsid w:val="00747C5D"/>
    <w:rsid w:val="0075478A"/>
    <w:rsid w:val="0076046F"/>
    <w:rsid w:val="0076329A"/>
    <w:rsid w:val="007737F5"/>
    <w:rsid w:val="00774280"/>
    <w:rsid w:val="00774CB9"/>
    <w:rsid w:val="0077777E"/>
    <w:rsid w:val="00784144"/>
    <w:rsid w:val="00784F26"/>
    <w:rsid w:val="007878E8"/>
    <w:rsid w:val="007918F7"/>
    <w:rsid w:val="007A2D0A"/>
    <w:rsid w:val="007A5017"/>
    <w:rsid w:val="007A6828"/>
    <w:rsid w:val="007A7BD5"/>
    <w:rsid w:val="007B29B4"/>
    <w:rsid w:val="007B3D7B"/>
    <w:rsid w:val="007B430B"/>
    <w:rsid w:val="007B47E7"/>
    <w:rsid w:val="007C3CEF"/>
    <w:rsid w:val="007C3D21"/>
    <w:rsid w:val="007C5F71"/>
    <w:rsid w:val="007D0D17"/>
    <w:rsid w:val="007D39CC"/>
    <w:rsid w:val="007D56CF"/>
    <w:rsid w:val="007E318C"/>
    <w:rsid w:val="007E6BB1"/>
    <w:rsid w:val="007E7A40"/>
    <w:rsid w:val="007F1D1C"/>
    <w:rsid w:val="007F32EC"/>
    <w:rsid w:val="007F339A"/>
    <w:rsid w:val="007F35D6"/>
    <w:rsid w:val="007F3DAA"/>
    <w:rsid w:val="007F429E"/>
    <w:rsid w:val="007F4AE4"/>
    <w:rsid w:val="007F4B5B"/>
    <w:rsid w:val="007F5E9E"/>
    <w:rsid w:val="00810F8F"/>
    <w:rsid w:val="0081123E"/>
    <w:rsid w:val="0081188B"/>
    <w:rsid w:val="0081302A"/>
    <w:rsid w:val="008131D6"/>
    <w:rsid w:val="008144F1"/>
    <w:rsid w:val="008172D0"/>
    <w:rsid w:val="00817BB7"/>
    <w:rsid w:val="00820AB2"/>
    <w:rsid w:val="00820C76"/>
    <w:rsid w:val="00830712"/>
    <w:rsid w:val="00831AD1"/>
    <w:rsid w:val="008322E1"/>
    <w:rsid w:val="0084224B"/>
    <w:rsid w:val="00846A42"/>
    <w:rsid w:val="00847EEE"/>
    <w:rsid w:val="00851970"/>
    <w:rsid w:val="00851AD6"/>
    <w:rsid w:val="00852460"/>
    <w:rsid w:val="00852D5A"/>
    <w:rsid w:val="00853614"/>
    <w:rsid w:val="00854DE9"/>
    <w:rsid w:val="00855961"/>
    <w:rsid w:val="00856FCF"/>
    <w:rsid w:val="00857E9A"/>
    <w:rsid w:val="00860186"/>
    <w:rsid w:val="00860222"/>
    <w:rsid w:val="00862522"/>
    <w:rsid w:val="00863AAC"/>
    <w:rsid w:val="00863EE0"/>
    <w:rsid w:val="00866405"/>
    <w:rsid w:val="0087026C"/>
    <w:rsid w:val="00870FE3"/>
    <w:rsid w:val="00871390"/>
    <w:rsid w:val="008745DF"/>
    <w:rsid w:val="00875B38"/>
    <w:rsid w:val="008808EB"/>
    <w:rsid w:val="008809A8"/>
    <w:rsid w:val="00880A29"/>
    <w:rsid w:val="00882DCC"/>
    <w:rsid w:val="00884D16"/>
    <w:rsid w:val="00887A0C"/>
    <w:rsid w:val="00891F94"/>
    <w:rsid w:val="00896333"/>
    <w:rsid w:val="008A1728"/>
    <w:rsid w:val="008A4D29"/>
    <w:rsid w:val="008A5153"/>
    <w:rsid w:val="008A5EA9"/>
    <w:rsid w:val="008B36D2"/>
    <w:rsid w:val="008B4AD4"/>
    <w:rsid w:val="008B4CED"/>
    <w:rsid w:val="008B5B60"/>
    <w:rsid w:val="008B5CEA"/>
    <w:rsid w:val="008B672E"/>
    <w:rsid w:val="008C0CFC"/>
    <w:rsid w:val="008C1EC4"/>
    <w:rsid w:val="008C55FE"/>
    <w:rsid w:val="008C5B88"/>
    <w:rsid w:val="008C5DBA"/>
    <w:rsid w:val="008C7D17"/>
    <w:rsid w:val="008D2038"/>
    <w:rsid w:val="008D2408"/>
    <w:rsid w:val="008D3012"/>
    <w:rsid w:val="008D3EE8"/>
    <w:rsid w:val="008D411F"/>
    <w:rsid w:val="008D6AA3"/>
    <w:rsid w:val="008E08C3"/>
    <w:rsid w:val="008E14C6"/>
    <w:rsid w:val="008E2442"/>
    <w:rsid w:val="008E5E10"/>
    <w:rsid w:val="008E7EF3"/>
    <w:rsid w:val="008F0ABF"/>
    <w:rsid w:val="008F1EE5"/>
    <w:rsid w:val="008F3A63"/>
    <w:rsid w:val="00900398"/>
    <w:rsid w:val="00903B9E"/>
    <w:rsid w:val="00912374"/>
    <w:rsid w:val="00913389"/>
    <w:rsid w:val="00914D8B"/>
    <w:rsid w:val="009157FB"/>
    <w:rsid w:val="00915908"/>
    <w:rsid w:val="00917E5F"/>
    <w:rsid w:val="00921E89"/>
    <w:rsid w:val="00922A7F"/>
    <w:rsid w:val="00924783"/>
    <w:rsid w:val="0092567C"/>
    <w:rsid w:val="00926614"/>
    <w:rsid w:val="00927323"/>
    <w:rsid w:val="00927D68"/>
    <w:rsid w:val="0093186E"/>
    <w:rsid w:val="00933206"/>
    <w:rsid w:val="009344F2"/>
    <w:rsid w:val="00935808"/>
    <w:rsid w:val="00946495"/>
    <w:rsid w:val="00947EC4"/>
    <w:rsid w:val="00950763"/>
    <w:rsid w:val="00951CD6"/>
    <w:rsid w:val="00952995"/>
    <w:rsid w:val="00952AC5"/>
    <w:rsid w:val="00953241"/>
    <w:rsid w:val="00953CDF"/>
    <w:rsid w:val="00954FE9"/>
    <w:rsid w:val="009552DC"/>
    <w:rsid w:val="00956760"/>
    <w:rsid w:val="00961F8C"/>
    <w:rsid w:val="00962928"/>
    <w:rsid w:val="00962CCE"/>
    <w:rsid w:val="009640A3"/>
    <w:rsid w:val="009651BC"/>
    <w:rsid w:val="009675E9"/>
    <w:rsid w:val="00971F94"/>
    <w:rsid w:val="00972361"/>
    <w:rsid w:val="0097444B"/>
    <w:rsid w:val="00975BCA"/>
    <w:rsid w:val="00985035"/>
    <w:rsid w:val="00990C3E"/>
    <w:rsid w:val="00994C7C"/>
    <w:rsid w:val="009A09C1"/>
    <w:rsid w:val="009A0E24"/>
    <w:rsid w:val="009A16A4"/>
    <w:rsid w:val="009A3031"/>
    <w:rsid w:val="009A4A18"/>
    <w:rsid w:val="009A4C3C"/>
    <w:rsid w:val="009B208A"/>
    <w:rsid w:val="009C0F0E"/>
    <w:rsid w:val="009C2480"/>
    <w:rsid w:val="009C4275"/>
    <w:rsid w:val="009C5C68"/>
    <w:rsid w:val="009C6EF7"/>
    <w:rsid w:val="009D569B"/>
    <w:rsid w:val="009D56C5"/>
    <w:rsid w:val="009E5F27"/>
    <w:rsid w:val="009E7470"/>
    <w:rsid w:val="009F1DF9"/>
    <w:rsid w:val="009F4489"/>
    <w:rsid w:val="009F4F8A"/>
    <w:rsid w:val="009F55EB"/>
    <w:rsid w:val="00A0060D"/>
    <w:rsid w:val="00A025E8"/>
    <w:rsid w:val="00A03A98"/>
    <w:rsid w:val="00A03FF3"/>
    <w:rsid w:val="00A0579E"/>
    <w:rsid w:val="00A116B2"/>
    <w:rsid w:val="00A12B32"/>
    <w:rsid w:val="00A135F0"/>
    <w:rsid w:val="00A152E3"/>
    <w:rsid w:val="00A15CE3"/>
    <w:rsid w:val="00A1624A"/>
    <w:rsid w:val="00A17F4F"/>
    <w:rsid w:val="00A218A8"/>
    <w:rsid w:val="00A25006"/>
    <w:rsid w:val="00A25364"/>
    <w:rsid w:val="00A260B5"/>
    <w:rsid w:val="00A31087"/>
    <w:rsid w:val="00A33AC1"/>
    <w:rsid w:val="00A34DA9"/>
    <w:rsid w:val="00A34E37"/>
    <w:rsid w:val="00A378DB"/>
    <w:rsid w:val="00A447B4"/>
    <w:rsid w:val="00A46E4D"/>
    <w:rsid w:val="00A47597"/>
    <w:rsid w:val="00A52933"/>
    <w:rsid w:val="00A535A9"/>
    <w:rsid w:val="00A55C0B"/>
    <w:rsid w:val="00A55EEE"/>
    <w:rsid w:val="00A567F1"/>
    <w:rsid w:val="00A570AF"/>
    <w:rsid w:val="00A621A7"/>
    <w:rsid w:val="00A6241F"/>
    <w:rsid w:val="00A67466"/>
    <w:rsid w:val="00A703A0"/>
    <w:rsid w:val="00A709A6"/>
    <w:rsid w:val="00A72F99"/>
    <w:rsid w:val="00A75DDD"/>
    <w:rsid w:val="00A80680"/>
    <w:rsid w:val="00A814C1"/>
    <w:rsid w:val="00A83D42"/>
    <w:rsid w:val="00A8418F"/>
    <w:rsid w:val="00A845EF"/>
    <w:rsid w:val="00A8467A"/>
    <w:rsid w:val="00A85156"/>
    <w:rsid w:val="00A87942"/>
    <w:rsid w:val="00A912BB"/>
    <w:rsid w:val="00A918DB"/>
    <w:rsid w:val="00A92FF8"/>
    <w:rsid w:val="00A945CE"/>
    <w:rsid w:val="00A971EF"/>
    <w:rsid w:val="00A97DF6"/>
    <w:rsid w:val="00AA0CCE"/>
    <w:rsid w:val="00AA14C8"/>
    <w:rsid w:val="00AA35FA"/>
    <w:rsid w:val="00AA474B"/>
    <w:rsid w:val="00AB0B0B"/>
    <w:rsid w:val="00AB0E92"/>
    <w:rsid w:val="00AB18B9"/>
    <w:rsid w:val="00AB31AD"/>
    <w:rsid w:val="00AB3708"/>
    <w:rsid w:val="00AB3DE0"/>
    <w:rsid w:val="00AB72AC"/>
    <w:rsid w:val="00AC04ED"/>
    <w:rsid w:val="00AC1949"/>
    <w:rsid w:val="00AC49A8"/>
    <w:rsid w:val="00AC5C1C"/>
    <w:rsid w:val="00AC79FB"/>
    <w:rsid w:val="00AD1C7B"/>
    <w:rsid w:val="00AD28BA"/>
    <w:rsid w:val="00AD441A"/>
    <w:rsid w:val="00AD688D"/>
    <w:rsid w:val="00AE006A"/>
    <w:rsid w:val="00AE20D4"/>
    <w:rsid w:val="00AE3C53"/>
    <w:rsid w:val="00AF0323"/>
    <w:rsid w:val="00AF17D4"/>
    <w:rsid w:val="00AF1B88"/>
    <w:rsid w:val="00AF2802"/>
    <w:rsid w:val="00B00099"/>
    <w:rsid w:val="00B04125"/>
    <w:rsid w:val="00B102B9"/>
    <w:rsid w:val="00B11760"/>
    <w:rsid w:val="00B12066"/>
    <w:rsid w:val="00B12CD7"/>
    <w:rsid w:val="00B17E52"/>
    <w:rsid w:val="00B206BC"/>
    <w:rsid w:val="00B207B1"/>
    <w:rsid w:val="00B21BCF"/>
    <w:rsid w:val="00B2231D"/>
    <w:rsid w:val="00B223E0"/>
    <w:rsid w:val="00B24DCD"/>
    <w:rsid w:val="00B301AD"/>
    <w:rsid w:val="00B3077E"/>
    <w:rsid w:val="00B328FC"/>
    <w:rsid w:val="00B33F7E"/>
    <w:rsid w:val="00B367EB"/>
    <w:rsid w:val="00B36AFC"/>
    <w:rsid w:val="00B36C43"/>
    <w:rsid w:val="00B37B7E"/>
    <w:rsid w:val="00B406E9"/>
    <w:rsid w:val="00B43C8F"/>
    <w:rsid w:val="00B44806"/>
    <w:rsid w:val="00B52AA7"/>
    <w:rsid w:val="00B53758"/>
    <w:rsid w:val="00B560A7"/>
    <w:rsid w:val="00B6229E"/>
    <w:rsid w:val="00B70370"/>
    <w:rsid w:val="00B74797"/>
    <w:rsid w:val="00B774EB"/>
    <w:rsid w:val="00B77C01"/>
    <w:rsid w:val="00B814CA"/>
    <w:rsid w:val="00B823D0"/>
    <w:rsid w:val="00B83159"/>
    <w:rsid w:val="00B8346D"/>
    <w:rsid w:val="00B835AF"/>
    <w:rsid w:val="00B83C16"/>
    <w:rsid w:val="00B84C1E"/>
    <w:rsid w:val="00B85B35"/>
    <w:rsid w:val="00B85F6F"/>
    <w:rsid w:val="00B90A7A"/>
    <w:rsid w:val="00B90BBC"/>
    <w:rsid w:val="00B912D6"/>
    <w:rsid w:val="00B91FC0"/>
    <w:rsid w:val="00B93209"/>
    <w:rsid w:val="00B941DE"/>
    <w:rsid w:val="00B943A1"/>
    <w:rsid w:val="00B9484D"/>
    <w:rsid w:val="00BA133E"/>
    <w:rsid w:val="00BA3CF3"/>
    <w:rsid w:val="00BA6AA6"/>
    <w:rsid w:val="00BA7D77"/>
    <w:rsid w:val="00BB0F7C"/>
    <w:rsid w:val="00BB10BC"/>
    <w:rsid w:val="00BB1AC7"/>
    <w:rsid w:val="00BB36A2"/>
    <w:rsid w:val="00BC4BA5"/>
    <w:rsid w:val="00BC7901"/>
    <w:rsid w:val="00BD066B"/>
    <w:rsid w:val="00BD284C"/>
    <w:rsid w:val="00BD7D3A"/>
    <w:rsid w:val="00BE20DE"/>
    <w:rsid w:val="00BE23C3"/>
    <w:rsid w:val="00BE2CF0"/>
    <w:rsid w:val="00BE520D"/>
    <w:rsid w:val="00BE56CA"/>
    <w:rsid w:val="00BF22C5"/>
    <w:rsid w:val="00BF5A20"/>
    <w:rsid w:val="00BF69E1"/>
    <w:rsid w:val="00BF6DF8"/>
    <w:rsid w:val="00BF7AA7"/>
    <w:rsid w:val="00C00328"/>
    <w:rsid w:val="00C02BD6"/>
    <w:rsid w:val="00C03A66"/>
    <w:rsid w:val="00C10D7E"/>
    <w:rsid w:val="00C114B0"/>
    <w:rsid w:val="00C15E82"/>
    <w:rsid w:val="00C2035C"/>
    <w:rsid w:val="00C2154D"/>
    <w:rsid w:val="00C2197A"/>
    <w:rsid w:val="00C23D6E"/>
    <w:rsid w:val="00C26B58"/>
    <w:rsid w:val="00C303E0"/>
    <w:rsid w:val="00C323EE"/>
    <w:rsid w:val="00C36C98"/>
    <w:rsid w:val="00C401F0"/>
    <w:rsid w:val="00C42E4C"/>
    <w:rsid w:val="00C43884"/>
    <w:rsid w:val="00C43AD8"/>
    <w:rsid w:val="00C44FF4"/>
    <w:rsid w:val="00C45194"/>
    <w:rsid w:val="00C45871"/>
    <w:rsid w:val="00C468FA"/>
    <w:rsid w:val="00C529E4"/>
    <w:rsid w:val="00C5479F"/>
    <w:rsid w:val="00C5498D"/>
    <w:rsid w:val="00C57AB4"/>
    <w:rsid w:val="00C57E6C"/>
    <w:rsid w:val="00C664A2"/>
    <w:rsid w:val="00C7210A"/>
    <w:rsid w:val="00C75165"/>
    <w:rsid w:val="00C77517"/>
    <w:rsid w:val="00C83CCF"/>
    <w:rsid w:val="00C85E97"/>
    <w:rsid w:val="00C8614B"/>
    <w:rsid w:val="00C91BFD"/>
    <w:rsid w:val="00C92EE2"/>
    <w:rsid w:val="00CA3247"/>
    <w:rsid w:val="00CA37FA"/>
    <w:rsid w:val="00CA5755"/>
    <w:rsid w:val="00CA6BE7"/>
    <w:rsid w:val="00CB27AB"/>
    <w:rsid w:val="00CB4314"/>
    <w:rsid w:val="00CC1FD3"/>
    <w:rsid w:val="00CC42A8"/>
    <w:rsid w:val="00CC4B7F"/>
    <w:rsid w:val="00CC7AC6"/>
    <w:rsid w:val="00CD387D"/>
    <w:rsid w:val="00CD453A"/>
    <w:rsid w:val="00CD49D0"/>
    <w:rsid w:val="00CD5063"/>
    <w:rsid w:val="00CD6B6F"/>
    <w:rsid w:val="00CD73D1"/>
    <w:rsid w:val="00CE01F1"/>
    <w:rsid w:val="00CE09A1"/>
    <w:rsid w:val="00CE24F8"/>
    <w:rsid w:val="00CE5839"/>
    <w:rsid w:val="00CE7749"/>
    <w:rsid w:val="00CF077F"/>
    <w:rsid w:val="00CF1C04"/>
    <w:rsid w:val="00CF1CEF"/>
    <w:rsid w:val="00CF2871"/>
    <w:rsid w:val="00CF3A30"/>
    <w:rsid w:val="00CF5249"/>
    <w:rsid w:val="00CF567A"/>
    <w:rsid w:val="00CF6FAE"/>
    <w:rsid w:val="00D0093D"/>
    <w:rsid w:val="00D02611"/>
    <w:rsid w:val="00D057CE"/>
    <w:rsid w:val="00D11E61"/>
    <w:rsid w:val="00D12F21"/>
    <w:rsid w:val="00D1787A"/>
    <w:rsid w:val="00D17FD0"/>
    <w:rsid w:val="00D236BF"/>
    <w:rsid w:val="00D23F1A"/>
    <w:rsid w:val="00D2416D"/>
    <w:rsid w:val="00D2432B"/>
    <w:rsid w:val="00D25DC3"/>
    <w:rsid w:val="00D31C78"/>
    <w:rsid w:val="00D3509E"/>
    <w:rsid w:val="00D360DE"/>
    <w:rsid w:val="00D379FD"/>
    <w:rsid w:val="00D37B61"/>
    <w:rsid w:val="00D41FF8"/>
    <w:rsid w:val="00D42FA2"/>
    <w:rsid w:val="00D4411B"/>
    <w:rsid w:val="00D45714"/>
    <w:rsid w:val="00D46CC1"/>
    <w:rsid w:val="00D47175"/>
    <w:rsid w:val="00D475D8"/>
    <w:rsid w:val="00D479CF"/>
    <w:rsid w:val="00D51E96"/>
    <w:rsid w:val="00D526AA"/>
    <w:rsid w:val="00D54559"/>
    <w:rsid w:val="00D56F88"/>
    <w:rsid w:val="00D60E96"/>
    <w:rsid w:val="00D62602"/>
    <w:rsid w:val="00D63970"/>
    <w:rsid w:val="00D655BD"/>
    <w:rsid w:val="00D701B9"/>
    <w:rsid w:val="00D72178"/>
    <w:rsid w:val="00D7230B"/>
    <w:rsid w:val="00D77078"/>
    <w:rsid w:val="00D82E81"/>
    <w:rsid w:val="00D85CCA"/>
    <w:rsid w:val="00D86640"/>
    <w:rsid w:val="00D944CE"/>
    <w:rsid w:val="00D95AE7"/>
    <w:rsid w:val="00D95ED6"/>
    <w:rsid w:val="00DA25D9"/>
    <w:rsid w:val="00DA3A74"/>
    <w:rsid w:val="00DB00C8"/>
    <w:rsid w:val="00DB024B"/>
    <w:rsid w:val="00DB7F2F"/>
    <w:rsid w:val="00DC1D77"/>
    <w:rsid w:val="00DC37D8"/>
    <w:rsid w:val="00DC4A7F"/>
    <w:rsid w:val="00DC57BA"/>
    <w:rsid w:val="00DD328B"/>
    <w:rsid w:val="00DD5091"/>
    <w:rsid w:val="00DD52C9"/>
    <w:rsid w:val="00DD5BEF"/>
    <w:rsid w:val="00DD663C"/>
    <w:rsid w:val="00DD6E21"/>
    <w:rsid w:val="00DE12AA"/>
    <w:rsid w:val="00DE2216"/>
    <w:rsid w:val="00DE46D4"/>
    <w:rsid w:val="00DF03A7"/>
    <w:rsid w:val="00DF04EB"/>
    <w:rsid w:val="00DF2DDB"/>
    <w:rsid w:val="00DF3A09"/>
    <w:rsid w:val="00DF7F6E"/>
    <w:rsid w:val="00E01454"/>
    <w:rsid w:val="00E01E20"/>
    <w:rsid w:val="00E0379A"/>
    <w:rsid w:val="00E0526B"/>
    <w:rsid w:val="00E05F59"/>
    <w:rsid w:val="00E113F4"/>
    <w:rsid w:val="00E214E9"/>
    <w:rsid w:val="00E23F08"/>
    <w:rsid w:val="00E255F9"/>
    <w:rsid w:val="00E34678"/>
    <w:rsid w:val="00E36A1A"/>
    <w:rsid w:val="00E375D7"/>
    <w:rsid w:val="00E3766D"/>
    <w:rsid w:val="00E4014B"/>
    <w:rsid w:val="00E403AE"/>
    <w:rsid w:val="00E4198D"/>
    <w:rsid w:val="00E434DC"/>
    <w:rsid w:val="00E46B2A"/>
    <w:rsid w:val="00E471F4"/>
    <w:rsid w:val="00E47429"/>
    <w:rsid w:val="00E47E0A"/>
    <w:rsid w:val="00E52FA1"/>
    <w:rsid w:val="00E535A9"/>
    <w:rsid w:val="00E53713"/>
    <w:rsid w:val="00E546D2"/>
    <w:rsid w:val="00E62596"/>
    <w:rsid w:val="00E6342A"/>
    <w:rsid w:val="00E67255"/>
    <w:rsid w:val="00E678DE"/>
    <w:rsid w:val="00E7229A"/>
    <w:rsid w:val="00E726F5"/>
    <w:rsid w:val="00E7282C"/>
    <w:rsid w:val="00E735D7"/>
    <w:rsid w:val="00E74AD2"/>
    <w:rsid w:val="00E750AC"/>
    <w:rsid w:val="00E75C27"/>
    <w:rsid w:val="00E76BA0"/>
    <w:rsid w:val="00E77F69"/>
    <w:rsid w:val="00E80A0B"/>
    <w:rsid w:val="00E81FE1"/>
    <w:rsid w:val="00E8257C"/>
    <w:rsid w:val="00E83F91"/>
    <w:rsid w:val="00E846DE"/>
    <w:rsid w:val="00E84D0C"/>
    <w:rsid w:val="00E8550E"/>
    <w:rsid w:val="00E85C88"/>
    <w:rsid w:val="00E85E38"/>
    <w:rsid w:val="00E86EF8"/>
    <w:rsid w:val="00E87FD8"/>
    <w:rsid w:val="00E90AD9"/>
    <w:rsid w:val="00E916CE"/>
    <w:rsid w:val="00E91763"/>
    <w:rsid w:val="00E9268C"/>
    <w:rsid w:val="00E95047"/>
    <w:rsid w:val="00E96502"/>
    <w:rsid w:val="00EA1B6E"/>
    <w:rsid w:val="00EA1C2D"/>
    <w:rsid w:val="00EA6077"/>
    <w:rsid w:val="00EB0307"/>
    <w:rsid w:val="00EB4DF9"/>
    <w:rsid w:val="00EB6822"/>
    <w:rsid w:val="00EC104C"/>
    <w:rsid w:val="00EC1CCD"/>
    <w:rsid w:val="00EC2D54"/>
    <w:rsid w:val="00EC2EA3"/>
    <w:rsid w:val="00EC3861"/>
    <w:rsid w:val="00EC60A3"/>
    <w:rsid w:val="00ED0E6F"/>
    <w:rsid w:val="00ED140B"/>
    <w:rsid w:val="00ED28F1"/>
    <w:rsid w:val="00ED3FFB"/>
    <w:rsid w:val="00ED5A6B"/>
    <w:rsid w:val="00ED5F6B"/>
    <w:rsid w:val="00ED694E"/>
    <w:rsid w:val="00EE0EDB"/>
    <w:rsid w:val="00EE1255"/>
    <w:rsid w:val="00EF19D1"/>
    <w:rsid w:val="00EF7B0B"/>
    <w:rsid w:val="00F00C06"/>
    <w:rsid w:val="00F039F1"/>
    <w:rsid w:val="00F04C29"/>
    <w:rsid w:val="00F074AE"/>
    <w:rsid w:val="00F130A6"/>
    <w:rsid w:val="00F13AC8"/>
    <w:rsid w:val="00F1588F"/>
    <w:rsid w:val="00F163CC"/>
    <w:rsid w:val="00F20217"/>
    <w:rsid w:val="00F21639"/>
    <w:rsid w:val="00F225DD"/>
    <w:rsid w:val="00F22605"/>
    <w:rsid w:val="00F2477B"/>
    <w:rsid w:val="00F248A8"/>
    <w:rsid w:val="00F26708"/>
    <w:rsid w:val="00F3068F"/>
    <w:rsid w:val="00F32F75"/>
    <w:rsid w:val="00F4478D"/>
    <w:rsid w:val="00F4484C"/>
    <w:rsid w:val="00F469FB"/>
    <w:rsid w:val="00F46A49"/>
    <w:rsid w:val="00F500E1"/>
    <w:rsid w:val="00F51ABE"/>
    <w:rsid w:val="00F51C63"/>
    <w:rsid w:val="00F53C0E"/>
    <w:rsid w:val="00F53C3C"/>
    <w:rsid w:val="00F544AC"/>
    <w:rsid w:val="00F560B2"/>
    <w:rsid w:val="00F57951"/>
    <w:rsid w:val="00F61AB3"/>
    <w:rsid w:val="00F6262E"/>
    <w:rsid w:val="00F6398A"/>
    <w:rsid w:val="00F63D3F"/>
    <w:rsid w:val="00F64838"/>
    <w:rsid w:val="00F64A82"/>
    <w:rsid w:val="00F653AA"/>
    <w:rsid w:val="00F67573"/>
    <w:rsid w:val="00F76083"/>
    <w:rsid w:val="00F76862"/>
    <w:rsid w:val="00F7799B"/>
    <w:rsid w:val="00F8112A"/>
    <w:rsid w:val="00F811EB"/>
    <w:rsid w:val="00F8594F"/>
    <w:rsid w:val="00F86982"/>
    <w:rsid w:val="00F91225"/>
    <w:rsid w:val="00F92916"/>
    <w:rsid w:val="00F93388"/>
    <w:rsid w:val="00FA086D"/>
    <w:rsid w:val="00FA45DB"/>
    <w:rsid w:val="00FA4E8C"/>
    <w:rsid w:val="00FA7ED3"/>
    <w:rsid w:val="00FB1762"/>
    <w:rsid w:val="00FB1F8E"/>
    <w:rsid w:val="00FB3C57"/>
    <w:rsid w:val="00FB5C81"/>
    <w:rsid w:val="00FB5EB1"/>
    <w:rsid w:val="00FB713F"/>
    <w:rsid w:val="00FC06A1"/>
    <w:rsid w:val="00FC4A4E"/>
    <w:rsid w:val="00FC5A60"/>
    <w:rsid w:val="00FD20DC"/>
    <w:rsid w:val="00FD2427"/>
    <w:rsid w:val="00FD5EB7"/>
    <w:rsid w:val="00FD6C1F"/>
    <w:rsid w:val="00FE0CCB"/>
    <w:rsid w:val="00FE4C85"/>
    <w:rsid w:val="00FE7372"/>
    <w:rsid w:val="00FF13D8"/>
    <w:rsid w:val="00FF2B84"/>
    <w:rsid w:val="00FF2C8F"/>
    <w:rsid w:val="00FF4DCA"/>
    <w:rsid w:val="00FF739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EE1B2-A3D8-4141-BD2D-EE4FDF8E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FCF"/>
    <w:rPr>
      <w:rFonts w:ascii="Arial" w:hAnsi="Arial"/>
    </w:rPr>
  </w:style>
  <w:style w:type="paragraph" w:styleId="Heading1">
    <w:name w:val="heading 1"/>
    <w:basedOn w:val="Normal"/>
    <w:next w:val="Normal"/>
    <w:link w:val="Heading1Char"/>
    <w:autoRedefine/>
    <w:uiPriority w:val="9"/>
    <w:qFormat/>
    <w:rsid w:val="007918F7"/>
    <w:pPr>
      <w:keepNext/>
      <w:keepLines/>
      <w:spacing w:before="120" w:after="0"/>
      <w:outlineLvl w:val="0"/>
    </w:pPr>
    <w:rPr>
      <w:rFonts w:eastAsiaTheme="majorEastAsia" w:cstheme="majorBidi"/>
      <w:bCs/>
      <w:color w:val="5F2987"/>
      <w:sz w:val="36"/>
      <w:szCs w:val="28"/>
    </w:rPr>
  </w:style>
  <w:style w:type="paragraph" w:styleId="Heading2">
    <w:name w:val="heading 2"/>
    <w:basedOn w:val="Normal"/>
    <w:next w:val="Normal"/>
    <w:link w:val="Heading2Char"/>
    <w:autoRedefine/>
    <w:uiPriority w:val="9"/>
    <w:unhideWhenUsed/>
    <w:qFormat/>
    <w:rsid w:val="007918F7"/>
    <w:pPr>
      <w:keepNext/>
      <w:spacing w:before="200" w:after="0"/>
      <w:outlineLvl w:val="1"/>
    </w:pPr>
    <w:rPr>
      <w:rFonts w:eastAsiaTheme="majorEastAsia" w:cstheme="majorBidi"/>
      <w:b/>
      <w:bCs/>
      <w:color w:val="5F2987"/>
      <w:sz w:val="24"/>
      <w:szCs w:val="26"/>
    </w:rPr>
  </w:style>
  <w:style w:type="paragraph" w:styleId="Heading3">
    <w:name w:val="heading 3"/>
    <w:basedOn w:val="Normal"/>
    <w:next w:val="Normal"/>
    <w:link w:val="Heading3Char"/>
    <w:autoRedefine/>
    <w:uiPriority w:val="9"/>
    <w:unhideWhenUsed/>
    <w:qFormat/>
    <w:rsid w:val="007918F7"/>
    <w:pPr>
      <w:keepNext/>
      <w:keepLines/>
      <w:spacing w:before="200" w:after="0"/>
      <w:outlineLvl w:val="2"/>
    </w:pPr>
    <w:rPr>
      <w:rFonts w:eastAsiaTheme="majorEastAsia" w:cstheme="majorBidi"/>
      <w:b/>
      <w:bC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ListParagraph"/>
    <w:link w:val="BulletsChar"/>
    <w:rsid w:val="00F00C06"/>
    <w:pPr>
      <w:numPr>
        <w:numId w:val="2"/>
      </w:numPr>
    </w:pPr>
  </w:style>
  <w:style w:type="character" w:customStyle="1" w:styleId="BulletsChar">
    <w:name w:val="Bullets Char"/>
    <w:basedOn w:val="ListParagraphChar"/>
    <w:link w:val="Bullets"/>
    <w:rsid w:val="00F00C06"/>
    <w:rPr>
      <w:rFonts w:ascii="Arial" w:hAnsi="Arial"/>
    </w:rPr>
  </w:style>
  <w:style w:type="paragraph" w:styleId="ListParagraph">
    <w:name w:val="List Paragraph"/>
    <w:basedOn w:val="Normal"/>
    <w:link w:val="ListParagraphChar"/>
    <w:uiPriority w:val="34"/>
    <w:qFormat/>
    <w:rsid w:val="00856FCF"/>
    <w:pPr>
      <w:ind w:left="720"/>
      <w:contextualSpacing/>
    </w:pPr>
  </w:style>
  <w:style w:type="character" w:customStyle="1" w:styleId="Heading1Char">
    <w:name w:val="Heading 1 Char"/>
    <w:basedOn w:val="DefaultParagraphFont"/>
    <w:link w:val="Heading1"/>
    <w:uiPriority w:val="9"/>
    <w:rsid w:val="007918F7"/>
    <w:rPr>
      <w:rFonts w:ascii="Arial" w:eastAsiaTheme="majorEastAsia" w:hAnsi="Arial" w:cstheme="majorBidi"/>
      <w:bCs/>
      <w:color w:val="5F2987"/>
      <w:sz w:val="36"/>
      <w:szCs w:val="28"/>
    </w:rPr>
  </w:style>
  <w:style w:type="character" w:customStyle="1" w:styleId="Heading2Char">
    <w:name w:val="Heading 2 Char"/>
    <w:basedOn w:val="DefaultParagraphFont"/>
    <w:link w:val="Heading2"/>
    <w:uiPriority w:val="9"/>
    <w:rsid w:val="007918F7"/>
    <w:rPr>
      <w:rFonts w:ascii="Arial" w:eastAsiaTheme="majorEastAsia" w:hAnsi="Arial" w:cstheme="majorBidi"/>
      <w:b/>
      <w:bCs/>
      <w:color w:val="5F2987"/>
      <w:sz w:val="24"/>
      <w:szCs w:val="26"/>
    </w:rPr>
  </w:style>
  <w:style w:type="paragraph" w:styleId="NoSpacing">
    <w:name w:val="No Spacing"/>
    <w:autoRedefine/>
    <w:uiPriority w:val="1"/>
    <w:qFormat/>
    <w:rsid w:val="00370A7E"/>
    <w:pPr>
      <w:spacing w:after="0" w:line="240" w:lineRule="auto"/>
    </w:pPr>
    <w:rPr>
      <w:rFonts w:ascii="Arial" w:hAnsi="Arial"/>
      <w:color w:val="404040" w:themeColor="text1" w:themeTint="BF"/>
    </w:rPr>
  </w:style>
  <w:style w:type="character" w:customStyle="1" w:styleId="ListParagraphChar">
    <w:name w:val="List Paragraph Char"/>
    <w:basedOn w:val="DefaultParagraphFont"/>
    <w:link w:val="ListParagraph"/>
    <w:uiPriority w:val="34"/>
    <w:rsid w:val="00F00C06"/>
    <w:rPr>
      <w:rFonts w:ascii="Arial" w:hAnsi="Arial"/>
    </w:rPr>
  </w:style>
  <w:style w:type="paragraph" w:customStyle="1" w:styleId="HEABullets">
    <w:name w:val="HEA Bullets"/>
    <w:basedOn w:val="Normal"/>
    <w:autoRedefine/>
    <w:qFormat/>
    <w:rsid w:val="00BD7D3A"/>
    <w:pPr>
      <w:numPr>
        <w:numId w:val="5"/>
      </w:numPr>
      <w:spacing w:after="0" w:line="240" w:lineRule="auto"/>
    </w:pPr>
    <w:rPr>
      <w:rFonts w:eastAsiaTheme="minorHAnsi"/>
      <w:szCs w:val="24"/>
      <w:lang w:eastAsia="en-US"/>
    </w:rPr>
  </w:style>
  <w:style w:type="character" w:styleId="Emphasis">
    <w:name w:val="Emphasis"/>
    <w:uiPriority w:val="20"/>
    <w:qFormat/>
    <w:rsid w:val="00856FCF"/>
    <w:rPr>
      <w:rFonts w:ascii="Arial" w:hAnsi="Arial"/>
      <w:iCs/>
    </w:rPr>
  </w:style>
  <w:style w:type="character" w:customStyle="1" w:styleId="Heading3Char">
    <w:name w:val="Heading 3 Char"/>
    <w:basedOn w:val="DefaultParagraphFont"/>
    <w:link w:val="Heading3"/>
    <w:uiPriority w:val="9"/>
    <w:rsid w:val="007918F7"/>
    <w:rPr>
      <w:rFonts w:ascii="Arial" w:eastAsiaTheme="majorEastAsia" w:hAnsi="Arial" w:cstheme="majorBidi"/>
      <w:b/>
      <w:bCs/>
      <w:color w:val="595959" w:themeColor="text1" w:themeTint="A6"/>
    </w:rPr>
  </w:style>
  <w:style w:type="paragraph" w:styleId="Subtitle">
    <w:name w:val="Subtitle"/>
    <w:basedOn w:val="Normal"/>
    <w:next w:val="Normal"/>
    <w:link w:val="SubtitleChar"/>
    <w:autoRedefine/>
    <w:uiPriority w:val="11"/>
    <w:qFormat/>
    <w:rsid w:val="000D6E5C"/>
    <w:pPr>
      <w:numPr>
        <w:ilvl w:val="1"/>
      </w:numPr>
    </w:pPr>
    <w:rPr>
      <w:rFonts w:eastAsiaTheme="majorEastAsia" w:cstheme="majorBidi"/>
      <w:i/>
      <w:iCs/>
      <w:color w:val="595959" w:themeColor="text1" w:themeTint="A6"/>
      <w:spacing w:val="15"/>
      <w:sz w:val="24"/>
      <w:szCs w:val="24"/>
    </w:rPr>
  </w:style>
  <w:style w:type="character" w:customStyle="1" w:styleId="SubtitleChar">
    <w:name w:val="Subtitle Char"/>
    <w:basedOn w:val="DefaultParagraphFont"/>
    <w:link w:val="Subtitle"/>
    <w:uiPriority w:val="11"/>
    <w:rsid w:val="000D6E5C"/>
    <w:rPr>
      <w:rFonts w:ascii="Arial" w:eastAsiaTheme="majorEastAsia" w:hAnsi="Arial" w:cstheme="majorBidi"/>
      <w:i/>
      <w:iCs/>
      <w:color w:val="595959" w:themeColor="text1" w:themeTint="A6"/>
      <w:spacing w:val="15"/>
      <w:sz w:val="24"/>
      <w:szCs w:val="24"/>
    </w:rPr>
  </w:style>
  <w:style w:type="character" w:styleId="SubtleEmphasis">
    <w:name w:val="Subtle Emphasis"/>
    <w:basedOn w:val="DefaultParagraphFont"/>
    <w:uiPriority w:val="19"/>
    <w:qFormat/>
    <w:rsid w:val="000D6E5C"/>
    <w:rPr>
      <w:rFonts w:ascii="Arial" w:hAnsi="Arial"/>
      <w:i/>
      <w:iCs/>
      <w:color w:val="595959" w:themeColor="text1" w:themeTint="A6"/>
      <w:sz w:val="22"/>
    </w:rPr>
  </w:style>
  <w:style w:type="paragraph" w:styleId="TOCHeading">
    <w:name w:val="TOC Heading"/>
    <w:basedOn w:val="Heading1"/>
    <w:next w:val="Normal"/>
    <w:uiPriority w:val="39"/>
    <w:semiHidden/>
    <w:unhideWhenUsed/>
    <w:qFormat/>
    <w:rsid w:val="00BD7D3A"/>
    <w:pPr>
      <w:spacing w:before="480"/>
      <w:outlineLvl w:val="9"/>
    </w:pPr>
    <w:rPr>
      <w:rFonts w:asciiTheme="majorHAnsi" w:hAnsiTheme="majorHAnsi"/>
      <w:b/>
      <w:color w:val="365F91" w:themeColor="accent1" w:themeShade="BF"/>
      <w:sz w:val="28"/>
      <w:lang w:val="en-US" w:eastAsia="ja-JP"/>
    </w:rPr>
  </w:style>
  <w:style w:type="paragraph" w:styleId="TOC1">
    <w:name w:val="toc 1"/>
    <w:basedOn w:val="Normal"/>
    <w:next w:val="Normal"/>
    <w:autoRedefine/>
    <w:uiPriority w:val="39"/>
    <w:unhideWhenUsed/>
    <w:rsid w:val="00BD7D3A"/>
    <w:pPr>
      <w:spacing w:after="100"/>
    </w:pPr>
  </w:style>
  <w:style w:type="paragraph" w:styleId="TOC2">
    <w:name w:val="toc 2"/>
    <w:basedOn w:val="Normal"/>
    <w:next w:val="Normal"/>
    <w:autoRedefine/>
    <w:uiPriority w:val="39"/>
    <w:unhideWhenUsed/>
    <w:rsid w:val="00BD7D3A"/>
    <w:pPr>
      <w:spacing w:after="100"/>
      <w:ind w:left="220"/>
    </w:pPr>
  </w:style>
  <w:style w:type="paragraph" w:styleId="TOC3">
    <w:name w:val="toc 3"/>
    <w:basedOn w:val="Normal"/>
    <w:next w:val="Normal"/>
    <w:autoRedefine/>
    <w:uiPriority w:val="39"/>
    <w:unhideWhenUsed/>
    <w:rsid w:val="00BD7D3A"/>
    <w:pPr>
      <w:spacing w:after="100"/>
      <w:ind w:left="440"/>
    </w:pPr>
  </w:style>
  <w:style w:type="character" w:styleId="Hyperlink">
    <w:name w:val="Hyperlink"/>
    <w:basedOn w:val="DefaultParagraphFont"/>
    <w:uiPriority w:val="99"/>
    <w:unhideWhenUsed/>
    <w:rsid w:val="00BD7D3A"/>
    <w:rPr>
      <w:color w:val="0000FF" w:themeColor="hyperlink"/>
      <w:u w:val="single"/>
    </w:rPr>
  </w:style>
  <w:style w:type="paragraph" w:styleId="BalloonText">
    <w:name w:val="Balloon Text"/>
    <w:basedOn w:val="Normal"/>
    <w:link w:val="BalloonTextChar"/>
    <w:uiPriority w:val="99"/>
    <w:semiHidden/>
    <w:unhideWhenUsed/>
    <w:rsid w:val="00BD7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D3A"/>
    <w:rPr>
      <w:rFonts w:ascii="Tahoma" w:hAnsi="Tahoma" w:cs="Tahoma"/>
      <w:sz w:val="16"/>
      <w:szCs w:val="16"/>
    </w:rPr>
  </w:style>
  <w:style w:type="table" w:styleId="TableGrid">
    <w:name w:val="Table Grid"/>
    <w:basedOn w:val="TableNormal"/>
    <w:uiPriority w:val="59"/>
    <w:rsid w:val="00BD7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uiPriority w:val="10"/>
    <w:qFormat/>
    <w:rsid w:val="007918F7"/>
    <w:pPr>
      <w:pBdr>
        <w:bottom w:val="single" w:sz="8" w:space="5" w:color="4F81BD" w:themeColor="accent1"/>
      </w:pBdr>
      <w:spacing w:after="300" w:line="240" w:lineRule="auto"/>
      <w:contextualSpacing/>
    </w:pPr>
    <w:rPr>
      <w:rFonts w:eastAsiaTheme="majorEastAsia" w:cstheme="majorBidi"/>
      <w:b/>
      <w:color w:val="7030A0"/>
      <w:spacing w:val="5"/>
      <w:kern w:val="28"/>
      <w:sz w:val="36"/>
      <w:szCs w:val="52"/>
    </w:rPr>
  </w:style>
  <w:style w:type="character" w:customStyle="1" w:styleId="TitleChar">
    <w:name w:val="Title Char"/>
    <w:basedOn w:val="DefaultParagraphFont"/>
    <w:link w:val="Title"/>
    <w:uiPriority w:val="10"/>
    <w:rsid w:val="007918F7"/>
    <w:rPr>
      <w:rFonts w:ascii="Arial" w:eastAsiaTheme="majorEastAsia" w:hAnsi="Arial" w:cstheme="majorBidi"/>
      <w:b/>
      <w:color w:val="7030A0"/>
      <w:spacing w:val="5"/>
      <w:kern w:val="28"/>
      <w:sz w:val="36"/>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0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eatley@ucl.ac.uk" TargetMode="External"/><Relationship Id="rId3" Type="http://schemas.openxmlformats.org/officeDocument/2006/relationships/settings" Target="settings.xml"/><Relationship Id="rId7" Type="http://schemas.openxmlformats.org/officeDocument/2006/relationships/hyperlink" Target="mailto:c.lantos@uc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llen@ucl.ac.uk" TargetMode="External"/><Relationship Id="rId5" Type="http://schemas.openxmlformats.org/officeDocument/2006/relationships/hyperlink" Target="http://www.thestudentsurve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1907</Words>
  <Characters>10871</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Allen</dc:creator>
  <cp:lastModifiedBy>Csenge Lantos</cp:lastModifiedBy>
  <cp:revision>2</cp:revision>
  <cp:lastPrinted>2015-12-02T16:27:00Z</cp:lastPrinted>
  <dcterms:created xsi:type="dcterms:W3CDTF">2018-01-08T12:21:00Z</dcterms:created>
  <dcterms:modified xsi:type="dcterms:W3CDTF">2018-01-08T12:21:00Z</dcterms:modified>
</cp:coreProperties>
</file>