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D1CF" w14:textId="77777777" w:rsidR="00746810" w:rsidRDefault="003B4148" w:rsidP="007A00EF">
      <w:pPr>
        <w:pStyle w:val="Title"/>
      </w:pPr>
      <w:r>
        <w:t>NUS Assess</w:t>
      </w:r>
      <w:r w:rsidR="007A00EF">
        <w:t>ment and Feedback Benchmarking T</w:t>
      </w:r>
      <w:r>
        <w:t>ool</w:t>
      </w:r>
    </w:p>
    <w:p w14:paraId="02871533" w14:textId="31D7699B" w:rsidR="007A00EF" w:rsidRPr="007A00EF" w:rsidRDefault="001063AE" w:rsidP="00A96140">
      <w:pPr>
        <w:pStyle w:val="Title"/>
      </w:pPr>
      <w:r>
        <w:t xml:space="preserve">UCL </w:t>
      </w:r>
      <w:r w:rsidR="007A00EF">
        <w:t>Guidance for S</w:t>
      </w:r>
      <w:r w:rsidR="003B4148">
        <w:t>taff</w:t>
      </w:r>
    </w:p>
    <w:p w14:paraId="1344E766" w14:textId="314FFF84" w:rsidR="00FD6256" w:rsidRPr="003D5328" w:rsidRDefault="00A96FCD" w:rsidP="00A33E77">
      <w:r w:rsidRPr="003D5328">
        <w:t xml:space="preserve">This </w:t>
      </w:r>
      <w:r w:rsidR="0069447F" w:rsidRPr="003D5328">
        <w:t xml:space="preserve">guidance </w:t>
      </w:r>
      <w:r w:rsidRPr="003D5328">
        <w:t xml:space="preserve">document provides advice on reviewing and enhancing </w:t>
      </w:r>
      <w:r w:rsidR="00A96140" w:rsidRPr="003D5328">
        <w:t xml:space="preserve">departmental </w:t>
      </w:r>
      <w:r w:rsidRPr="003D5328">
        <w:t xml:space="preserve">approaches to student assessment and feedback, in line with steps agreed by UCL’s Quality Review Sub-Committee (Sept 2015). </w:t>
      </w:r>
      <w:r w:rsidR="007343BC" w:rsidRPr="003D5328">
        <w:t xml:space="preserve">Departments are asked to use the </w:t>
      </w:r>
      <w:r w:rsidR="00997F29" w:rsidRPr="003D5328">
        <w:t xml:space="preserve">attached </w:t>
      </w:r>
      <w:r w:rsidR="00B81A8C" w:rsidRPr="003D5328">
        <w:t xml:space="preserve">NUS Assessment and Feedback Benchmarking </w:t>
      </w:r>
      <w:r w:rsidR="001063AE" w:rsidRPr="003D5328">
        <w:t>T</w:t>
      </w:r>
      <w:r w:rsidR="00FD6256" w:rsidRPr="003D5328">
        <w:t>ool</w:t>
      </w:r>
      <w:r w:rsidR="00B81A8C" w:rsidRPr="003D5328">
        <w:t xml:space="preserve"> </w:t>
      </w:r>
      <w:r w:rsidR="007343BC" w:rsidRPr="003D5328">
        <w:t>to</w:t>
      </w:r>
      <w:r w:rsidR="00B81A8C" w:rsidRPr="003D5328">
        <w:t xml:space="preserve"> identif</w:t>
      </w:r>
      <w:r w:rsidR="007343BC" w:rsidRPr="003D5328">
        <w:t>y areas for development, and to report back to UCL as part of the Annual Student Experience Review (ASER) process</w:t>
      </w:r>
      <w:r w:rsidR="00997F29" w:rsidRPr="003D5328">
        <w:t>. Specific guidance on using t</w:t>
      </w:r>
      <w:r w:rsidR="00A96140" w:rsidRPr="003D5328">
        <w:t>he NUS</w:t>
      </w:r>
      <w:r w:rsidR="00997F29" w:rsidRPr="003D5328">
        <w:t xml:space="preserve"> resource to map current provision </w:t>
      </w:r>
      <w:r w:rsidR="006C5443" w:rsidRPr="003D5328">
        <w:t>can be found in its</w:t>
      </w:r>
      <w:r w:rsidR="00B81A8C" w:rsidRPr="003D5328">
        <w:t xml:space="preserve"> ‘How to use the tool’ </w:t>
      </w:r>
      <w:r w:rsidR="006C5443" w:rsidRPr="003D5328">
        <w:t>section</w:t>
      </w:r>
      <w:r w:rsidR="004D2990" w:rsidRPr="003D5328">
        <w:t xml:space="preserve">. The guidance describes immediate action that can be taken to improve assessment and feedback, especially for final year </w:t>
      </w:r>
      <w:r w:rsidR="00DF4610" w:rsidRPr="003D5328">
        <w:t>students</w:t>
      </w:r>
      <w:r w:rsidR="004D2990" w:rsidRPr="003D5328">
        <w:t xml:space="preserve">. </w:t>
      </w:r>
      <w:r w:rsidR="00A33E77" w:rsidRPr="003D5328">
        <w:t xml:space="preserve"> On</w:t>
      </w:r>
      <w:r w:rsidR="00894136" w:rsidRPr="003D5328">
        <w:t xml:space="preserve"> completing this </w:t>
      </w:r>
      <w:r w:rsidR="009675FE" w:rsidRPr="003D5328">
        <w:t xml:space="preserve">benchmarking </w:t>
      </w:r>
      <w:r w:rsidR="00894136" w:rsidRPr="003D5328">
        <w:t>activity</w:t>
      </w:r>
      <w:r w:rsidR="009675FE" w:rsidRPr="003D5328">
        <w:t xml:space="preserve"> and </w:t>
      </w:r>
      <w:r w:rsidR="004D2990" w:rsidRPr="003D5328">
        <w:t xml:space="preserve">the ASER </w:t>
      </w:r>
      <w:r w:rsidR="009675FE" w:rsidRPr="003D5328">
        <w:t>implementation plan</w:t>
      </w:r>
      <w:r w:rsidR="00894136" w:rsidRPr="003D5328">
        <w:t>,</w:t>
      </w:r>
      <w:r w:rsidR="009675FE" w:rsidRPr="003D5328">
        <w:t xml:space="preserve"> departments</w:t>
      </w:r>
      <w:r w:rsidR="00894136" w:rsidRPr="003D5328">
        <w:t xml:space="preserve"> need to </w:t>
      </w:r>
      <w:proofErr w:type="gramStart"/>
      <w:r w:rsidR="00894136" w:rsidRPr="003D5328">
        <w:t>decide  how</w:t>
      </w:r>
      <w:proofErr w:type="gramEnd"/>
      <w:r w:rsidR="00894136" w:rsidRPr="003D5328">
        <w:t xml:space="preserve"> they will monitor the planned actions </w:t>
      </w:r>
      <w:r w:rsidR="006505CB" w:rsidRPr="003D5328">
        <w:t xml:space="preserve">and </w:t>
      </w:r>
      <w:r w:rsidR="009675FE" w:rsidRPr="003D5328">
        <w:t>ensure that any urgent changes are made as soon as possible</w:t>
      </w:r>
      <w:r w:rsidR="001600BD" w:rsidRPr="003D5328">
        <w:t>.</w:t>
      </w:r>
    </w:p>
    <w:p w14:paraId="556DEB6E" w14:textId="77777777" w:rsidR="00FD6256" w:rsidRDefault="00FD6256" w:rsidP="007A00EF">
      <w:pPr>
        <w:pStyle w:val="Heading1"/>
      </w:pPr>
      <w:r w:rsidRPr="0074207D">
        <w:t>Implementing Change</w:t>
      </w:r>
    </w:p>
    <w:p w14:paraId="7A99CDDB" w14:textId="1AB5D927" w:rsidR="00CF18D7" w:rsidRPr="003D5328" w:rsidRDefault="00FD6256" w:rsidP="00A33E77">
      <w:pPr>
        <w:rPr>
          <w:lang w:eastAsia="en-US"/>
        </w:rPr>
      </w:pPr>
      <w:r w:rsidRPr="003D5328">
        <w:t>It</w:t>
      </w:r>
      <w:r w:rsidR="00AC551B" w:rsidRPr="003D5328">
        <w:t xml:space="preserve"> i</w:t>
      </w:r>
      <w:r w:rsidRPr="003D5328">
        <w:t>s important that departments monitor student</w:t>
      </w:r>
      <w:r w:rsidR="002E1719" w:rsidRPr="003D5328">
        <w:t>s’</w:t>
      </w:r>
      <w:r w:rsidRPr="003D5328">
        <w:t xml:space="preserve"> satisfaction </w:t>
      </w:r>
      <w:r w:rsidR="002E1719" w:rsidRPr="003D5328">
        <w:t xml:space="preserve">with assessment and feedback </w:t>
      </w:r>
      <w:r w:rsidRPr="003D5328">
        <w:t>throughout the year</w:t>
      </w:r>
      <w:r w:rsidR="00AC551B" w:rsidRPr="003D5328">
        <w:t xml:space="preserve"> and focus</w:t>
      </w:r>
      <w:r w:rsidRPr="003D5328">
        <w:t xml:space="preserve"> especially </w:t>
      </w:r>
      <w:r w:rsidR="00AC551B" w:rsidRPr="003D5328">
        <w:t xml:space="preserve">on </w:t>
      </w:r>
      <w:r w:rsidRPr="003D5328">
        <w:t>final year undergraduate students’ satisfaction in the first term</w:t>
      </w:r>
      <w:r w:rsidR="00483A47" w:rsidRPr="003D5328">
        <w:t>,</w:t>
      </w:r>
      <w:r w:rsidRPr="003D5328">
        <w:t xml:space="preserve"> as they will be completing the NSS </w:t>
      </w:r>
      <w:r w:rsidR="00EA2C4B" w:rsidRPr="003D5328">
        <w:t xml:space="preserve">in the second </w:t>
      </w:r>
      <w:r w:rsidRPr="003D5328">
        <w:t>term.</w:t>
      </w:r>
      <w:r w:rsidR="002E1719" w:rsidRPr="003D5328">
        <w:t xml:space="preserve"> </w:t>
      </w:r>
      <w:r w:rsidR="004D2990" w:rsidRPr="003D5328">
        <w:t xml:space="preserve"> </w:t>
      </w:r>
      <w:r w:rsidR="004D2990" w:rsidRPr="003D5328">
        <w:rPr>
          <w:lang w:eastAsia="en-US"/>
        </w:rPr>
        <w:t>Many of the changes to assessment practice and feedback that will make a big difference to students can be implemented</w:t>
      </w:r>
      <w:r w:rsidR="00CF18D7" w:rsidRPr="003D5328">
        <w:rPr>
          <w:lang w:eastAsia="en-US"/>
        </w:rPr>
        <w:t xml:space="preserve"> without excessive bureaucracy; t</w:t>
      </w:r>
      <w:r w:rsidR="004D2990" w:rsidRPr="003D5328">
        <w:rPr>
          <w:lang w:eastAsia="en-US"/>
        </w:rPr>
        <w:t xml:space="preserve">he suggestions and guidance offered in this </w:t>
      </w:r>
      <w:r w:rsidR="00DF4610" w:rsidRPr="003D5328">
        <w:rPr>
          <w:lang w:eastAsia="en-US"/>
        </w:rPr>
        <w:t>document are</w:t>
      </w:r>
      <w:r w:rsidR="004D2990" w:rsidRPr="003D5328">
        <w:rPr>
          <w:lang w:eastAsia="en-US"/>
        </w:rPr>
        <w:t xml:space="preserve"> designed specially to give ideas for change and improvement that can be implemented straight away.</w:t>
      </w:r>
      <w:r w:rsidR="00831D7E" w:rsidRPr="003D5328">
        <w:rPr>
          <w:lang w:eastAsia="en-US"/>
        </w:rPr>
        <w:t xml:space="preserve"> </w:t>
      </w:r>
    </w:p>
    <w:p w14:paraId="647418A4" w14:textId="32C6EADD" w:rsidR="004D2990" w:rsidRPr="003D5328" w:rsidRDefault="00CF18D7" w:rsidP="00A33E77">
      <w:r w:rsidRPr="003D5328">
        <w:rPr>
          <w:lang w:eastAsia="en-US"/>
        </w:rPr>
        <w:t>To monitor student satisfaction, a</w:t>
      </w:r>
      <w:r w:rsidR="00DF4610" w:rsidRPr="003D5328">
        <w:rPr>
          <w:lang w:eastAsia="en-US"/>
        </w:rPr>
        <w:t>n NSS Assessment and Feedback Taskforce (c</w:t>
      </w:r>
      <w:r w:rsidR="00DF4610" w:rsidRPr="003D5328">
        <w:t>omposed of academics, administrators and students</w:t>
      </w:r>
      <w:r w:rsidR="003D5328" w:rsidRPr="003D5328">
        <w:t xml:space="preserve">) </w:t>
      </w:r>
      <w:r w:rsidR="003D5328" w:rsidRPr="003D5328">
        <w:rPr>
          <w:lang w:eastAsia="en-US"/>
        </w:rPr>
        <w:t>could</w:t>
      </w:r>
      <w:r w:rsidR="00DF4610" w:rsidRPr="003D5328">
        <w:rPr>
          <w:lang w:eastAsia="en-US"/>
        </w:rPr>
        <w:t xml:space="preserve"> be established to </w:t>
      </w:r>
      <w:r w:rsidR="0088672A" w:rsidRPr="003D5328">
        <w:rPr>
          <w:lang w:eastAsia="en-US"/>
        </w:rPr>
        <w:t>investigate</w:t>
      </w:r>
      <w:r w:rsidR="00DF4610" w:rsidRPr="003D5328">
        <w:t xml:space="preserve"> issues such as feedback turnaround times, assessment bunching and quality of feedback (see principles below). The Taskforce would be responsible for devising ways to communicate with staff and students (e.g. focus groups, informal gatherings, onlin</w:t>
      </w:r>
      <w:r w:rsidR="0088672A" w:rsidRPr="003D5328">
        <w:t>e complaints board, surveys</w:t>
      </w:r>
      <w:r w:rsidR="00DF4610" w:rsidRPr="003D5328">
        <w:t xml:space="preserve">)in order to detect problems </w:t>
      </w:r>
      <w:r w:rsidR="00DF4610" w:rsidRPr="003D5328">
        <w:rPr>
          <w:b/>
          <w:bCs/>
        </w:rPr>
        <w:t>at an early stage and quickly address them</w:t>
      </w:r>
      <w:r w:rsidR="00DF4610" w:rsidRPr="003D5328">
        <w:t xml:space="preserve">.  Communication is important; </w:t>
      </w:r>
      <w:r w:rsidR="00A33E77" w:rsidRPr="003D5328">
        <w:t>we</w:t>
      </w:r>
      <w:r w:rsidR="00A33E77" w:rsidRPr="003D5328">
        <w:t xml:space="preserve"> need to </w:t>
      </w:r>
      <w:r w:rsidR="00A33E77" w:rsidRPr="003D5328">
        <w:rPr>
          <w:lang w:eastAsia="en-US"/>
        </w:rPr>
        <w:t xml:space="preserve">demonstrate to students that we listen to their feedback and will act quickly to improve practices where necessary. </w:t>
      </w:r>
      <w:r w:rsidR="00A33E77">
        <w:t>T</w:t>
      </w:r>
      <w:r w:rsidR="00DF4610" w:rsidRPr="003D5328">
        <w:t xml:space="preserve">he Taskforce would ensure students are aware of how the department has responded to problems. </w:t>
      </w:r>
    </w:p>
    <w:p w14:paraId="7D3E483B" w14:textId="77777777" w:rsidR="00FD6256" w:rsidRDefault="00FD6256" w:rsidP="003D5328">
      <w:pPr>
        <w:pStyle w:val="Heading2"/>
      </w:pPr>
      <w:r>
        <w:t>Improving Assessment Practices</w:t>
      </w:r>
    </w:p>
    <w:p w14:paraId="5965FA2A" w14:textId="77777777" w:rsidR="003B4148" w:rsidRDefault="00FD6256" w:rsidP="00FD6256">
      <w:r>
        <w:t>The m</w:t>
      </w:r>
      <w:r w:rsidR="007A00EF">
        <w:t>ost important principles</w:t>
      </w:r>
      <w:r w:rsidR="003B4148">
        <w:t xml:space="preserve"> for improving student satisfaction are:</w:t>
      </w:r>
    </w:p>
    <w:p w14:paraId="383B0B7A" w14:textId="77777777" w:rsidR="00FD6256" w:rsidRDefault="00FD6256" w:rsidP="003D5328">
      <w:pPr>
        <w:pStyle w:val="Heading3"/>
      </w:pPr>
      <w:r>
        <w:t xml:space="preserve">Principle </w:t>
      </w:r>
      <w:r w:rsidR="003B4148">
        <w:t xml:space="preserve">2 </w:t>
      </w:r>
      <w:r>
        <w:t>A</w:t>
      </w:r>
      <w:r w:rsidR="003B4148">
        <w:t xml:space="preserve">ssessment </w:t>
      </w:r>
      <w:r>
        <w:t>C</w:t>
      </w:r>
      <w:r w:rsidR="003B4148">
        <w:t>riteria</w:t>
      </w:r>
    </w:p>
    <w:p w14:paraId="4C342894" w14:textId="486639DA" w:rsidR="003B4148" w:rsidRDefault="007A00EF" w:rsidP="00962C34">
      <w:pPr>
        <w:pStyle w:val="ListParagraph"/>
        <w:numPr>
          <w:ilvl w:val="0"/>
          <w:numId w:val="1"/>
        </w:numPr>
      </w:pPr>
      <w:r>
        <w:t xml:space="preserve">Ensure </w:t>
      </w:r>
      <w:r w:rsidR="00417F9D">
        <w:t xml:space="preserve">clear </w:t>
      </w:r>
      <w:r>
        <w:t>assessment criteria exist</w:t>
      </w:r>
      <w:r w:rsidR="00FD6256">
        <w:t xml:space="preserve"> for every m</w:t>
      </w:r>
      <w:r w:rsidR="00417F9D">
        <w:t>odule and that these are prominently</w:t>
      </w:r>
      <w:r w:rsidR="00FD6256">
        <w:t xml:space="preserve"> posted on Moodle and available in student handbooks. </w:t>
      </w:r>
      <w:r w:rsidR="00962C34">
        <w:t>An I</w:t>
      </w:r>
      <w:r w:rsidR="00FC1D3D">
        <w:t xml:space="preserve">llustrative </w:t>
      </w:r>
      <w:r w:rsidR="00962C34">
        <w:t>Guide to A</w:t>
      </w:r>
      <w:r w:rsidR="00FD6256">
        <w:t xml:space="preserve">ssessment </w:t>
      </w:r>
      <w:r w:rsidR="00962C34">
        <w:t>C</w:t>
      </w:r>
      <w:r w:rsidR="00FD6256">
        <w:t>riteria</w:t>
      </w:r>
      <w:r w:rsidR="00CF18D7">
        <w:t xml:space="preserve"> </w:t>
      </w:r>
      <w:r w:rsidR="00962C34">
        <w:t>is</w:t>
      </w:r>
      <w:r w:rsidR="00CF18D7">
        <w:t xml:space="preserve"> attached</w:t>
      </w:r>
      <w:r w:rsidR="00FC1D3D">
        <w:t xml:space="preserve">. </w:t>
      </w:r>
      <w:r w:rsidR="00FD6256">
        <w:t>It</w:t>
      </w:r>
      <w:r w:rsidR="00742DBD">
        <w:t xml:space="preserve"> i</w:t>
      </w:r>
      <w:r w:rsidR="00FD6256">
        <w:t>s not enough to give students assessment criteria</w:t>
      </w:r>
      <w:r>
        <w:t xml:space="preserve">; the department needs to </w:t>
      </w:r>
      <w:r w:rsidR="00CF18D7">
        <w:t>ensure</w:t>
      </w:r>
      <w:r>
        <w:t xml:space="preserve"> </w:t>
      </w:r>
      <w:r w:rsidR="00FA54A5">
        <w:t>that students</w:t>
      </w:r>
      <w:r>
        <w:t>, and staff (includi</w:t>
      </w:r>
      <w:r w:rsidR="00417F9D">
        <w:t>ng</w:t>
      </w:r>
      <w:r>
        <w:t xml:space="preserve"> T</w:t>
      </w:r>
      <w:r w:rsidR="00FA54A5">
        <w:t xml:space="preserve">eaching </w:t>
      </w:r>
      <w:r w:rsidR="00AC4F00">
        <w:t>Assistants)</w:t>
      </w:r>
      <w:r w:rsidR="00FA54A5">
        <w:t>,</w:t>
      </w:r>
      <w:r w:rsidR="003B4148">
        <w:t xml:space="preserve"> understand the</w:t>
      </w:r>
      <w:r>
        <w:t xml:space="preserve"> criteria. </w:t>
      </w:r>
      <w:r w:rsidR="00CE77DF">
        <w:t xml:space="preserve"> </w:t>
      </w:r>
      <w:r>
        <w:t xml:space="preserve">This can be done through guided marking. In guided marking, students read a range of peers’ assignments (anonymised and from a previous year with authors’ permission) at </w:t>
      </w:r>
      <w:r>
        <w:lastRenderedPageBreak/>
        <w:t>the beginning of the module, comment on the assignments and agree a grade. The assignment is similar to the module assignment and helps students understand what they need to do to be successful</w:t>
      </w:r>
      <w:r w:rsidR="00FA54A5">
        <w:t xml:space="preserve"> on this module</w:t>
      </w:r>
      <w:r>
        <w:t xml:space="preserve">. Guided marking can be </w:t>
      </w:r>
      <w:r w:rsidR="00742DBD">
        <w:t>organised</w:t>
      </w:r>
      <w:r>
        <w:t xml:space="preserve"> online or in a seminar or lecture. Students discuss comments and grades and have an opportunity to question the teacher, checking their understanding of assessment criteria. </w:t>
      </w:r>
    </w:p>
    <w:p w14:paraId="080586C4" w14:textId="77777777" w:rsidR="007A00EF" w:rsidRDefault="007A00EF" w:rsidP="003D5328">
      <w:pPr>
        <w:pStyle w:val="Heading3"/>
      </w:pPr>
      <w:r>
        <w:t>Principle 4 W</w:t>
      </w:r>
      <w:r w:rsidR="003B4148">
        <w:t xml:space="preserve">orkload </w:t>
      </w:r>
      <w:r>
        <w:t>D</w:t>
      </w:r>
      <w:r w:rsidR="003B4148">
        <w:t>istribution</w:t>
      </w:r>
    </w:p>
    <w:p w14:paraId="570FCE3D" w14:textId="77777777" w:rsidR="00FB3113" w:rsidRDefault="00417F9D" w:rsidP="00417F9D">
      <w:pPr>
        <w:pStyle w:val="ListParagraph"/>
        <w:numPr>
          <w:ilvl w:val="0"/>
          <w:numId w:val="1"/>
        </w:numPr>
      </w:pPr>
      <w:r w:rsidRPr="00417F9D">
        <w:t>Distribute assessment across the a</w:t>
      </w:r>
      <w:r>
        <w:t>cademic year so students (and staff) are not overburdened</w:t>
      </w:r>
      <w:r w:rsidR="007A00EF">
        <w:t xml:space="preserve">. Check for assessment bunching </w:t>
      </w:r>
      <w:r w:rsidR="00FB3113">
        <w:t xml:space="preserve">e.g. </w:t>
      </w:r>
      <w:r w:rsidR="007A00EF">
        <w:t xml:space="preserve">by using </w:t>
      </w:r>
      <w:r w:rsidR="00FB3113">
        <w:t>the</w:t>
      </w:r>
      <w:r w:rsidR="007A00EF">
        <w:t xml:space="preserve"> Map My Programme </w:t>
      </w:r>
      <w:r w:rsidR="00FB3113">
        <w:t xml:space="preserve">tool </w:t>
      </w:r>
      <w:r w:rsidR="007A00EF">
        <w:t>(</w:t>
      </w:r>
      <w:hyperlink r:id="rId9" w:history="1">
        <w:r w:rsidR="00462680" w:rsidRPr="001E7DFA">
          <w:rPr>
            <w:rStyle w:val="Hyperlink"/>
          </w:rPr>
          <w:t>https://sites.google.com/site/mapmyprogramme/home</w:t>
        </w:r>
      </w:hyperlink>
      <w:r w:rsidR="00462680">
        <w:t xml:space="preserve"> </w:t>
      </w:r>
      <w:r w:rsidR="00FA54A5">
        <w:t>).</w:t>
      </w:r>
    </w:p>
    <w:p w14:paraId="1467ED7A" w14:textId="3B3505BA" w:rsidR="00417F9D" w:rsidRDefault="00417F9D" w:rsidP="00417F9D">
      <w:pPr>
        <w:pStyle w:val="ListParagraph"/>
        <w:numPr>
          <w:ilvl w:val="0"/>
          <w:numId w:val="1"/>
        </w:numPr>
      </w:pPr>
      <w:r w:rsidRPr="00417F9D">
        <w:t>If you find that there is bunching</w:t>
      </w:r>
      <w:r w:rsidR="00CF18D7">
        <w:t>,</w:t>
      </w:r>
      <w:r w:rsidRPr="00417F9D">
        <w:t xml:space="preserve"> create a long window of opportunity for submitting written work rather than one specific deadline, i.e. ‘please submit this work </w:t>
      </w:r>
      <w:proofErr w:type="gramStart"/>
      <w:r w:rsidRPr="00417F9D">
        <w:t>between  …</w:t>
      </w:r>
      <w:proofErr w:type="gramEnd"/>
      <w:r w:rsidRPr="00417F9D">
        <w:t xml:space="preserve"> and …(and provide a week or ten day window</w:t>
      </w:r>
      <w:bookmarkStart w:id="0" w:name="_GoBack"/>
      <w:bookmarkEnd w:id="0"/>
      <w:r w:rsidRPr="00417F9D">
        <w:t xml:space="preserve">  for submissions)</w:t>
      </w:r>
      <w:r>
        <w:t>’.</w:t>
      </w:r>
    </w:p>
    <w:p w14:paraId="720E29B3" w14:textId="77777777" w:rsidR="00462680" w:rsidRDefault="00462680" w:rsidP="003D5328">
      <w:pPr>
        <w:pStyle w:val="Heading3"/>
      </w:pPr>
      <w:r>
        <w:t xml:space="preserve">Principle </w:t>
      </w:r>
      <w:r w:rsidR="003B4148">
        <w:t xml:space="preserve">6 </w:t>
      </w:r>
      <w:r>
        <w:t>M</w:t>
      </w:r>
      <w:r w:rsidR="003B4148">
        <w:t xml:space="preserve">arking </w:t>
      </w:r>
      <w:r>
        <w:t>C</w:t>
      </w:r>
      <w:r w:rsidR="003B4148">
        <w:t xml:space="preserve">onsistency and </w:t>
      </w:r>
      <w:r>
        <w:t>D</w:t>
      </w:r>
      <w:r w:rsidR="003B4148">
        <w:t>istribution</w:t>
      </w:r>
    </w:p>
    <w:p w14:paraId="2462A3B4" w14:textId="51B2388D" w:rsidR="003B4148" w:rsidRDefault="00462680">
      <w:pPr>
        <w:pStyle w:val="ListParagraph"/>
        <w:numPr>
          <w:ilvl w:val="0"/>
          <w:numId w:val="1"/>
        </w:numPr>
      </w:pPr>
      <w:r>
        <w:t xml:space="preserve">Ensure all markers are thoroughly prepared </w:t>
      </w:r>
      <w:r w:rsidR="003B4148">
        <w:t>for</w:t>
      </w:r>
      <w:r>
        <w:t xml:space="preserve"> the</w:t>
      </w:r>
      <w:r w:rsidR="00FA54A5">
        <w:t>ir</w:t>
      </w:r>
      <w:r>
        <w:t xml:space="preserve"> role. Organise harmonisation meetings for </w:t>
      </w:r>
      <w:r w:rsidR="003B4148">
        <w:t>all staff</w:t>
      </w:r>
      <w:r w:rsidR="00C24C8F">
        <w:t>,</w:t>
      </w:r>
      <w:r w:rsidR="003B4148">
        <w:t xml:space="preserve"> especially those new to marking</w:t>
      </w:r>
      <w:r>
        <w:t xml:space="preserve">. </w:t>
      </w:r>
      <w:r w:rsidR="00FC1D3D">
        <w:t>Ensure marking is moderated (see</w:t>
      </w:r>
      <w:r w:rsidR="00AC4F00">
        <w:t xml:space="preserve"> </w:t>
      </w:r>
      <w:hyperlink r:id="rId10" w:history="1">
        <w:r w:rsidR="00AC4F00" w:rsidRPr="007632E1">
          <w:rPr>
            <w:rStyle w:val="Hyperlink"/>
          </w:rPr>
          <w:t>http://www.docs.sasg.ed.ac.uk/AcademicServices/Guidance/Moderation_Guidance.pdf</w:t>
        </w:r>
      </w:hyperlink>
      <w:r w:rsidR="00AC4F00">
        <w:t xml:space="preserve"> </w:t>
      </w:r>
      <w:r w:rsidR="00FC1D3D">
        <w:t xml:space="preserve"> f</w:t>
      </w:r>
      <w:r w:rsidR="00AC4F00">
        <w:t>or useful guidance on moderation</w:t>
      </w:r>
      <w:r w:rsidR="00FC1D3D">
        <w:t>)</w:t>
      </w:r>
      <w:r w:rsidR="00AC4F00">
        <w:t>.</w:t>
      </w:r>
      <w:r w:rsidR="00FC1D3D">
        <w:t xml:space="preserve"> </w:t>
      </w:r>
    </w:p>
    <w:p w14:paraId="772EE49D" w14:textId="77777777" w:rsidR="00FA54A5" w:rsidRDefault="00FA54A5" w:rsidP="00417F9D">
      <w:pPr>
        <w:pStyle w:val="ListParagraph"/>
        <w:numPr>
          <w:ilvl w:val="0"/>
          <w:numId w:val="1"/>
        </w:numPr>
      </w:pPr>
      <w:r>
        <w:t>Post example a</w:t>
      </w:r>
      <w:r w:rsidR="00EA2C4B">
        <w:t>ssignments and feedback comment</w:t>
      </w:r>
      <w:r>
        <w:t>s</w:t>
      </w:r>
      <w:r w:rsidR="00EA2C4B">
        <w:t xml:space="preserve"> </w:t>
      </w:r>
      <w:r>
        <w:t xml:space="preserve">and grades online so both markers and </w:t>
      </w:r>
      <w:r w:rsidR="008A439C">
        <w:t>students</w:t>
      </w:r>
      <w:r>
        <w:t xml:space="preserve"> can</w:t>
      </w:r>
      <w:r w:rsidR="008A439C">
        <w:t xml:space="preserve"> check marking</w:t>
      </w:r>
      <w:r w:rsidR="00417F9D">
        <w:t xml:space="preserve"> standards</w:t>
      </w:r>
      <w:r w:rsidR="008A439C">
        <w:t>.</w:t>
      </w:r>
    </w:p>
    <w:p w14:paraId="5D054C07" w14:textId="77777777" w:rsidR="00462680" w:rsidRDefault="00FB3113" w:rsidP="003D5328">
      <w:pPr>
        <w:pStyle w:val="Heading3"/>
      </w:pPr>
      <w:r>
        <w:t>Principles</w:t>
      </w:r>
      <w:r w:rsidR="00462680">
        <w:t xml:space="preserve"> </w:t>
      </w:r>
      <w:r w:rsidR="003B4148">
        <w:t xml:space="preserve">7 and </w:t>
      </w:r>
      <w:r>
        <w:t>8 Feedback</w:t>
      </w:r>
      <w:r w:rsidR="003B4148">
        <w:t xml:space="preserve"> </w:t>
      </w:r>
      <w:r w:rsidR="00462680">
        <w:t>T</w:t>
      </w:r>
      <w:r w:rsidR="003B4148">
        <w:t xml:space="preserve">imeliness and </w:t>
      </w:r>
      <w:r w:rsidR="00462680">
        <w:t>Q</w:t>
      </w:r>
      <w:r w:rsidR="003B4148">
        <w:t>uality</w:t>
      </w:r>
    </w:p>
    <w:p w14:paraId="2F427F16" w14:textId="77777777" w:rsidR="00FB3113" w:rsidRDefault="00462680" w:rsidP="00FB3113">
      <w:pPr>
        <w:pStyle w:val="ListParagraph"/>
        <w:numPr>
          <w:ilvl w:val="0"/>
          <w:numId w:val="1"/>
        </w:numPr>
      </w:pPr>
      <w:r>
        <w:t>P</w:t>
      </w:r>
      <w:r w:rsidR="003B4148">
        <w:t>ublish submission d</w:t>
      </w:r>
      <w:r>
        <w:t xml:space="preserve">ates and feedback return dates. </w:t>
      </w:r>
    </w:p>
    <w:p w14:paraId="251240F7" w14:textId="77777777" w:rsidR="00FB3113" w:rsidRDefault="00462680" w:rsidP="00666424">
      <w:pPr>
        <w:pStyle w:val="ListParagraph"/>
        <w:numPr>
          <w:ilvl w:val="0"/>
          <w:numId w:val="1"/>
        </w:numPr>
      </w:pPr>
      <w:r>
        <w:t xml:space="preserve">Ensure </w:t>
      </w:r>
      <w:r w:rsidR="00137E55">
        <w:t xml:space="preserve">students </w:t>
      </w:r>
      <w:r w:rsidR="00D27DA6">
        <w:t xml:space="preserve">know </w:t>
      </w:r>
      <w:r w:rsidR="00137E55">
        <w:t xml:space="preserve">what </w:t>
      </w:r>
      <w:r w:rsidR="00EA2C4B">
        <w:t xml:space="preserve">kind of </w:t>
      </w:r>
      <w:r w:rsidR="00FB3113">
        <w:t xml:space="preserve">feedback they will get and when. </w:t>
      </w:r>
      <w:r w:rsidR="00417F9D">
        <w:t xml:space="preserve">Feedback is timely when </w:t>
      </w:r>
      <w:r w:rsidR="00666424">
        <w:t>students</w:t>
      </w:r>
      <w:r w:rsidR="00417F9D">
        <w:t xml:space="preserve"> receive it </w:t>
      </w:r>
      <w:r w:rsidR="00666424">
        <w:t>before they move on to their next assignment.</w:t>
      </w:r>
    </w:p>
    <w:p w14:paraId="485312A1" w14:textId="60C62424" w:rsidR="00FB3113" w:rsidRDefault="00FB3113" w:rsidP="00A33E77">
      <w:pPr>
        <w:pStyle w:val="ListParagraph"/>
        <w:numPr>
          <w:ilvl w:val="0"/>
          <w:numId w:val="1"/>
        </w:numPr>
      </w:pPr>
      <w:r>
        <w:t>U</w:t>
      </w:r>
      <w:r w:rsidR="003B4148">
        <w:t xml:space="preserve">se a </w:t>
      </w:r>
      <w:r w:rsidR="00C5054B">
        <w:t>proforma to</w:t>
      </w:r>
      <w:r w:rsidR="003B4148">
        <w:t xml:space="preserve"> help</w:t>
      </w:r>
      <w:r w:rsidR="00EA2C4B">
        <w:t xml:space="preserve"> staff give quick, structured, </w:t>
      </w:r>
      <w:r w:rsidR="003B4148">
        <w:t xml:space="preserve">good quality feedback with suggestions for improvement. </w:t>
      </w:r>
      <w:r w:rsidR="0088672A">
        <w:t xml:space="preserve"> (The </w:t>
      </w:r>
      <w:r w:rsidR="00A33E77" w:rsidRPr="00A33E77">
        <w:t>Centre for Advanc</w:t>
      </w:r>
      <w:r w:rsidR="00A33E77">
        <w:t>ing Learning and Teaching</w:t>
      </w:r>
      <w:r w:rsidR="0088672A">
        <w:t>, CALT</w:t>
      </w:r>
      <w:r w:rsidR="00C5054B">
        <w:t xml:space="preserve">, can give guidance). </w:t>
      </w:r>
    </w:p>
    <w:p w14:paraId="35FE8E98" w14:textId="77777777" w:rsidR="00FB3113" w:rsidRDefault="00742DBD" w:rsidP="00F972C8">
      <w:pPr>
        <w:pStyle w:val="ListParagraph"/>
        <w:numPr>
          <w:ilvl w:val="0"/>
          <w:numId w:val="1"/>
        </w:numPr>
      </w:pPr>
      <w:r>
        <w:t xml:space="preserve">Encourage lecturers to give brief oral feedback to the group in a lecture or seminar on </w:t>
      </w:r>
      <w:r w:rsidR="00F972C8">
        <w:t>strengths and</w:t>
      </w:r>
      <w:r>
        <w:t xml:space="preserve"> common errors and supplement with generic group feedback in writing via Moodle or email; </w:t>
      </w:r>
      <w:r w:rsidR="002B31D5">
        <w:t>this</w:t>
      </w:r>
      <w:r>
        <w:t xml:space="preserve"> can </w:t>
      </w:r>
      <w:r w:rsidR="002B31D5">
        <w:t xml:space="preserve">be </w:t>
      </w:r>
      <w:r>
        <w:t>do</w:t>
      </w:r>
      <w:r w:rsidR="002B31D5">
        <w:t>ne</w:t>
      </w:r>
      <w:r>
        <w:t xml:space="preserve"> after </w:t>
      </w:r>
      <w:r w:rsidR="002B31D5">
        <w:t>skimming</w:t>
      </w:r>
      <w:r>
        <w:t xml:space="preserve"> around 20 </w:t>
      </w:r>
      <w:r w:rsidR="00FC1D3D">
        <w:t xml:space="preserve">assignments. </w:t>
      </w:r>
    </w:p>
    <w:p w14:paraId="01B12A79" w14:textId="77777777" w:rsidR="003B4148" w:rsidRDefault="00462680" w:rsidP="00EA2C4B">
      <w:pPr>
        <w:pStyle w:val="ListParagraph"/>
        <w:numPr>
          <w:ilvl w:val="0"/>
          <w:numId w:val="1"/>
        </w:numPr>
      </w:pPr>
      <w:r>
        <w:t xml:space="preserve">Involve </w:t>
      </w:r>
      <w:r w:rsidR="00FB3113">
        <w:t>students</w:t>
      </w:r>
      <w:r>
        <w:t xml:space="preserve"> in giving feedback </w:t>
      </w:r>
      <w:r w:rsidR="00FB3113">
        <w:t>through</w:t>
      </w:r>
      <w:r>
        <w:t xml:space="preserve"> formative peer review (</w:t>
      </w:r>
      <w:r w:rsidR="00FB3113">
        <w:t xml:space="preserve">see </w:t>
      </w:r>
      <w:r w:rsidR="00EA2C4B">
        <w:t>Richard Milne’s work</w:t>
      </w:r>
      <w:r w:rsidR="00D27DA6">
        <w:t xml:space="preserve"> </w:t>
      </w:r>
      <w:hyperlink r:id="rId11" w:history="1">
        <w:r w:rsidR="00FB3113" w:rsidRPr="001E7DFA">
          <w:rPr>
            <w:rStyle w:val="Hyperlink"/>
          </w:rPr>
          <w:t>https://www.ucl.ac.uk/teaching-learning/case-studies-news/assessment-feedback/peer-review-of-virology-essays</w:t>
        </w:r>
      </w:hyperlink>
      <w:r w:rsidR="00FB3113">
        <w:t xml:space="preserve"> ).</w:t>
      </w:r>
    </w:p>
    <w:p w14:paraId="04B721DA" w14:textId="77777777" w:rsidR="00D27DA6" w:rsidRDefault="00D27DA6" w:rsidP="00D27DA6">
      <w:pPr>
        <w:pStyle w:val="ListParagraph"/>
        <w:numPr>
          <w:ilvl w:val="0"/>
          <w:numId w:val="1"/>
        </w:numPr>
      </w:pPr>
      <w:r>
        <w:t>Develop a database of feedback comments to assist quicker and more consistent marking (see</w:t>
      </w:r>
      <w:r w:rsidR="00EA2C4B">
        <w:t xml:space="preserve"> </w:t>
      </w:r>
      <w:proofErr w:type="spellStart"/>
      <w:r w:rsidR="00EA2C4B" w:rsidRPr="00EA2C4B">
        <w:rPr>
          <w:rStyle w:val="Strong"/>
          <w:b w:val="0"/>
          <w:bCs w:val="0"/>
        </w:rPr>
        <w:t>Daven</w:t>
      </w:r>
      <w:proofErr w:type="spellEnd"/>
      <w:r w:rsidR="00EA2C4B" w:rsidRPr="00EA2C4B">
        <w:rPr>
          <w:rStyle w:val="Strong"/>
          <w:b w:val="0"/>
          <w:bCs w:val="0"/>
        </w:rPr>
        <w:t xml:space="preserve"> </w:t>
      </w:r>
      <w:proofErr w:type="spellStart"/>
      <w:r w:rsidR="00EA2C4B" w:rsidRPr="00EA2C4B">
        <w:rPr>
          <w:rStyle w:val="Strong"/>
          <w:b w:val="0"/>
          <w:bCs w:val="0"/>
        </w:rPr>
        <w:t>Armoogum’s</w:t>
      </w:r>
      <w:proofErr w:type="spellEnd"/>
      <w:r w:rsidR="00EA2C4B" w:rsidRPr="00EA2C4B">
        <w:rPr>
          <w:rStyle w:val="Strong"/>
          <w:b w:val="0"/>
          <w:bCs w:val="0"/>
        </w:rPr>
        <w:t xml:space="preserve"> </w:t>
      </w:r>
      <w:proofErr w:type="gramStart"/>
      <w:r w:rsidR="00EA2C4B" w:rsidRPr="00EA2C4B">
        <w:rPr>
          <w:rStyle w:val="Strong"/>
          <w:b w:val="0"/>
          <w:bCs w:val="0"/>
        </w:rPr>
        <w:t>work</w:t>
      </w:r>
      <w:r w:rsidR="00EA2C4B">
        <w:rPr>
          <w:rStyle w:val="Strong"/>
        </w:rPr>
        <w:t xml:space="preserve"> </w:t>
      </w:r>
      <w:r>
        <w:t xml:space="preserve"> </w:t>
      </w:r>
      <w:proofErr w:type="gramEnd"/>
      <w:hyperlink r:id="rId12" w:history="1">
        <w:r w:rsidRPr="001E7DFA">
          <w:rPr>
            <w:rStyle w:val="Hyperlink"/>
          </w:rPr>
          <w:t>https://www.ucl.ac.uk/teaching-learning/case-studies-news/assessment-feedback/daven-armoogum-feedback-assessment-innovation</w:t>
        </w:r>
      </w:hyperlink>
      <w:r>
        <w:t xml:space="preserve"> )</w:t>
      </w:r>
      <w:r w:rsidR="008A439C">
        <w:t>.</w:t>
      </w:r>
    </w:p>
    <w:p w14:paraId="009A5D07" w14:textId="77777777" w:rsidR="00FB3113" w:rsidRDefault="00FB3113" w:rsidP="003D5328">
      <w:pPr>
        <w:pStyle w:val="Heading3"/>
      </w:pPr>
      <w:r>
        <w:t xml:space="preserve">Principles </w:t>
      </w:r>
      <w:r w:rsidR="00CE77DF">
        <w:t xml:space="preserve">9 and 10 </w:t>
      </w:r>
      <w:r>
        <w:t>F</w:t>
      </w:r>
      <w:r w:rsidR="00CE77DF">
        <w:t xml:space="preserve">ormative </w:t>
      </w:r>
      <w:r>
        <w:t>A</w:t>
      </w:r>
      <w:r w:rsidR="00CE77DF">
        <w:t>ssessment</w:t>
      </w:r>
      <w:r>
        <w:t xml:space="preserve"> and Feedback and Self-reflection and Peer Learning</w:t>
      </w:r>
    </w:p>
    <w:p w14:paraId="3CEF7BD3" w14:textId="77911F6C" w:rsidR="00FB3113" w:rsidRPr="003D5328" w:rsidRDefault="00C24C8F" w:rsidP="00FB3113">
      <w:pPr>
        <w:pStyle w:val="ListParagraph"/>
        <w:numPr>
          <w:ilvl w:val="0"/>
          <w:numId w:val="1"/>
        </w:numPr>
      </w:pPr>
      <w:r w:rsidRPr="003D5328">
        <w:t>Too much summative</w:t>
      </w:r>
      <w:r w:rsidR="00CE77DF" w:rsidRPr="003D5328">
        <w:t xml:space="preserve"> assessment burdens staff and students</w:t>
      </w:r>
      <w:r w:rsidR="00FB3113" w:rsidRPr="003D5328">
        <w:t xml:space="preserve">. </w:t>
      </w:r>
      <w:r w:rsidRPr="003D5328">
        <w:t xml:space="preserve">Using </w:t>
      </w:r>
      <w:r w:rsidR="00FB3113" w:rsidRPr="003D5328">
        <w:t xml:space="preserve">Transforming the Experience of Students </w:t>
      </w:r>
      <w:r w:rsidR="00D27DA6" w:rsidRPr="003D5328">
        <w:t>through</w:t>
      </w:r>
      <w:r w:rsidR="00FB3113" w:rsidRPr="003D5328">
        <w:t xml:space="preserve"> Assessment, TESTA (</w:t>
      </w:r>
      <w:hyperlink r:id="rId13" w:history="1">
        <w:r w:rsidR="00FB3113" w:rsidRPr="003D5328">
          <w:rPr>
            <w:rStyle w:val="Hyperlink"/>
            <w:color w:val="auto"/>
          </w:rPr>
          <w:t>www.testa.ac.uk</w:t>
        </w:r>
      </w:hyperlink>
      <w:r w:rsidRPr="003D5328">
        <w:t xml:space="preserve"> ), will help</w:t>
      </w:r>
      <w:r w:rsidR="00FB3113" w:rsidRPr="003D5328">
        <w:t xml:space="preserve"> identify and address over-assessment.</w:t>
      </w:r>
      <w:r w:rsidR="00831D7E" w:rsidRPr="003D5328">
        <w:t xml:space="preserve"> For help with TESTA, contact CALT.</w:t>
      </w:r>
    </w:p>
    <w:p w14:paraId="4A6E1144" w14:textId="77777777" w:rsidR="00CE77DF" w:rsidRDefault="00CE77DF" w:rsidP="00666424">
      <w:pPr>
        <w:pStyle w:val="ListParagraph"/>
        <w:numPr>
          <w:ilvl w:val="0"/>
          <w:numId w:val="2"/>
        </w:numPr>
      </w:pPr>
      <w:r>
        <w:t xml:space="preserve">More </w:t>
      </w:r>
      <w:r w:rsidR="00666424">
        <w:t>formative tasks, which do not contribute to final marks, enhance learning. S</w:t>
      </w:r>
      <w:r w:rsidR="00EA2C4B">
        <w:t>tudents</w:t>
      </w:r>
      <w:r w:rsidR="00666424">
        <w:t xml:space="preserve"> can help design formative tasks, self</w:t>
      </w:r>
      <w:r w:rsidR="00FB3113">
        <w:t xml:space="preserve">-assess </w:t>
      </w:r>
      <w:r w:rsidR="00FC1D3D">
        <w:t>and review</w:t>
      </w:r>
      <w:r w:rsidR="00666424">
        <w:t xml:space="preserve"> their peers’ work. These activities</w:t>
      </w:r>
      <w:r w:rsidR="00D27DA6">
        <w:t xml:space="preserve"> </w:t>
      </w:r>
      <w:r w:rsidR="00D27DA6">
        <w:lastRenderedPageBreak/>
        <w:t xml:space="preserve">help </w:t>
      </w:r>
      <w:r w:rsidR="002666D2">
        <w:t>develop assessment</w:t>
      </w:r>
      <w:r>
        <w:t xml:space="preserve"> literacy</w:t>
      </w:r>
      <w:r w:rsidR="00D27DA6">
        <w:t xml:space="preserve">. When </w:t>
      </w:r>
      <w:r w:rsidR="002666D2">
        <w:t>students</w:t>
      </w:r>
      <w:r w:rsidR="00D27DA6">
        <w:t xml:space="preserve"> are clear about assessment standards and </w:t>
      </w:r>
      <w:r w:rsidR="002666D2">
        <w:t>expectations</w:t>
      </w:r>
      <w:r w:rsidR="00D27DA6">
        <w:t xml:space="preserve"> they are better able to assess their peers’ and their own work and </w:t>
      </w:r>
      <w:r w:rsidR="00EA2C4B">
        <w:t>advise o</w:t>
      </w:r>
      <w:r w:rsidR="002666D2">
        <w:t xml:space="preserve">n ways of improving </w:t>
      </w:r>
      <w:r w:rsidR="00666424">
        <w:t>(see</w:t>
      </w:r>
      <w:r w:rsidR="002666D2">
        <w:t xml:space="preserve"> </w:t>
      </w:r>
      <w:r w:rsidR="00EA2C4B">
        <w:t>Richard Milne’s work</w:t>
      </w:r>
      <w:r>
        <w:t xml:space="preserve"> </w:t>
      </w:r>
      <w:hyperlink r:id="rId14" w:history="1">
        <w:r w:rsidR="002666D2" w:rsidRPr="001E7DFA">
          <w:rPr>
            <w:rStyle w:val="Hyperlink"/>
          </w:rPr>
          <w:t>https://www.ucl.ac.uk/teaching-learning/case-studies-news/assessment-feedback/peer-review-of-virology-essays</w:t>
        </w:r>
      </w:hyperlink>
      <w:r w:rsidR="002666D2">
        <w:t xml:space="preserve"> ).</w:t>
      </w:r>
      <w:r w:rsidR="001063AE">
        <w:t xml:space="preserve"> </w:t>
      </w:r>
    </w:p>
    <w:p w14:paraId="154E3AA1" w14:textId="77777777" w:rsidR="00DF4610" w:rsidRDefault="00DF4610" w:rsidP="003D5328">
      <w:pPr>
        <w:ind w:left="720"/>
      </w:pPr>
    </w:p>
    <w:p w14:paraId="42A9E0F2" w14:textId="2C6570BD" w:rsidR="00931DA9" w:rsidRPr="00931DA9" w:rsidRDefault="00DF4610" w:rsidP="00A33E77">
      <w:pPr>
        <w:rPr>
          <w:b/>
          <w:bCs/>
        </w:rPr>
      </w:pPr>
      <w:r w:rsidRPr="00931DA9">
        <w:rPr>
          <w:b/>
          <w:bCs/>
        </w:rPr>
        <w:t xml:space="preserve">For help with using the NUS Assessment and Feedback Benchmarking Tool or </w:t>
      </w:r>
      <w:r>
        <w:rPr>
          <w:b/>
          <w:bCs/>
        </w:rPr>
        <w:t>to discuss changes to assessment and feedback</w:t>
      </w:r>
      <w:r w:rsidRPr="00931DA9">
        <w:rPr>
          <w:b/>
          <w:bCs/>
        </w:rPr>
        <w:t xml:space="preserve">, contact </w:t>
      </w:r>
      <w:r w:rsidR="003D5328">
        <w:rPr>
          <w:b/>
          <w:bCs/>
        </w:rPr>
        <w:t xml:space="preserve">the </w:t>
      </w:r>
      <w:r w:rsidR="00A33E77" w:rsidRPr="00C5054B">
        <w:rPr>
          <w:b/>
          <w:bCs/>
        </w:rPr>
        <w:t>Centre for Advancing Learning and Teaching (CALT)</w:t>
      </w:r>
      <w:r w:rsidR="00C5054B">
        <w:rPr>
          <w:b/>
          <w:bCs/>
        </w:rPr>
        <w:t xml:space="preserve"> </w:t>
      </w:r>
      <w:hyperlink r:id="rId15" w:history="1">
        <w:r w:rsidRPr="00931DA9">
          <w:rPr>
            <w:rStyle w:val="Hyperlink"/>
            <w:b/>
            <w:bCs/>
          </w:rPr>
          <w:t>http://www.ucl.ac.uk/teaching-learning/support/CALT</w:t>
        </w:r>
      </w:hyperlink>
    </w:p>
    <w:sectPr w:rsidR="00931DA9" w:rsidRPr="00931DA9" w:rsidSect="003D5328">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212AD" w14:textId="77777777" w:rsidR="002E1719" w:rsidRDefault="002E1719" w:rsidP="001063AE">
      <w:pPr>
        <w:spacing w:after="0" w:line="240" w:lineRule="auto"/>
      </w:pPr>
      <w:r>
        <w:separator/>
      </w:r>
    </w:p>
  </w:endnote>
  <w:endnote w:type="continuationSeparator" w:id="0">
    <w:p w14:paraId="492CF8F6" w14:textId="77777777" w:rsidR="002E1719" w:rsidRDefault="002E1719" w:rsidP="0010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789D2" w14:textId="77777777" w:rsidR="002E1719" w:rsidRDefault="002E1719" w:rsidP="001063AE">
      <w:pPr>
        <w:spacing w:after="0" w:line="240" w:lineRule="auto"/>
      </w:pPr>
      <w:r>
        <w:separator/>
      </w:r>
    </w:p>
  </w:footnote>
  <w:footnote w:type="continuationSeparator" w:id="0">
    <w:p w14:paraId="68F55ECE" w14:textId="77777777" w:rsidR="002E1719" w:rsidRDefault="002E1719" w:rsidP="00106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2E1719" w14:paraId="4C170BFC" w14:textId="77777777">
      <w:sdt>
        <w:sdtPr>
          <w:rPr>
            <w:color w:val="FFFFFF" w:themeColor="background1"/>
          </w:rPr>
          <w:alias w:val="Date"/>
          <w:id w:val="77625188"/>
          <w:placeholder>
            <w:docPart w:val="CA597A5D073F4F539C36DFE2FFA9998F"/>
          </w:placeholder>
          <w:dataBinding w:prefixMappings="xmlns:ns0='http://schemas.microsoft.com/office/2006/coverPageProps'" w:xpath="/ns0:CoverPageProperties[1]/ns0:PublishDate[1]" w:storeItemID="{55AF091B-3C7A-41E3-B477-F2FDAA23CFDA}"/>
          <w:date w:fullDate="2015-09-1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0C813842" w14:textId="77777777" w:rsidR="002E1719" w:rsidRDefault="002E1719">
              <w:pPr>
                <w:pStyle w:val="Header"/>
                <w:jc w:val="right"/>
                <w:rPr>
                  <w:color w:val="FFFFFF" w:themeColor="background1"/>
                </w:rPr>
              </w:pPr>
              <w:r>
                <w:rPr>
                  <w:color w:val="FFFFFF" w:themeColor="background1"/>
                  <w:lang w:val="en-US"/>
                </w:rPr>
                <w:t>September 10, 2015</w:t>
              </w:r>
            </w:p>
          </w:tc>
        </w:sdtContent>
      </w:sdt>
      <w:tc>
        <w:tcPr>
          <w:tcW w:w="4000" w:type="pct"/>
          <w:tcBorders>
            <w:bottom w:val="single" w:sz="4" w:space="0" w:color="auto"/>
          </w:tcBorders>
          <w:vAlign w:val="bottom"/>
        </w:tcPr>
        <w:p w14:paraId="5457EC74" w14:textId="77777777" w:rsidR="002E1719" w:rsidRDefault="002E1719" w:rsidP="001063AE">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A2D00CFDD7424E59881EE3011E147D8F"/>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rPr>
                <w:t>NUS benchmarking tool guidance. T Mcconlogue</w:t>
              </w:r>
            </w:sdtContent>
          </w:sdt>
          <w:r>
            <w:rPr>
              <w:b/>
              <w:bCs/>
              <w:color w:val="76923C" w:themeColor="accent3" w:themeShade="BF"/>
              <w:sz w:val="24"/>
            </w:rPr>
            <w:t>]</w:t>
          </w:r>
        </w:p>
      </w:tc>
    </w:tr>
  </w:tbl>
  <w:p w14:paraId="2B33A754" w14:textId="77777777" w:rsidR="002E1719" w:rsidRDefault="002E17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D5B49"/>
    <w:multiLevelType w:val="hybridMultilevel"/>
    <w:tmpl w:val="67443394"/>
    <w:lvl w:ilvl="0" w:tplc="08090001">
      <w:start w:val="1"/>
      <w:numFmt w:val="bullet"/>
      <w:lvlText w:val=""/>
      <w:lvlJc w:val="left"/>
      <w:pPr>
        <w:ind w:left="720" w:hanging="360"/>
      </w:pPr>
      <w:rPr>
        <w:rFonts w:ascii="Symbol" w:hAnsi="Symbol" w:hint="default"/>
      </w:rPr>
    </w:lvl>
    <w:lvl w:ilvl="1" w:tplc="AE7430FE">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D803C3"/>
    <w:multiLevelType w:val="hybridMultilevel"/>
    <w:tmpl w:val="0A026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8506D3"/>
    <w:multiLevelType w:val="multilevel"/>
    <w:tmpl w:val="05F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48"/>
    <w:rsid w:val="0001291B"/>
    <w:rsid w:val="0001771E"/>
    <w:rsid w:val="0002165A"/>
    <w:rsid w:val="000400B2"/>
    <w:rsid w:val="00051867"/>
    <w:rsid w:val="0005258E"/>
    <w:rsid w:val="000B0CA3"/>
    <w:rsid w:val="000B658B"/>
    <w:rsid w:val="000D298C"/>
    <w:rsid w:val="000D6CB2"/>
    <w:rsid w:val="000F1716"/>
    <w:rsid w:val="000F4FFB"/>
    <w:rsid w:val="001063AE"/>
    <w:rsid w:val="00125189"/>
    <w:rsid w:val="00137E55"/>
    <w:rsid w:val="001600BD"/>
    <w:rsid w:val="00162019"/>
    <w:rsid w:val="0016528E"/>
    <w:rsid w:val="001911C1"/>
    <w:rsid w:val="00192958"/>
    <w:rsid w:val="001E7F42"/>
    <w:rsid w:val="001F70ED"/>
    <w:rsid w:val="001F78C1"/>
    <w:rsid w:val="0020560E"/>
    <w:rsid w:val="0022509E"/>
    <w:rsid w:val="00244102"/>
    <w:rsid w:val="00255032"/>
    <w:rsid w:val="002666D2"/>
    <w:rsid w:val="002A7029"/>
    <w:rsid w:val="002B2952"/>
    <w:rsid w:val="002B31D5"/>
    <w:rsid w:val="002B4124"/>
    <w:rsid w:val="002C1F22"/>
    <w:rsid w:val="002C2FD6"/>
    <w:rsid w:val="002C46BA"/>
    <w:rsid w:val="002D201B"/>
    <w:rsid w:val="002E1719"/>
    <w:rsid w:val="002E1759"/>
    <w:rsid w:val="00304AF9"/>
    <w:rsid w:val="003303F9"/>
    <w:rsid w:val="00334B61"/>
    <w:rsid w:val="0034677B"/>
    <w:rsid w:val="00357938"/>
    <w:rsid w:val="00383ED1"/>
    <w:rsid w:val="00384FF1"/>
    <w:rsid w:val="003B4148"/>
    <w:rsid w:val="003D5328"/>
    <w:rsid w:val="003F29BF"/>
    <w:rsid w:val="00417F9D"/>
    <w:rsid w:val="004319B1"/>
    <w:rsid w:val="0044536D"/>
    <w:rsid w:val="0045566F"/>
    <w:rsid w:val="00462680"/>
    <w:rsid w:val="004674CD"/>
    <w:rsid w:val="00483A47"/>
    <w:rsid w:val="004C60CF"/>
    <w:rsid w:val="004D2990"/>
    <w:rsid w:val="004F0534"/>
    <w:rsid w:val="005207BB"/>
    <w:rsid w:val="005432D3"/>
    <w:rsid w:val="00545D4F"/>
    <w:rsid w:val="00555521"/>
    <w:rsid w:val="00556A7D"/>
    <w:rsid w:val="005702FA"/>
    <w:rsid w:val="00580F33"/>
    <w:rsid w:val="005946CC"/>
    <w:rsid w:val="005A1D0A"/>
    <w:rsid w:val="005B77A1"/>
    <w:rsid w:val="005C43A3"/>
    <w:rsid w:val="005E4F61"/>
    <w:rsid w:val="006029FC"/>
    <w:rsid w:val="00630823"/>
    <w:rsid w:val="006505CB"/>
    <w:rsid w:val="00652B6C"/>
    <w:rsid w:val="00666424"/>
    <w:rsid w:val="00691751"/>
    <w:rsid w:val="0069447F"/>
    <w:rsid w:val="0069676C"/>
    <w:rsid w:val="006A572C"/>
    <w:rsid w:val="006C5443"/>
    <w:rsid w:val="006D7D72"/>
    <w:rsid w:val="006E7CEB"/>
    <w:rsid w:val="007343BC"/>
    <w:rsid w:val="0074207D"/>
    <w:rsid w:val="00742DBD"/>
    <w:rsid w:val="00746810"/>
    <w:rsid w:val="007630AC"/>
    <w:rsid w:val="00771429"/>
    <w:rsid w:val="007818C6"/>
    <w:rsid w:val="0078778E"/>
    <w:rsid w:val="007A00EF"/>
    <w:rsid w:val="007A2073"/>
    <w:rsid w:val="007B002D"/>
    <w:rsid w:val="007B2D86"/>
    <w:rsid w:val="007B7E61"/>
    <w:rsid w:val="007F1DA8"/>
    <w:rsid w:val="0081062C"/>
    <w:rsid w:val="00831D7E"/>
    <w:rsid w:val="0084290E"/>
    <w:rsid w:val="0085167E"/>
    <w:rsid w:val="0085273E"/>
    <w:rsid w:val="00854904"/>
    <w:rsid w:val="0086188D"/>
    <w:rsid w:val="00862F8D"/>
    <w:rsid w:val="0088672A"/>
    <w:rsid w:val="00894136"/>
    <w:rsid w:val="008A439C"/>
    <w:rsid w:val="00931DA9"/>
    <w:rsid w:val="00962C34"/>
    <w:rsid w:val="009675FE"/>
    <w:rsid w:val="00997F29"/>
    <w:rsid w:val="00A27D6D"/>
    <w:rsid w:val="00A33E77"/>
    <w:rsid w:val="00A80790"/>
    <w:rsid w:val="00A96140"/>
    <w:rsid w:val="00A96FCD"/>
    <w:rsid w:val="00AC0E76"/>
    <w:rsid w:val="00AC4F00"/>
    <w:rsid w:val="00AC551B"/>
    <w:rsid w:val="00B03F90"/>
    <w:rsid w:val="00B11128"/>
    <w:rsid w:val="00B17468"/>
    <w:rsid w:val="00B31A62"/>
    <w:rsid w:val="00B36798"/>
    <w:rsid w:val="00B81A8C"/>
    <w:rsid w:val="00B94F9F"/>
    <w:rsid w:val="00B97330"/>
    <w:rsid w:val="00BF64FD"/>
    <w:rsid w:val="00C02B66"/>
    <w:rsid w:val="00C05EE6"/>
    <w:rsid w:val="00C24C8F"/>
    <w:rsid w:val="00C26AFF"/>
    <w:rsid w:val="00C30770"/>
    <w:rsid w:val="00C313BC"/>
    <w:rsid w:val="00C5054B"/>
    <w:rsid w:val="00C81B20"/>
    <w:rsid w:val="00C9046D"/>
    <w:rsid w:val="00CB512E"/>
    <w:rsid w:val="00CC5A7C"/>
    <w:rsid w:val="00CE77DF"/>
    <w:rsid w:val="00CF18D7"/>
    <w:rsid w:val="00CF67F4"/>
    <w:rsid w:val="00D27DA6"/>
    <w:rsid w:val="00D3528C"/>
    <w:rsid w:val="00D75407"/>
    <w:rsid w:val="00D757E3"/>
    <w:rsid w:val="00D85BF3"/>
    <w:rsid w:val="00D950BA"/>
    <w:rsid w:val="00DA2BE3"/>
    <w:rsid w:val="00DC5CA7"/>
    <w:rsid w:val="00DF4610"/>
    <w:rsid w:val="00E520B9"/>
    <w:rsid w:val="00EA2C4B"/>
    <w:rsid w:val="00EB291B"/>
    <w:rsid w:val="00EF5469"/>
    <w:rsid w:val="00F06FDA"/>
    <w:rsid w:val="00F100C5"/>
    <w:rsid w:val="00F1072B"/>
    <w:rsid w:val="00F13749"/>
    <w:rsid w:val="00F1516F"/>
    <w:rsid w:val="00F2100F"/>
    <w:rsid w:val="00F246A1"/>
    <w:rsid w:val="00F25848"/>
    <w:rsid w:val="00F258F1"/>
    <w:rsid w:val="00F25D49"/>
    <w:rsid w:val="00F34504"/>
    <w:rsid w:val="00F37A70"/>
    <w:rsid w:val="00F744A0"/>
    <w:rsid w:val="00F9135E"/>
    <w:rsid w:val="00F972C8"/>
    <w:rsid w:val="00FA54A5"/>
    <w:rsid w:val="00FA5D3B"/>
    <w:rsid w:val="00FB3113"/>
    <w:rsid w:val="00FC1D3D"/>
    <w:rsid w:val="00FD6256"/>
    <w:rsid w:val="00FF14B8"/>
    <w:rsid w:val="00FF5714"/>
    <w:rsid w:val="00FF74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0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0EF"/>
    <w:pPr>
      <w:ind w:left="720"/>
      <w:contextualSpacing/>
    </w:pPr>
  </w:style>
  <w:style w:type="character" w:customStyle="1" w:styleId="Heading1Char">
    <w:name w:val="Heading 1 Char"/>
    <w:basedOn w:val="DefaultParagraphFont"/>
    <w:link w:val="Heading1"/>
    <w:uiPriority w:val="9"/>
    <w:rsid w:val="007A00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0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A0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0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2680"/>
    <w:rPr>
      <w:color w:val="0000FF" w:themeColor="hyperlink"/>
      <w:u w:val="single"/>
    </w:rPr>
  </w:style>
  <w:style w:type="paragraph" w:styleId="BalloonText">
    <w:name w:val="Balloon Text"/>
    <w:basedOn w:val="Normal"/>
    <w:link w:val="BalloonTextChar"/>
    <w:uiPriority w:val="99"/>
    <w:semiHidden/>
    <w:unhideWhenUsed/>
    <w:rsid w:val="0010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AE"/>
    <w:rPr>
      <w:rFonts w:ascii="Tahoma" w:hAnsi="Tahoma" w:cs="Tahoma"/>
      <w:sz w:val="16"/>
      <w:szCs w:val="16"/>
    </w:rPr>
  </w:style>
  <w:style w:type="paragraph" w:styleId="Header">
    <w:name w:val="header"/>
    <w:basedOn w:val="Normal"/>
    <w:link w:val="HeaderChar"/>
    <w:uiPriority w:val="99"/>
    <w:unhideWhenUsed/>
    <w:rsid w:val="0010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AE"/>
  </w:style>
  <w:style w:type="paragraph" w:styleId="Footer">
    <w:name w:val="footer"/>
    <w:basedOn w:val="Normal"/>
    <w:link w:val="FooterChar"/>
    <w:uiPriority w:val="99"/>
    <w:unhideWhenUsed/>
    <w:rsid w:val="0010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AE"/>
  </w:style>
  <w:style w:type="character" w:styleId="FollowedHyperlink">
    <w:name w:val="FollowedHyperlink"/>
    <w:basedOn w:val="DefaultParagraphFont"/>
    <w:uiPriority w:val="99"/>
    <w:semiHidden/>
    <w:unhideWhenUsed/>
    <w:rsid w:val="00EA2C4B"/>
    <w:rPr>
      <w:color w:val="800080" w:themeColor="followedHyperlink"/>
      <w:u w:val="single"/>
    </w:rPr>
  </w:style>
  <w:style w:type="character" w:styleId="Strong">
    <w:name w:val="Strong"/>
    <w:basedOn w:val="DefaultParagraphFont"/>
    <w:uiPriority w:val="22"/>
    <w:qFormat/>
    <w:rsid w:val="00EA2C4B"/>
    <w:rPr>
      <w:b/>
      <w:bCs/>
    </w:rPr>
  </w:style>
  <w:style w:type="character" w:customStyle="1" w:styleId="Heading3Char">
    <w:name w:val="Heading 3 Char"/>
    <w:basedOn w:val="DefaultParagraphFont"/>
    <w:link w:val="Heading3"/>
    <w:uiPriority w:val="9"/>
    <w:rsid w:val="00CF18D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0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0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8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0EF"/>
    <w:pPr>
      <w:ind w:left="720"/>
      <w:contextualSpacing/>
    </w:pPr>
  </w:style>
  <w:style w:type="character" w:customStyle="1" w:styleId="Heading1Char">
    <w:name w:val="Heading 1 Char"/>
    <w:basedOn w:val="DefaultParagraphFont"/>
    <w:link w:val="Heading1"/>
    <w:uiPriority w:val="9"/>
    <w:rsid w:val="007A00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00E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A00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0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62680"/>
    <w:rPr>
      <w:color w:val="0000FF" w:themeColor="hyperlink"/>
      <w:u w:val="single"/>
    </w:rPr>
  </w:style>
  <w:style w:type="paragraph" w:styleId="BalloonText">
    <w:name w:val="Balloon Text"/>
    <w:basedOn w:val="Normal"/>
    <w:link w:val="BalloonTextChar"/>
    <w:uiPriority w:val="99"/>
    <w:semiHidden/>
    <w:unhideWhenUsed/>
    <w:rsid w:val="00106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AE"/>
    <w:rPr>
      <w:rFonts w:ascii="Tahoma" w:hAnsi="Tahoma" w:cs="Tahoma"/>
      <w:sz w:val="16"/>
      <w:szCs w:val="16"/>
    </w:rPr>
  </w:style>
  <w:style w:type="paragraph" w:styleId="Header">
    <w:name w:val="header"/>
    <w:basedOn w:val="Normal"/>
    <w:link w:val="HeaderChar"/>
    <w:uiPriority w:val="99"/>
    <w:unhideWhenUsed/>
    <w:rsid w:val="0010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3AE"/>
  </w:style>
  <w:style w:type="paragraph" w:styleId="Footer">
    <w:name w:val="footer"/>
    <w:basedOn w:val="Normal"/>
    <w:link w:val="FooterChar"/>
    <w:uiPriority w:val="99"/>
    <w:unhideWhenUsed/>
    <w:rsid w:val="0010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3AE"/>
  </w:style>
  <w:style w:type="character" w:styleId="FollowedHyperlink">
    <w:name w:val="FollowedHyperlink"/>
    <w:basedOn w:val="DefaultParagraphFont"/>
    <w:uiPriority w:val="99"/>
    <w:semiHidden/>
    <w:unhideWhenUsed/>
    <w:rsid w:val="00EA2C4B"/>
    <w:rPr>
      <w:color w:val="800080" w:themeColor="followedHyperlink"/>
      <w:u w:val="single"/>
    </w:rPr>
  </w:style>
  <w:style w:type="character" w:styleId="Strong">
    <w:name w:val="Strong"/>
    <w:basedOn w:val="DefaultParagraphFont"/>
    <w:uiPriority w:val="22"/>
    <w:qFormat/>
    <w:rsid w:val="00EA2C4B"/>
    <w:rPr>
      <w:b/>
      <w:bCs/>
    </w:rPr>
  </w:style>
  <w:style w:type="character" w:customStyle="1" w:styleId="Heading3Char">
    <w:name w:val="Heading 3 Char"/>
    <w:basedOn w:val="DefaultParagraphFont"/>
    <w:link w:val="Heading3"/>
    <w:uiPriority w:val="9"/>
    <w:rsid w:val="00CF18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8575">
      <w:bodyDiv w:val="1"/>
      <w:marLeft w:val="0"/>
      <w:marRight w:val="0"/>
      <w:marTop w:val="0"/>
      <w:marBottom w:val="0"/>
      <w:divBdr>
        <w:top w:val="none" w:sz="0" w:space="0" w:color="auto"/>
        <w:left w:val="none" w:sz="0" w:space="0" w:color="auto"/>
        <w:bottom w:val="none" w:sz="0" w:space="0" w:color="auto"/>
        <w:right w:val="none" w:sz="0" w:space="0" w:color="auto"/>
      </w:divBdr>
    </w:div>
    <w:div w:id="782110514">
      <w:bodyDiv w:val="1"/>
      <w:marLeft w:val="0"/>
      <w:marRight w:val="0"/>
      <w:marTop w:val="0"/>
      <w:marBottom w:val="0"/>
      <w:divBdr>
        <w:top w:val="none" w:sz="0" w:space="0" w:color="auto"/>
        <w:left w:val="none" w:sz="0" w:space="0" w:color="auto"/>
        <w:bottom w:val="none" w:sz="0" w:space="0" w:color="auto"/>
        <w:right w:val="none" w:sz="0" w:space="0" w:color="auto"/>
      </w:divBdr>
    </w:div>
    <w:div w:id="1323312811">
      <w:bodyDiv w:val="1"/>
      <w:marLeft w:val="300"/>
      <w:marRight w:val="300"/>
      <w:marTop w:val="0"/>
      <w:marBottom w:val="0"/>
      <w:divBdr>
        <w:top w:val="none" w:sz="0" w:space="0" w:color="auto"/>
        <w:left w:val="none" w:sz="0" w:space="0" w:color="auto"/>
        <w:bottom w:val="none" w:sz="0" w:space="0" w:color="auto"/>
        <w:right w:val="none" w:sz="0" w:space="0" w:color="auto"/>
      </w:divBdr>
      <w:divsChild>
        <w:div w:id="598561723">
          <w:marLeft w:val="0"/>
          <w:marRight w:val="0"/>
          <w:marTop w:val="0"/>
          <w:marBottom w:val="0"/>
          <w:divBdr>
            <w:top w:val="none" w:sz="0" w:space="0" w:color="auto"/>
            <w:left w:val="none" w:sz="0" w:space="0" w:color="auto"/>
            <w:bottom w:val="none" w:sz="0" w:space="0" w:color="auto"/>
            <w:right w:val="none" w:sz="0" w:space="0" w:color="auto"/>
          </w:divBdr>
          <w:divsChild>
            <w:div w:id="1404452025">
              <w:marLeft w:val="0"/>
              <w:marRight w:val="0"/>
              <w:marTop w:val="0"/>
              <w:marBottom w:val="0"/>
              <w:divBdr>
                <w:top w:val="single" w:sz="48" w:space="0" w:color="FFFFFF"/>
                <w:left w:val="none" w:sz="0" w:space="0" w:color="FFFFFF"/>
                <w:bottom w:val="none" w:sz="0" w:space="0" w:color="FFFFFF"/>
                <w:right w:val="none" w:sz="0" w:space="0" w:color="FFFFFF"/>
              </w:divBdr>
              <w:divsChild>
                <w:div w:id="453908404">
                  <w:marLeft w:val="0"/>
                  <w:marRight w:val="0"/>
                  <w:marTop w:val="0"/>
                  <w:marBottom w:val="0"/>
                  <w:divBdr>
                    <w:top w:val="none" w:sz="0" w:space="0" w:color="auto"/>
                    <w:left w:val="none" w:sz="0" w:space="0" w:color="auto"/>
                    <w:bottom w:val="none" w:sz="0" w:space="0" w:color="auto"/>
                    <w:right w:val="none" w:sz="0" w:space="0" w:color="auto"/>
                  </w:divBdr>
                  <w:divsChild>
                    <w:div w:id="841897317">
                      <w:marLeft w:val="0"/>
                      <w:marRight w:val="0"/>
                      <w:marTop w:val="0"/>
                      <w:marBottom w:val="0"/>
                      <w:divBdr>
                        <w:top w:val="none" w:sz="0" w:space="0" w:color="auto"/>
                        <w:left w:val="none" w:sz="0" w:space="0" w:color="auto"/>
                        <w:bottom w:val="none" w:sz="0" w:space="0" w:color="auto"/>
                        <w:right w:val="none" w:sz="0" w:space="0" w:color="auto"/>
                      </w:divBdr>
                      <w:divsChild>
                        <w:div w:id="1991593640">
                          <w:marLeft w:val="0"/>
                          <w:marRight w:val="0"/>
                          <w:marTop w:val="0"/>
                          <w:marBottom w:val="0"/>
                          <w:divBdr>
                            <w:top w:val="none" w:sz="0" w:space="0" w:color="auto"/>
                            <w:left w:val="none" w:sz="0" w:space="0" w:color="auto"/>
                            <w:bottom w:val="none" w:sz="0" w:space="0" w:color="auto"/>
                            <w:right w:val="none" w:sz="0" w:space="0" w:color="auto"/>
                          </w:divBdr>
                          <w:divsChild>
                            <w:div w:id="121460818">
                              <w:marLeft w:val="0"/>
                              <w:marRight w:val="0"/>
                              <w:marTop w:val="0"/>
                              <w:marBottom w:val="0"/>
                              <w:divBdr>
                                <w:top w:val="none" w:sz="0" w:space="0" w:color="auto"/>
                                <w:left w:val="none" w:sz="0" w:space="0" w:color="auto"/>
                                <w:bottom w:val="none" w:sz="0" w:space="0" w:color="auto"/>
                                <w:right w:val="none" w:sz="0" w:space="0" w:color="auto"/>
                              </w:divBdr>
                              <w:divsChild>
                                <w:div w:id="295137992">
                                  <w:marLeft w:val="0"/>
                                  <w:marRight w:val="0"/>
                                  <w:marTop w:val="0"/>
                                  <w:marBottom w:val="0"/>
                                  <w:divBdr>
                                    <w:top w:val="none" w:sz="0" w:space="0" w:color="auto"/>
                                    <w:left w:val="none" w:sz="0" w:space="0" w:color="auto"/>
                                    <w:bottom w:val="none" w:sz="0" w:space="0" w:color="auto"/>
                                    <w:right w:val="none" w:sz="0" w:space="0" w:color="auto"/>
                                  </w:divBdr>
                                  <w:divsChild>
                                    <w:div w:id="1414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774132">
      <w:bodyDiv w:val="1"/>
      <w:marLeft w:val="0"/>
      <w:marRight w:val="0"/>
      <w:marTop w:val="0"/>
      <w:marBottom w:val="0"/>
      <w:divBdr>
        <w:top w:val="none" w:sz="0" w:space="0" w:color="auto"/>
        <w:left w:val="none" w:sz="0" w:space="0" w:color="auto"/>
        <w:bottom w:val="none" w:sz="0" w:space="0" w:color="auto"/>
        <w:right w:val="none" w:sz="0" w:space="0" w:color="auto"/>
      </w:divBdr>
      <w:divsChild>
        <w:div w:id="710229165">
          <w:marLeft w:val="0"/>
          <w:marRight w:val="0"/>
          <w:marTop w:val="0"/>
          <w:marBottom w:val="0"/>
          <w:divBdr>
            <w:top w:val="none" w:sz="0" w:space="0" w:color="auto"/>
            <w:left w:val="none" w:sz="0" w:space="0" w:color="auto"/>
            <w:bottom w:val="none" w:sz="0" w:space="0" w:color="auto"/>
            <w:right w:val="none" w:sz="0" w:space="0" w:color="auto"/>
          </w:divBdr>
        </w:div>
        <w:div w:id="1541937770">
          <w:marLeft w:val="0"/>
          <w:marRight w:val="0"/>
          <w:marTop w:val="0"/>
          <w:marBottom w:val="0"/>
          <w:divBdr>
            <w:top w:val="none" w:sz="0" w:space="0" w:color="auto"/>
            <w:left w:val="none" w:sz="0" w:space="0" w:color="auto"/>
            <w:bottom w:val="none" w:sz="0" w:space="0" w:color="auto"/>
            <w:right w:val="none" w:sz="0" w:space="0" w:color="auto"/>
          </w:divBdr>
        </w:div>
        <w:div w:id="1928995160">
          <w:marLeft w:val="0"/>
          <w:marRight w:val="0"/>
          <w:marTop w:val="0"/>
          <w:marBottom w:val="0"/>
          <w:divBdr>
            <w:top w:val="none" w:sz="0" w:space="0" w:color="auto"/>
            <w:left w:val="none" w:sz="0" w:space="0" w:color="auto"/>
            <w:bottom w:val="none" w:sz="0" w:space="0" w:color="auto"/>
            <w:right w:val="none" w:sz="0" w:space="0" w:color="auto"/>
          </w:divBdr>
        </w:div>
      </w:divsChild>
    </w:div>
    <w:div w:id="1795103082">
      <w:bodyDiv w:val="1"/>
      <w:marLeft w:val="0"/>
      <w:marRight w:val="0"/>
      <w:marTop w:val="0"/>
      <w:marBottom w:val="0"/>
      <w:divBdr>
        <w:top w:val="none" w:sz="0" w:space="0" w:color="auto"/>
        <w:left w:val="none" w:sz="0" w:space="0" w:color="auto"/>
        <w:bottom w:val="none" w:sz="0" w:space="0" w:color="auto"/>
        <w:right w:val="none" w:sz="0" w:space="0" w:color="auto"/>
      </w:divBdr>
      <w:divsChild>
        <w:div w:id="801074303">
          <w:marLeft w:val="0"/>
          <w:marRight w:val="0"/>
          <w:marTop w:val="0"/>
          <w:marBottom w:val="0"/>
          <w:divBdr>
            <w:top w:val="none" w:sz="0" w:space="0" w:color="auto"/>
            <w:left w:val="none" w:sz="0" w:space="0" w:color="auto"/>
            <w:bottom w:val="none" w:sz="0" w:space="0" w:color="auto"/>
            <w:right w:val="none" w:sz="0" w:space="0" w:color="auto"/>
          </w:divBdr>
          <w:divsChild>
            <w:div w:id="564726949">
              <w:marLeft w:val="0"/>
              <w:marRight w:val="0"/>
              <w:marTop w:val="0"/>
              <w:marBottom w:val="0"/>
              <w:divBdr>
                <w:top w:val="none" w:sz="0" w:space="0" w:color="auto"/>
                <w:left w:val="none" w:sz="0" w:space="0" w:color="auto"/>
                <w:bottom w:val="none" w:sz="0" w:space="0" w:color="auto"/>
                <w:right w:val="none" w:sz="0" w:space="0" w:color="auto"/>
              </w:divBdr>
              <w:divsChild>
                <w:div w:id="1522935384">
                  <w:marLeft w:val="0"/>
                  <w:marRight w:val="0"/>
                  <w:marTop w:val="0"/>
                  <w:marBottom w:val="0"/>
                  <w:divBdr>
                    <w:top w:val="none" w:sz="0" w:space="0" w:color="auto"/>
                    <w:left w:val="none" w:sz="0" w:space="0" w:color="auto"/>
                    <w:bottom w:val="none" w:sz="0" w:space="0" w:color="auto"/>
                    <w:right w:val="none" w:sz="0" w:space="0" w:color="auto"/>
                  </w:divBdr>
                  <w:divsChild>
                    <w:div w:id="1601833346">
                      <w:marLeft w:val="0"/>
                      <w:marRight w:val="0"/>
                      <w:marTop w:val="0"/>
                      <w:marBottom w:val="0"/>
                      <w:divBdr>
                        <w:top w:val="none" w:sz="0" w:space="0" w:color="auto"/>
                        <w:left w:val="none" w:sz="0" w:space="0" w:color="auto"/>
                        <w:bottom w:val="none" w:sz="0" w:space="0" w:color="auto"/>
                        <w:right w:val="none" w:sz="0" w:space="0" w:color="auto"/>
                      </w:divBdr>
                      <w:divsChild>
                        <w:div w:id="887492475">
                          <w:marLeft w:val="0"/>
                          <w:marRight w:val="0"/>
                          <w:marTop w:val="0"/>
                          <w:marBottom w:val="0"/>
                          <w:divBdr>
                            <w:top w:val="none" w:sz="0" w:space="0" w:color="auto"/>
                            <w:left w:val="none" w:sz="0" w:space="0" w:color="auto"/>
                            <w:bottom w:val="none" w:sz="0" w:space="0" w:color="auto"/>
                            <w:right w:val="none" w:sz="0" w:space="0" w:color="auto"/>
                          </w:divBdr>
                          <w:divsChild>
                            <w:div w:id="1951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sta.ac.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cl.ac.uk/teaching-learning/case-studies-news/assessment-feedback/daven-armoogum-feedback-assessment-innov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l.ac.uk/teaching-learning/case-studies-news/assessment-feedback/peer-review-of-virology-essays" TargetMode="External"/><Relationship Id="rId5" Type="http://schemas.openxmlformats.org/officeDocument/2006/relationships/settings" Target="settings.xml"/><Relationship Id="rId15" Type="http://schemas.openxmlformats.org/officeDocument/2006/relationships/hyperlink" Target="http://www.ucl.ac.uk/teaching-learning/support/CALT" TargetMode="External"/><Relationship Id="rId10" Type="http://schemas.openxmlformats.org/officeDocument/2006/relationships/hyperlink" Target="http://www.docs.sasg.ed.ac.uk/AcademicServices/Guidance/Moderation_Guidance.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ites.google.com/site/mapmyprogramme/home" TargetMode="External"/><Relationship Id="rId14" Type="http://schemas.openxmlformats.org/officeDocument/2006/relationships/hyperlink" Target="https://www.ucl.ac.uk/teaching-learning/case-studies-news/assessment-feedback/peer-review-of-virology-essay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597A5D073F4F539C36DFE2FFA9998F"/>
        <w:category>
          <w:name w:val="General"/>
          <w:gallery w:val="placeholder"/>
        </w:category>
        <w:types>
          <w:type w:val="bbPlcHdr"/>
        </w:types>
        <w:behaviors>
          <w:behavior w:val="content"/>
        </w:behaviors>
        <w:guid w:val="{74E737A6-E6BD-4AB9-8425-7042D400EBBC}"/>
      </w:docPartPr>
      <w:docPartBody>
        <w:p w:rsidR="00267B97" w:rsidRDefault="006C79B2" w:rsidP="006C79B2">
          <w:pPr>
            <w:pStyle w:val="CA597A5D073F4F539C36DFE2FFA9998F"/>
          </w:pPr>
          <w:r>
            <w:rPr>
              <w:color w:val="FFFFFF" w:themeColor="background1"/>
            </w:rPr>
            <w:t>[Pick the date]</w:t>
          </w:r>
        </w:p>
      </w:docPartBody>
    </w:docPart>
    <w:docPart>
      <w:docPartPr>
        <w:name w:val="A2D00CFDD7424E59881EE3011E147D8F"/>
        <w:category>
          <w:name w:val="General"/>
          <w:gallery w:val="placeholder"/>
        </w:category>
        <w:types>
          <w:type w:val="bbPlcHdr"/>
        </w:types>
        <w:behaviors>
          <w:behavior w:val="content"/>
        </w:behaviors>
        <w:guid w:val="{43FF3323-18D2-4115-902E-23FCC1665F9E}"/>
      </w:docPartPr>
      <w:docPartBody>
        <w:p w:rsidR="00267B97" w:rsidRDefault="006C79B2" w:rsidP="006C79B2">
          <w:pPr>
            <w:pStyle w:val="A2D00CFDD7424E59881EE3011E147D8F"/>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9B2"/>
    <w:rsid w:val="00267B97"/>
    <w:rsid w:val="006C79B2"/>
    <w:rsid w:val="009519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97A5D073F4F539C36DFE2FFA9998F">
    <w:name w:val="CA597A5D073F4F539C36DFE2FFA9998F"/>
    <w:rsid w:val="006C79B2"/>
  </w:style>
  <w:style w:type="paragraph" w:customStyle="1" w:styleId="A2D00CFDD7424E59881EE3011E147D8F">
    <w:name w:val="A2D00CFDD7424E59881EE3011E147D8F"/>
    <w:rsid w:val="006C7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597A5D073F4F539C36DFE2FFA9998F">
    <w:name w:val="CA597A5D073F4F539C36DFE2FFA9998F"/>
    <w:rsid w:val="006C79B2"/>
  </w:style>
  <w:style w:type="paragraph" w:customStyle="1" w:styleId="A2D00CFDD7424E59881EE3011E147D8F">
    <w:name w:val="A2D00CFDD7424E59881EE3011E147D8F"/>
    <w:rsid w:val="006C7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2015-09-10T00:00:00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NUS benchmarking tool guidance. T Mcconlogue</vt:lpstr>
    </vt:vector>
  </TitlesOfParts>
  <Company>University College London</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NUS benchmarking tool guidance. T Mcconlogue</dc:title>
  <dc:creator>Teresa McConlogue</dc:creator>
  <cp:lastModifiedBy>Teresa McConlogue</cp:lastModifiedBy>
  <cp:revision>9</cp:revision>
  <cp:lastPrinted>2015-09-14T10:34:00Z</cp:lastPrinted>
  <dcterms:created xsi:type="dcterms:W3CDTF">2015-09-14T10:16:00Z</dcterms:created>
  <dcterms:modified xsi:type="dcterms:W3CDTF">2015-09-14T11:50:00Z</dcterms:modified>
</cp:coreProperties>
</file>