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B9" w:rsidRDefault="00E71EB9" w:rsidP="008529F9">
      <w:pPr>
        <w:jc w:val="right"/>
        <w:rPr>
          <w:rFonts w:ascii="Arial" w:hAnsi="Arial"/>
          <w:b/>
        </w:rPr>
      </w:pPr>
    </w:p>
    <w:p w:rsidR="00E71EB9" w:rsidRDefault="00E71EB9" w:rsidP="00E71EB9">
      <w:pPr>
        <w:jc w:val="right"/>
        <w:rPr>
          <w:rFonts w:ascii="Arial" w:hAnsi="Arial"/>
          <w:b/>
        </w:rPr>
      </w:pPr>
    </w:p>
    <w:p w:rsidR="00E71EB9" w:rsidRDefault="00E71EB9" w:rsidP="00A42DF1">
      <w:pPr>
        <w:jc w:val="center"/>
        <w:rPr>
          <w:rFonts w:ascii="Arial" w:hAnsi="Arial"/>
          <w:b/>
        </w:rPr>
      </w:pPr>
    </w:p>
    <w:p w:rsidR="00A42DF1" w:rsidRDefault="00A42DF1" w:rsidP="00A42DF1">
      <w:pPr>
        <w:jc w:val="center"/>
        <w:rPr>
          <w:rFonts w:ascii="Arial" w:hAnsi="Arial"/>
          <w:b/>
        </w:rPr>
      </w:pPr>
      <w:r>
        <w:rPr>
          <w:rFonts w:ascii="Arial" w:hAnsi="Arial"/>
          <w:b/>
        </w:rPr>
        <w:t>INTERNAL QUALITY REVIEW (IQR) 20</w:t>
      </w:r>
      <w:r w:rsidR="00885962">
        <w:rPr>
          <w:rFonts w:ascii="Arial" w:hAnsi="Arial"/>
          <w:b/>
        </w:rPr>
        <w:t>1</w:t>
      </w:r>
      <w:r w:rsidR="003A7859">
        <w:rPr>
          <w:rFonts w:ascii="Arial" w:hAnsi="Arial"/>
          <w:b/>
        </w:rPr>
        <w:t>3</w:t>
      </w:r>
      <w:r>
        <w:rPr>
          <w:rFonts w:ascii="Arial" w:hAnsi="Arial"/>
          <w:b/>
        </w:rPr>
        <w:t>-</w:t>
      </w:r>
      <w:r w:rsidR="00F52D42">
        <w:rPr>
          <w:rFonts w:ascii="Arial" w:hAnsi="Arial"/>
          <w:b/>
        </w:rPr>
        <w:t>1</w:t>
      </w:r>
      <w:r w:rsidR="003A7859">
        <w:rPr>
          <w:rFonts w:ascii="Arial" w:hAnsi="Arial"/>
          <w:b/>
        </w:rPr>
        <w:t>4</w:t>
      </w:r>
    </w:p>
    <w:p w:rsidR="00A42DF1" w:rsidRDefault="00A42DF1" w:rsidP="00A42DF1">
      <w:pPr>
        <w:ind w:left="709"/>
        <w:jc w:val="center"/>
        <w:rPr>
          <w:rFonts w:ascii="Arial" w:hAnsi="Arial"/>
          <w:b/>
        </w:rPr>
      </w:pPr>
    </w:p>
    <w:p w:rsidR="00A42DF1" w:rsidRDefault="00A42DF1" w:rsidP="00A42DF1">
      <w:pPr>
        <w:pStyle w:val="Heading3"/>
        <w:ind w:left="0"/>
        <w:jc w:val="center"/>
      </w:pPr>
      <w:r>
        <w:t xml:space="preserve">SUMMARY OF RECOMMENDATIONS </w:t>
      </w:r>
      <w:r w:rsidR="00BD70E3">
        <w:t>AS IDENTIFIED IN IQR REPORTS</w:t>
      </w:r>
    </w:p>
    <w:p w:rsidR="00A42DF1" w:rsidRDefault="00A42DF1" w:rsidP="00A42DF1">
      <w:pPr>
        <w:ind w:left="426"/>
        <w:rPr>
          <w:rFonts w:ascii="Arial" w:hAnsi="Arial"/>
          <w:sz w:val="22"/>
        </w:rPr>
      </w:pPr>
    </w:p>
    <w:p w:rsidR="00A42DF1" w:rsidRDefault="008631F1" w:rsidP="00A42DF1">
      <w:pPr>
        <w:ind w:left="426"/>
        <w:rPr>
          <w:rFonts w:ascii="Arial" w:hAnsi="Arial"/>
          <w:sz w:val="22"/>
        </w:rPr>
      </w:pPr>
      <w:r>
        <w:rPr>
          <w:rFonts w:ascii="Arial" w:hAnsi="Arial"/>
          <w:sz w:val="22"/>
        </w:rPr>
        <w:t xml:space="preserve">Thirteen </w:t>
      </w:r>
      <w:r w:rsidR="00A42DF1">
        <w:rPr>
          <w:rFonts w:ascii="Arial" w:hAnsi="Arial"/>
          <w:sz w:val="22"/>
        </w:rPr>
        <w:t xml:space="preserve">IQRs </w:t>
      </w:r>
      <w:r w:rsidR="0065260C">
        <w:rPr>
          <w:rFonts w:ascii="Arial" w:hAnsi="Arial"/>
          <w:sz w:val="22"/>
        </w:rPr>
        <w:t xml:space="preserve">were </w:t>
      </w:r>
      <w:r w:rsidR="00A42DF1">
        <w:rPr>
          <w:rFonts w:ascii="Arial" w:hAnsi="Arial"/>
          <w:sz w:val="22"/>
        </w:rPr>
        <w:t>completed in 20</w:t>
      </w:r>
      <w:r w:rsidR="00885962">
        <w:rPr>
          <w:rFonts w:ascii="Arial" w:hAnsi="Arial"/>
          <w:sz w:val="22"/>
        </w:rPr>
        <w:t>1</w:t>
      </w:r>
      <w:r>
        <w:rPr>
          <w:rFonts w:ascii="Arial" w:hAnsi="Arial"/>
          <w:sz w:val="22"/>
        </w:rPr>
        <w:t>3</w:t>
      </w:r>
      <w:r w:rsidR="00A42DF1">
        <w:rPr>
          <w:rFonts w:ascii="Arial" w:hAnsi="Arial"/>
          <w:sz w:val="22"/>
        </w:rPr>
        <w:t>-</w:t>
      </w:r>
      <w:r w:rsidR="00F52D42">
        <w:rPr>
          <w:rFonts w:ascii="Arial" w:hAnsi="Arial"/>
          <w:sz w:val="22"/>
        </w:rPr>
        <w:t>1</w:t>
      </w:r>
      <w:r>
        <w:rPr>
          <w:rFonts w:ascii="Arial" w:hAnsi="Arial"/>
          <w:sz w:val="22"/>
        </w:rPr>
        <w:t>4</w:t>
      </w:r>
      <w:r w:rsidR="00A42DF1">
        <w:rPr>
          <w:rFonts w:ascii="Arial" w:hAnsi="Arial"/>
          <w:sz w:val="22"/>
        </w:rPr>
        <w:t xml:space="preserve">. The list below is a summary of the recommendations noted in the reports; it does not include every item listed in the reports, but those which may be of general interest. </w:t>
      </w:r>
    </w:p>
    <w:p w:rsidR="006961F2" w:rsidRDefault="006961F2" w:rsidP="00A42DF1"/>
    <w:p w:rsidR="00E06A07" w:rsidRDefault="006961F2" w:rsidP="006961F2">
      <w:pPr>
        <w:ind w:left="426"/>
        <w:rPr>
          <w:rFonts w:ascii="Arial" w:hAnsi="Arial" w:cs="Arial"/>
          <w:sz w:val="22"/>
          <w:szCs w:val="22"/>
        </w:rPr>
      </w:pPr>
      <w:bookmarkStart w:id="0" w:name="_GoBack"/>
      <w:bookmarkEnd w:id="0"/>
      <w:r w:rsidRPr="006961F2">
        <w:rPr>
          <w:rFonts w:ascii="Arial" w:hAnsi="Arial" w:cs="Arial"/>
          <w:sz w:val="22"/>
          <w:szCs w:val="22"/>
        </w:rPr>
        <w:t xml:space="preserve">Issues concerning research students and/or the Doctoral School have been listed here separately. </w:t>
      </w:r>
      <w:r w:rsidR="008529F9">
        <w:rPr>
          <w:rFonts w:ascii="Arial" w:hAnsi="Arial" w:cs="Arial"/>
          <w:sz w:val="22"/>
          <w:szCs w:val="22"/>
        </w:rPr>
        <w:t>These are sent to</w:t>
      </w:r>
      <w:r w:rsidRPr="006961F2">
        <w:rPr>
          <w:rFonts w:ascii="Arial" w:hAnsi="Arial" w:cs="Arial"/>
          <w:sz w:val="22"/>
          <w:szCs w:val="22"/>
        </w:rPr>
        <w:t xml:space="preserve"> the Head of the Doctoral School and the recommendations are then discussed at the first meeting of the Research Degrees Committee in the </w:t>
      </w:r>
      <w:r w:rsidR="008529F9">
        <w:rPr>
          <w:rFonts w:ascii="Arial" w:hAnsi="Arial" w:cs="Arial"/>
          <w:sz w:val="22"/>
          <w:szCs w:val="22"/>
        </w:rPr>
        <w:t xml:space="preserve">following </w:t>
      </w:r>
      <w:r w:rsidRPr="006961F2">
        <w:rPr>
          <w:rFonts w:ascii="Arial" w:hAnsi="Arial" w:cs="Arial"/>
          <w:sz w:val="22"/>
          <w:szCs w:val="22"/>
        </w:rPr>
        <w:t>Autumn Term.</w:t>
      </w:r>
    </w:p>
    <w:p w:rsidR="006961F2" w:rsidRPr="006961F2" w:rsidRDefault="006961F2" w:rsidP="006961F2">
      <w:pPr>
        <w:ind w:left="426"/>
        <w:rPr>
          <w:rFonts w:ascii="Arial" w:hAnsi="Arial" w:cs="Arial"/>
          <w:sz w:val="22"/>
          <w:szCs w:val="22"/>
        </w:rPr>
      </w:pPr>
    </w:p>
    <w:tbl>
      <w:tblPr>
        <w:tblStyle w:val="TableGrid"/>
        <w:tblW w:w="0" w:type="auto"/>
        <w:tblLook w:val="04A0" w:firstRow="1" w:lastRow="0" w:firstColumn="1" w:lastColumn="0" w:noHBand="0" w:noVBand="1"/>
      </w:tblPr>
      <w:tblGrid>
        <w:gridCol w:w="10314"/>
        <w:gridCol w:w="2694"/>
        <w:gridCol w:w="1256"/>
      </w:tblGrid>
      <w:tr w:rsidR="00E06A07" w:rsidTr="00B876FC">
        <w:trPr>
          <w:tblHeader/>
        </w:trPr>
        <w:tc>
          <w:tcPr>
            <w:tcW w:w="10314" w:type="dxa"/>
            <w:shd w:val="clear" w:color="auto" w:fill="EAF1DD" w:themeFill="accent3" w:themeFillTint="33"/>
          </w:tcPr>
          <w:p w:rsidR="00E06A07" w:rsidRPr="00FF4939" w:rsidRDefault="00E06A07" w:rsidP="00A42DF1">
            <w:pPr>
              <w:rPr>
                <w:rFonts w:ascii="Arial" w:hAnsi="Arial"/>
                <w:b/>
                <w:szCs w:val="24"/>
              </w:rPr>
            </w:pPr>
            <w:r w:rsidRPr="00FF4939">
              <w:rPr>
                <w:rFonts w:ascii="Arial" w:hAnsi="Arial"/>
                <w:b/>
                <w:szCs w:val="24"/>
              </w:rPr>
              <w:t>Recommendation</w:t>
            </w:r>
          </w:p>
        </w:tc>
        <w:tc>
          <w:tcPr>
            <w:tcW w:w="2694" w:type="dxa"/>
            <w:shd w:val="clear" w:color="auto" w:fill="EAF1DD" w:themeFill="accent3" w:themeFillTint="33"/>
          </w:tcPr>
          <w:p w:rsidR="00E06A07" w:rsidRPr="00FF4939" w:rsidRDefault="00E06A07" w:rsidP="00A42DF1">
            <w:pPr>
              <w:rPr>
                <w:rFonts w:ascii="Arial" w:hAnsi="Arial"/>
                <w:b/>
                <w:szCs w:val="24"/>
              </w:rPr>
            </w:pPr>
            <w:r w:rsidRPr="00FF4939">
              <w:rPr>
                <w:rFonts w:ascii="Arial" w:hAnsi="Arial"/>
                <w:b/>
                <w:szCs w:val="24"/>
              </w:rPr>
              <w:t>Department</w:t>
            </w:r>
          </w:p>
        </w:tc>
        <w:tc>
          <w:tcPr>
            <w:tcW w:w="1256" w:type="dxa"/>
            <w:shd w:val="clear" w:color="auto" w:fill="EAF1DD" w:themeFill="accent3" w:themeFillTint="33"/>
          </w:tcPr>
          <w:p w:rsidR="00E06A07" w:rsidRPr="00FF4939" w:rsidRDefault="00E06A07" w:rsidP="00A42DF1">
            <w:pPr>
              <w:rPr>
                <w:rFonts w:ascii="Arial" w:hAnsi="Arial"/>
                <w:b/>
                <w:szCs w:val="24"/>
              </w:rPr>
            </w:pPr>
            <w:r w:rsidRPr="00FF4939">
              <w:rPr>
                <w:rFonts w:ascii="Arial" w:hAnsi="Arial"/>
                <w:b/>
                <w:szCs w:val="24"/>
              </w:rPr>
              <w:t>Strength</w:t>
            </w:r>
          </w:p>
        </w:tc>
      </w:tr>
      <w:tr w:rsidR="00E06A07" w:rsidTr="00B876FC">
        <w:tc>
          <w:tcPr>
            <w:tcW w:w="10314" w:type="dxa"/>
            <w:shd w:val="clear" w:color="auto" w:fill="E5B8B7" w:themeFill="accent2" w:themeFillTint="66"/>
          </w:tcPr>
          <w:p w:rsidR="00E06A07" w:rsidRDefault="00E06A07" w:rsidP="00A42DF1">
            <w:pPr>
              <w:rPr>
                <w:rFonts w:ascii="Arial" w:hAnsi="Arial"/>
                <w:sz w:val="22"/>
              </w:rPr>
            </w:pPr>
            <w:r>
              <w:rPr>
                <w:rFonts w:ascii="Arial" w:hAnsi="Arial"/>
                <w:b/>
                <w:i/>
                <w:sz w:val="22"/>
              </w:rPr>
              <w:t>Management and Organisational Framework</w:t>
            </w:r>
          </w:p>
        </w:tc>
        <w:tc>
          <w:tcPr>
            <w:tcW w:w="2694" w:type="dxa"/>
            <w:shd w:val="clear" w:color="auto" w:fill="E5B8B7" w:themeFill="accent2" w:themeFillTint="66"/>
          </w:tcPr>
          <w:p w:rsidR="00E06A07" w:rsidRDefault="00E06A07" w:rsidP="00A42DF1">
            <w:pPr>
              <w:rPr>
                <w:rFonts w:ascii="Arial" w:hAnsi="Arial"/>
                <w:sz w:val="22"/>
              </w:rPr>
            </w:pPr>
          </w:p>
        </w:tc>
        <w:tc>
          <w:tcPr>
            <w:tcW w:w="1256" w:type="dxa"/>
            <w:shd w:val="clear" w:color="auto" w:fill="E5B8B7" w:themeFill="accent2" w:themeFillTint="66"/>
          </w:tcPr>
          <w:p w:rsidR="00E06A07" w:rsidRDefault="00E06A07" w:rsidP="00A42DF1">
            <w:pPr>
              <w:rPr>
                <w:rFonts w:ascii="Arial" w:hAnsi="Arial"/>
                <w:sz w:val="22"/>
              </w:rPr>
            </w:pPr>
          </w:p>
        </w:tc>
      </w:tr>
      <w:tr w:rsidR="00E06A07" w:rsidTr="0098204A">
        <w:tc>
          <w:tcPr>
            <w:tcW w:w="10314" w:type="dxa"/>
          </w:tcPr>
          <w:p w:rsidR="00E06A07" w:rsidRPr="00E06A07" w:rsidRDefault="00E06A07" w:rsidP="00A42DF1">
            <w:pPr>
              <w:rPr>
                <w:rFonts w:ascii="Arial" w:hAnsi="Arial" w:cs="Arial"/>
                <w:sz w:val="22"/>
                <w:szCs w:val="22"/>
              </w:rPr>
            </w:pPr>
            <w:r>
              <w:rPr>
                <w:rFonts w:ascii="Arial" w:eastAsia="Calibri" w:hAnsi="Arial" w:cs="Arial"/>
                <w:sz w:val="22"/>
              </w:rPr>
              <w:t>C</w:t>
            </w:r>
            <w:r w:rsidRPr="00516873">
              <w:rPr>
                <w:rFonts w:ascii="Arial" w:eastAsia="Calibri" w:hAnsi="Arial" w:cs="Arial"/>
                <w:sz w:val="22"/>
              </w:rPr>
              <w:t>onsider adopting a</w:t>
            </w:r>
            <w:r w:rsidRPr="00516873">
              <w:rPr>
                <w:rFonts w:ascii="Arial" w:eastAsia="Calibri" w:hAnsi="Arial" w:cs="Arial"/>
                <w:b/>
                <w:sz w:val="22"/>
              </w:rPr>
              <w:t xml:space="preserve"> </w:t>
            </w:r>
            <w:r w:rsidRPr="00516873">
              <w:rPr>
                <w:rFonts w:ascii="Arial" w:eastAsia="Calibri" w:hAnsi="Arial" w:cs="Arial"/>
                <w:sz w:val="22"/>
              </w:rPr>
              <w:t xml:space="preserve">common format/template across all Departmental committee minutes to promote accuracy and consistency in record-keeping. Some minutes provided by the Department during the review process appeared only in the form of action lists, with some key details omitted (i.e. date, time, location, attendees, apologies received, etc.). If required, the </w:t>
            </w:r>
            <w:hyperlink r:id="rId9" w:history="1">
              <w:r w:rsidRPr="00516873">
                <w:rPr>
                  <w:rFonts w:ascii="Arial" w:eastAsia="Calibri" w:hAnsi="Arial" w:cs="Arial"/>
                  <w:i/>
                  <w:color w:val="0000FF"/>
                  <w:sz w:val="22"/>
                  <w:u w:val="single"/>
                </w:rPr>
                <w:t>Guidance on Servicing UCL Committees</w:t>
              </w:r>
            </w:hyperlink>
            <w:r w:rsidRPr="00516873">
              <w:rPr>
                <w:rFonts w:ascii="Arial" w:eastAsia="Calibri" w:hAnsi="Arial" w:cs="Arial"/>
                <w:i/>
                <w:sz w:val="22"/>
              </w:rPr>
              <w:t xml:space="preserve"> </w:t>
            </w:r>
            <w:r w:rsidRPr="00516873">
              <w:rPr>
                <w:rFonts w:ascii="Arial" w:eastAsia="Calibri" w:hAnsi="Arial" w:cs="Arial"/>
                <w:sz w:val="22"/>
              </w:rPr>
              <w:t>document is available from Academic Services and training opportunities are provided through the UCL Professional Development Programme for those who are new to committee servicing</w:t>
            </w:r>
            <w:r>
              <w:rPr>
                <w:rFonts w:ascii="Arial" w:eastAsia="Calibri" w:hAnsi="Arial" w:cs="Arial"/>
                <w:sz w:val="22"/>
              </w:rPr>
              <w:t>.</w:t>
            </w:r>
          </w:p>
        </w:tc>
        <w:tc>
          <w:tcPr>
            <w:tcW w:w="2694" w:type="dxa"/>
          </w:tcPr>
          <w:p w:rsidR="00E06A07" w:rsidRDefault="00E06A07" w:rsidP="00A42DF1">
            <w:pPr>
              <w:rPr>
                <w:rFonts w:ascii="Arial" w:hAnsi="Arial"/>
                <w:sz w:val="22"/>
              </w:rPr>
            </w:pPr>
            <w:r>
              <w:rPr>
                <w:rFonts w:ascii="Arial" w:hAnsi="Arial"/>
                <w:sz w:val="22"/>
              </w:rPr>
              <w:t>Greek and Latin</w:t>
            </w:r>
          </w:p>
        </w:tc>
        <w:tc>
          <w:tcPr>
            <w:tcW w:w="1256" w:type="dxa"/>
          </w:tcPr>
          <w:p w:rsidR="00E06A07" w:rsidRDefault="00FF5078" w:rsidP="00A42DF1">
            <w:pPr>
              <w:rPr>
                <w:rFonts w:ascii="Arial" w:hAnsi="Arial"/>
                <w:sz w:val="22"/>
              </w:rPr>
            </w:pPr>
            <w:r>
              <w:rPr>
                <w:rFonts w:ascii="Arial" w:hAnsi="Arial"/>
                <w:sz w:val="22"/>
              </w:rPr>
              <w:t>Desirable</w:t>
            </w:r>
          </w:p>
        </w:tc>
      </w:tr>
      <w:tr w:rsidR="00E06A07" w:rsidTr="0098204A">
        <w:tc>
          <w:tcPr>
            <w:tcW w:w="10314" w:type="dxa"/>
          </w:tcPr>
          <w:p w:rsidR="00E06A07" w:rsidRPr="00E06A07" w:rsidRDefault="00FF4939" w:rsidP="00E06A07">
            <w:pPr>
              <w:rPr>
                <w:rFonts w:ascii="Arial" w:hAnsi="Arial" w:cs="Arial"/>
                <w:sz w:val="22"/>
                <w:szCs w:val="22"/>
              </w:rPr>
            </w:pPr>
            <w:r>
              <w:rPr>
                <w:rFonts w:ascii="Arial" w:hAnsi="Arial" w:cs="Arial"/>
                <w:sz w:val="22"/>
                <w:szCs w:val="22"/>
              </w:rPr>
              <w:t>T</w:t>
            </w:r>
            <w:r w:rsidR="00E06A07" w:rsidRPr="00E06A07">
              <w:rPr>
                <w:rFonts w:ascii="Arial" w:hAnsi="Arial" w:cs="Arial"/>
                <w:sz w:val="22"/>
                <w:szCs w:val="22"/>
              </w:rPr>
              <w:t>ake action to review the relationship between processes and functions that are required to be undertaken by UCL departments –e.g. Annual Monitoring, core duties and responsibilities described by the terms of reference of Departmental Teaching Committees (DTC) and Staff Student Consultative Committees (SSCC) - and the content of Divisional committee meeting agendas, minutes and associated documentation that relates to and records the Division’s undertaking of these processes and functions. In particular, the Division should ensure that :</w:t>
            </w:r>
          </w:p>
          <w:p w:rsidR="00E06A07" w:rsidRDefault="00E06A07" w:rsidP="00E06A07">
            <w:pPr>
              <w:pStyle w:val="ListParagraph"/>
              <w:numPr>
                <w:ilvl w:val="0"/>
                <w:numId w:val="22"/>
              </w:numPr>
              <w:rPr>
                <w:rFonts w:ascii="Arial" w:hAnsi="Arial" w:cs="Arial"/>
                <w:sz w:val="22"/>
                <w:szCs w:val="22"/>
              </w:rPr>
            </w:pPr>
            <w:r>
              <w:rPr>
                <w:rFonts w:ascii="Arial" w:hAnsi="Arial" w:cs="Arial"/>
                <w:sz w:val="22"/>
                <w:szCs w:val="22"/>
              </w:rPr>
              <w:t>the core duties and responsibilities identified by DTCs and SSCCs in the UCL Academic Manual are made explicit in the terms of reference of, and then undertaken by, the Divisional Undergraduate Teaching Committee, Postgraduate Teaching Committee and SSCCs as appropriate;</w:t>
            </w:r>
          </w:p>
          <w:p w:rsidR="00E06A07" w:rsidRPr="00FF4939" w:rsidRDefault="00E06A07" w:rsidP="00A42DF1">
            <w:pPr>
              <w:pStyle w:val="ListParagraph"/>
              <w:numPr>
                <w:ilvl w:val="0"/>
                <w:numId w:val="22"/>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agendas of these committees are structured to undertake these functions and their minutes to more formally detail and record their outcomes. Further advice and guidance is available </w:t>
            </w:r>
            <w:proofErr w:type="gramStart"/>
            <w:r>
              <w:rPr>
                <w:rFonts w:ascii="Arial" w:hAnsi="Arial" w:cs="Arial"/>
                <w:sz w:val="22"/>
                <w:szCs w:val="22"/>
              </w:rPr>
              <w:t xml:space="preserve">at  </w:t>
            </w:r>
            <w:proofErr w:type="gramEnd"/>
            <w:r>
              <w:rPr>
                <w:rFonts w:ascii="Arial" w:hAnsi="Arial" w:cs="Arial"/>
                <w:sz w:val="22"/>
                <w:szCs w:val="22"/>
              </w:rPr>
              <w:fldChar w:fldCharType="begin"/>
            </w:r>
            <w:r>
              <w:rPr>
                <w:rFonts w:ascii="Arial" w:hAnsi="Arial" w:cs="Arial"/>
                <w:sz w:val="22"/>
                <w:szCs w:val="22"/>
              </w:rPr>
              <w:instrText xml:space="preserve"> HYPERLINK "</w:instrText>
            </w:r>
            <w:r w:rsidRPr="009B1304">
              <w:rPr>
                <w:rFonts w:ascii="Arial" w:hAnsi="Arial" w:cs="Arial"/>
                <w:sz w:val="22"/>
                <w:szCs w:val="22"/>
              </w:rPr>
              <w:instrText>http://www.ucl.ac.uk/academic-manual/part-8/FTC_checklist</w:instrText>
            </w:r>
            <w:r>
              <w:rPr>
                <w:rFonts w:ascii="Arial" w:hAnsi="Arial" w:cs="Arial"/>
                <w:sz w:val="22"/>
                <w:szCs w:val="22"/>
              </w:rPr>
              <w:instrText xml:space="preserve">" </w:instrText>
            </w:r>
            <w:r>
              <w:rPr>
                <w:rFonts w:ascii="Arial" w:hAnsi="Arial" w:cs="Arial"/>
                <w:sz w:val="22"/>
                <w:szCs w:val="22"/>
              </w:rPr>
              <w:fldChar w:fldCharType="separate"/>
            </w:r>
            <w:r w:rsidRPr="00EA1757">
              <w:rPr>
                <w:rStyle w:val="Hyperlink"/>
                <w:rFonts w:ascii="Arial" w:hAnsi="Arial" w:cs="Arial"/>
                <w:sz w:val="22"/>
                <w:szCs w:val="22"/>
              </w:rPr>
              <w:t>http://www.ucl.ac.uk/academic-manual/part-8/FTC_checklist</w:t>
            </w:r>
            <w:r>
              <w:rPr>
                <w:rFonts w:ascii="Arial" w:hAnsi="Arial" w:cs="Arial"/>
                <w:sz w:val="22"/>
                <w:szCs w:val="22"/>
              </w:rPr>
              <w:fldChar w:fldCharType="end"/>
            </w:r>
            <w:r>
              <w:rPr>
                <w:rFonts w:ascii="Arial" w:hAnsi="Arial" w:cs="Arial"/>
                <w:sz w:val="22"/>
                <w:szCs w:val="22"/>
              </w:rPr>
              <w:t xml:space="preserve"> as well as from colleagues in Academic Services (contact Sandra Hinton).</w:t>
            </w:r>
          </w:p>
        </w:tc>
        <w:tc>
          <w:tcPr>
            <w:tcW w:w="2694" w:type="dxa"/>
          </w:tcPr>
          <w:p w:rsidR="00E06A07" w:rsidRDefault="00FF4939" w:rsidP="00A42DF1">
            <w:pPr>
              <w:rPr>
                <w:rFonts w:ascii="Arial" w:hAnsi="Arial"/>
                <w:sz w:val="22"/>
              </w:rPr>
            </w:pPr>
            <w:r>
              <w:rPr>
                <w:rFonts w:ascii="Arial" w:hAnsi="Arial"/>
                <w:sz w:val="22"/>
              </w:rPr>
              <w:t>Infection and Immunity</w:t>
            </w:r>
          </w:p>
        </w:tc>
        <w:tc>
          <w:tcPr>
            <w:tcW w:w="1256" w:type="dxa"/>
          </w:tcPr>
          <w:p w:rsidR="00E06A07" w:rsidRDefault="00745ECB" w:rsidP="00A42DF1">
            <w:pPr>
              <w:rPr>
                <w:rFonts w:ascii="Arial" w:hAnsi="Arial"/>
                <w:sz w:val="22"/>
              </w:rPr>
            </w:pPr>
            <w:r>
              <w:rPr>
                <w:rFonts w:ascii="Arial" w:hAnsi="Arial"/>
                <w:sz w:val="22"/>
              </w:rPr>
              <w:t>Necessary</w:t>
            </w:r>
          </w:p>
        </w:tc>
      </w:tr>
      <w:tr w:rsidR="00E06A07" w:rsidTr="0098204A">
        <w:tc>
          <w:tcPr>
            <w:tcW w:w="10314" w:type="dxa"/>
          </w:tcPr>
          <w:p w:rsidR="00E06A07" w:rsidRPr="00FF4939" w:rsidRDefault="00FF4939" w:rsidP="00A42DF1">
            <w:pPr>
              <w:rPr>
                <w:rFonts w:ascii="Arial" w:hAnsi="Arial" w:cs="Arial"/>
                <w:sz w:val="22"/>
                <w:szCs w:val="22"/>
              </w:rPr>
            </w:pPr>
            <w:r w:rsidRPr="00FF4939">
              <w:rPr>
                <w:rFonts w:ascii="Arial" w:hAnsi="Arial" w:cs="Arial"/>
                <w:sz w:val="22"/>
                <w:szCs w:val="22"/>
              </w:rPr>
              <w:lastRenderedPageBreak/>
              <w:t>Review its management and organisational structures in order to improve strategic oversight and enable more effective forward planning. It should consider enhancing its formal leadership structures to support the Head of Department, possibly introducing common UCL departmental practices elsewhere such as a Senior Management Team and a Deputy Head of Department role. This should create greater oversight, particularly in pressing issues such as declining student numbers and programme development and encourage sharing of responsibility between senior staff.  Re-organisation of the Department’s underlying structures should also help ensure that quality management processes continue unabated if there are changes of Head of Department.</w:t>
            </w:r>
          </w:p>
        </w:tc>
        <w:tc>
          <w:tcPr>
            <w:tcW w:w="2694" w:type="dxa"/>
          </w:tcPr>
          <w:p w:rsidR="00E06A07" w:rsidRDefault="00FF4939" w:rsidP="00A42DF1">
            <w:pPr>
              <w:rPr>
                <w:rFonts w:ascii="Arial" w:hAnsi="Arial"/>
                <w:sz w:val="22"/>
              </w:rPr>
            </w:pPr>
            <w:r>
              <w:rPr>
                <w:rFonts w:ascii="Arial" w:hAnsi="Arial"/>
                <w:sz w:val="22"/>
              </w:rPr>
              <w:t>Information Studies</w:t>
            </w:r>
          </w:p>
        </w:tc>
        <w:tc>
          <w:tcPr>
            <w:tcW w:w="1256" w:type="dxa"/>
          </w:tcPr>
          <w:p w:rsidR="00E06A07" w:rsidRDefault="00EB4A29" w:rsidP="00A42DF1">
            <w:pPr>
              <w:rPr>
                <w:rFonts w:ascii="Arial" w:hAnsi="Arial"/>
                <w:sz w:val="22"/>
              </w:rPr>
            </w:pPr>
            <w:r>
              <w:rPr>
                <w:rFonts w:ascii="Arial" w:hAnsi="Arial"/>
                <w:sz w:val="22"/>
              </w:rPr>
              <w:t>Necessary</w:t>
            </w:r>
          </w:p>
        </w:tc>
      </w:tr>
      <w:tr w:rsidR="00E06A07" w:rsidTr="0098204A">
        <w:tc>
          <w:tcPr>
            <w:tcW w:w="10314" w:type="dxa"/>
          </w:tcPr>
          <w:p w:rsidR="00E06A07" w:rsidRPr="00FF4939" w:rsidRDefault="00FF4939" w:rsidP="00A42DF1">
            <w:pPr>
              <w:rPr>
                <w:rFonts w:ascii="Arial" w:hAnsi="Arial" w:cs="Arial"/>
                <w:sz w:val="22"/>
                <w:szCs w:val="22"/>
              </w:rPr>
            </w:pPr>
            <w:r>
              <w:rPr>
                <w:rFonts w:ascii="Arial" w:hAnsi="Arial" w:cs="Arial"/>
                <w:sz w:val="22"/>
                <w:szCs w:val="22"/>
              </w:rPr>
              <w:t>T</w:t>
            </w:r>
            <w:r w:rsidRPr="00FF4939">
              <w:rPr>
                <w:rFonts w:ascii="Arial" w:hAnsi="Arial" w:cs="Arial"/>
                <w:sz w:val="22"/>
                <w:szCs w:val="22"/>
              </w:rPr>
              <w:t>he Programme Director, in liaison with other Programme Officers and the Heads of Department concerned, should discuss ways to mitigate the effect of increasing student numbers in regard of timetabling; of the allocation of tutors and of project supervisors; and of the capping of Natural Science students in some modules offered by the Faculty of Life Sciences, where the parallel increase of the intake in the Departments offering the modules has led to significant overcrowding.</w:t>
            </w:r>
          </w:p>
        </w:tc>
        <w:tc>
          <w:tcPr>
            <w:tcW w:w="2694" w:type="dxa"/>
          </w:tcPr>
          <w:p w:rsidR="00E06A07" w:rsidRPr="00FF4939" w:rsidRDefault="00FF4939" w:rsidP="00FF4939">
            <w:pPr>
              <w:rPr>
                <w:rFonts w:ascii="Arial" w:hAnsi="Arial"/>
                <w:sz w:val="22"/>
              </w:rPr>
            </w:pPr>
            <w:r>
              <w:rPr>
                <w:rFonts w:ascii="Arial" w:hAnsi="Arial" w:cs="Arial"/>
                <w:sz w:val="22"/>
                <w:szCs w:val="22"/>
              </w:rPr>
              <w:t>BSc/</w:t>
            </w:r>
            <w:r w:rsidRPr="00FF4939">
              <w:rPr>
                <w:rFonts w:ascii="Arial" w:hAnsi="Arial" w:cs="Arial"/>
                <w:sz w:val="22"/>
                <w:szCs w:val="22"/>
              </w:rPr>
              <w:t>MSci Natural Sciences</w:t>
            </w:r>
          </w:p>
        </w:tc>
        <w:tc>
          <w:tcPr>
            <w:tcW w:w="1256" w:type="dxa"/>
          </w:tcPr>
          <w:p w:rsidR="00E06A07" w:rsidRDefault="00EB4A29" w:rsidP="00A42DF1">
            <w:pPr>
              <w:rPr>
                <w:rFonts w:ascii="Arial" w:hAnsi="Arial"/>
                <w:sz w:val="22"/>
              </w:rPr>
            </w:pPr>
            <w:r>
              <w:rPr>
                <w:rFonts w:ascii="Arial" w:hAnsi="Arial"/>
                <w:sz w:val="22"/>
              </w:rPr>
              <w:t>Necessary</w:t>
            </w:r>
          </w:p>
        </w:tc>
      </w:tr>
      <w:tr w:rsidR="00E06A07" w:rsidTr="0098204A">
        <w:tc>
          <w:tcPr>
            <w:tcW w:w="10314" w:type="dxa"/>
          </w:tcPr>
          <w:p w:rsidR="00E06A07" w:rsidRPr="00B876FC" w:rsidRDefault="00FF4939" w:rsidP="00B876FC">
            <w:pPr>
              <w:tabs>
                <w:tab w:val="left" w:pos="709"/>
              </w:tabs>
              <w:rPr>
                <w:rFonts w:ascii="Arial" w:hAnsi="Arial" w:cs="Arial"/>
                <w:sz w:val="22"/>
                <w:szCs w:val="22"/>
                <w:lang w:val="en-US"/>
              </w:rPr>
            </w:pPr>
            <w:r>
              <w:rPr>
                <w:rFonts w:ascii="Arial" w:hAnsi="Arial" w:cs="Arial"/>
                <w:sz w:val="22"/>
                <w:szCs w:val="22"/>
                <w:lang w:val="en-US"/>
              </w:rPr>
              <w:t>G</w:t>
            </w:r>
            <w:r w:rsidRPr="00FF4939">
              <w:rPr>
                <w:rFonts w:ascii="Arial" w:hAnsi="Arial" w:cs="Arial"/>
                <w:sz w:val="22"/>
                <w:szCs w:val="22"/>
                <w:lang w:val="en-US"/>
              </w:rPr>
              <w:t>ive further consideration to appropriate mechanisms for the discussion and dissemination of good practice, which is frequently identified by external examiners, across the six departments.</w:t>
            </w:r>
          </w:p>
        </w:tc>
        <w:tc>
          <w:tcPr>
            <w:tcW w:w="2694" w:type="dxa"/>
          </w:tcPr>
          <w:p w:rsidR="00E06A07" w:rsidRPr="00FF4939" w:rsidRDefault="00B876FC" w:rsidP="00A42DF1">
            <w:pPr>
              <w:rPr>
                <w:rFonts w:ascii="Arial" w:hAnsi="Arial"/>
                <w:sz w:val="22"/>
              </w:rPr>
            </w:pPr>
            <w:r>
              <w:rPr>
                <w:rFonts w:ascii="Arial" w:hAnsi="Arial" w:cs="Arial"/>
                <w:sz w:val="22"/>
                <w:szCs w:val="22"/>
              </w:rPr>
              <w:t>SELCS</w:t>
            </w:r>
          </w:p>
        </w:tc>
        <w:tc>
          <w:tcPr>
            <w:tcW w:w="1256" w:type="dxa"/>
          </w:tcPr>
          <w:p w:rsidR="00E06A07" w:rsidRDefault="001610D6" w:rsidP="00A42DF1">
            <w:pPr>
              <w:rPr>
                <w:rFonts w:ascii="Arial" w:hAnsi="Arial"/>
                <w:sz w:val="22"/>
              </w:rPr>
            </w:pPr>
            <w:r>
              <w:rPr>
                <w:rFonts w:ascii="Arial" w:hAnsi="Arial"/>
                <w:sz w:val="22"/>
              </w:rPr>
              <w:t>Advisable</w:t>
            </w:r>
          </w:p>
        </w:tc>
      </w:tr>
      <w:tr w:rsidR="00E06A07" w:rsidTr="00B876FC">
        <w:tc>
          <w:tcPr>
            <w:tcW w:w="10314" w:type="dxa"/>
            <w:shd w:val="clear" w:color="auto" w:fill="E5B8B7" w:themeFill="accent2" w:themeFillTint="66"/>
          </w:tcPr>
          <w:p w:rsidR="00E06A07" w:rsidRDefault="00FF4939" w:rsidP="00A42DF1">
            <w:pPr>
              <w:rPr>
                <w:rFonts w:ascii="Arial" w:hAnsi="Arial"/>
                <w:sz w:val="22"/>
              </w:rPr>
            </w:pPr>
            <w:r>
              <w:rPr>
                <w:rFonts w:ascii="Arial" w:hAnsi="Arial"/>
                <w:b/>
                <w:i/>
                <w:sz w:val="22"/>
              </w:rPr>
              <w:t>Curriculum Planning and Design</w:t>
            </w:r>
          </w:p>
        </w:tc>
        <w:tc>
          <w:tcPr>
            <w:tcW w:w="2694" w:type="dxa"/>
            <w:shd w:val="clear" w:color="auto" w:fill="E5B8B7" w:themeFill="accent2" w:themeFillTint="66"/>
          </w:tcPr>
          <w:p w:rsidR="00E06A07" w:rsidRDefault="00E06A07" w:rsidP="00A42DF1">
            <w:pPr>
              <w:rPr>
                <w:rFonts w:ascii="Arial" w:hAnsi="Arial"/>
                <w:sz w:val="22"/>
              </w:rPr>
            </w:pPr>
          </w:p>
        </w:tc>
        <w:tc>
          <w:tcPr>
            <w:tcW w:w="1256" w:type="dxa"/>
            <w:shd w:val="clear" w:color="auto" w:fill="E5B8B7" w:themeFill="accent2" w:themeFillTint="66"/>
          </w:tcPr>
          <w:p w:rsidR="00E06A07" w:rsidRDefault="00E06A07" w:rsidP="00A42DF1">
            <w:pPr>
              <w:rPr>
                <w:rFonts w:ascii="Arial" w:hAnsi="Arial"/>
                <w:sz w:val="22"/>
              </w:rPr>
            </w:pPr>
          </w:p>
        </w:tc>
      </w:tr>
      <w:tr w:rsidR="00E06A07" w:rsidTr="0098204A">
        <w:tc>
          <w:tcPr>
            <w:tcW w:w="10314" w:type="dxa"/>
          </w:tcPr>
          <w:p w:rsidR="00E06A07" w:rsidRPr="00FF4939" w:rsidRDefault="00FF4939" w:rsidP="00FF4939">
            <w:pPr>
              <w:tabs>
                <w:tab w:val="num" w:pos="1134"/>
              </w:tabs>
              <w:rPr>
                <w:rFonts w:ascii="Arial" w:hAnsi="Arial" w:cs="Arial"/>
                <w:sz w:val="22"/>
                <w:szCs w:val="22"/>
              </w:rPr>
            </w:pPr>
            <w:r>
              <w:rPr>
                <w:rFonts w:ascii="Arial" w:hAnsi="Arial" w:cs="Arial"/>
                <w:sz w:val="22"/>
                <w:szCs w:val="22"/>
              </w:rPr>
              <w:t>R</w:t>
            </w:r>
            <w:r w:rsidRPr="00FF4939">
              <w:rPr>
                <w:rFonts w:ascii="Arial" w:hAnsi="Arial" w:cs="Arial"/>
                <w:sz w:val="22"/>
                <w:szCs w:val="22"/>
              </w:rPr>
              <w:t>eview its postgraduate programmes to ensure that there is consistency in processes and practices and in the student experience. The students the team met reported some wide variability between the programmes, particularly in information provided to them, assessment of work and in work placements. Differing levels of satisfaction were noted as a result (see also recommendations 3 and 4 above). Reviewing the programmes in the round and considering ways to introduce common practices should help to ensure greater consistency and reduce the compartmentalisation of the Department’s subject areas into “silos”, a risk identified in the SES.</w:t>
            </w:r>
          </w:p>
        </w:tc>
        <w:tc>
          <w:tcPr>
            <w:tcW w:w="2694" w:type="dxa"/>
          </w:tcPr>
          <w:p w:rsidR="00E06A07" w:rsidRDefault="00FF4939" w:rsidP="00A42DF1">
            <w:pPr>
              <w:rPr>
                <w:rFonts w:ascii="Arial" w:hAnsi="Arial"/>
                <w:sz w:val="22"/>
              </w:rPr>
            </w:pPr>
            <w:r>
              <w:rPr>
                <w:rFonts w:ascii="Arial" w:hAnsi="Arial"/>
                <w:sz w:val="22"/>
              </w:rPr>
              <w:t>Information Studies</w:t>
            </w:r>
          </w:p>
        </w:tc>
        <w:tc>
          <w:tcPr>
            <w:tcW w:w="1256" w:type="dxa"/>
          </w:tcPr>
          <w:p w:rsidR="00E06A07" w:rsidRDefault="00EB4A29" w:rsidP="00A42DF1">
            <w:pPr>
              <w:rPr>
                <w:rFonts w:ascii="Arial" w:hAnsi="Arial"/>
                <w:sz w:val="22"/>
              </w:rPr>
            </w:pPr>
            <w:r>
              <w:rPr>
                <w:rFonts w:ascii="Arial" w:hAnsi="Arial"/>
                <w:sz w:val="22"/>
              </w:rPr>
              <w:t>Advisable</w:t>
            </w:r>
          </w:p>
        </w:tc>
      </w:tr>
      <w:tr w:rsidR="00E06A07" w:rsidTr="0098204A">
        <w:tc>
          <w:tcPr>
            <w:tcW w:w="10314" w:type="dxa"/>
          </w:tcPr>
          <w:p w:rsidR="00E06A07" w:rsidRPr="00FF4939" w:rsidRDefault="00FF4939" w:rsidP="00FF4939">
            <w:pPr>
              <w:tabs>
                <w:tab w:val="num" w:pos="1134"/>
              </w:tabs>
              <w:rPr>
                <w:rFonts w:ascii="Arial" w:hAnsi="Arial" w:cs="Arial"/>
                <w:sz w:val="22"/>
                <w:szCs w:val="22"/>
              </w:rPr>
            </w:pPr>
            <w:r>
              <w:rPr>
                <w:rFonts w:ascii="Arial" w:hAnsi="Arial" w:cs="Arial"/>
                <w:sz w:val="22"/>
              </w:rPr>
              <w:t>T</w:t>
            </w:r>
            <w:r w:rsidRPr="00FF4939">
              <w:rPr>
                <w:rFonts w:ascii="Arial" w:hAnsi="Arial" w:cs="Arial"/>
                <w:sz w:val="22"/>
              </w:rPr>
              <w:t>he Programme Director, in liaison with the Faculties of Mathematical and Physical Sciences, Life Sciences, Brain Sciences and Engineering Sciences, should give consideration to ways to encourage standardisation in certain procedures across all Departments involved with the Natural Sciences Programme to ensure a coherent student experience. For example, specific areas identified by the Review Team were the time allowed for students to choose their projects, the method for allocating projects and the criteria for assigning project supervisors that varied across the Departments involved with the Programme.</w:t>
            </w:r>
          </w:p>
        </w:tc>
        <w:tc>
          <w:tcPr>
            <w:tcW w:w="2694" w:type="dxa"/>
          </w:tcPr>
          <w:p w:rsidR="00E06A07" w:rsidRDefault="00FF4939" w:rsidP="00FF4939">
            <w:pPr>
              <w:rPr>
                <w:rFonts w:ascii="Arial" w:hAnsi="Arial"/>
                <w:sz w:val="22"/>
              </w:rPr>
            </w:pPr>
            <w:r>
              <w:rPr>
                <w:rFonts w:ascii="Arial" w:hAnsi="Arial" w:cs="Arial"/>
                <w:sz w:val="22"/>
                <w:szCs w:val="22"/>
              </w:rPr>
              <w:t>BSc/</w:t>
            </w:r>
            <w:r w:rsidRPr="00FF4939">
              <w:rPr>
                <w:rFonts w:ascii="Arial" w:hAnsi="Arial" w:cs="Arial"/>
                <w:sz w:val="22"/>
                <w:szCs w:val="22"/>
              </w:rPr>
              <w:t>MSci Natural Sciences</w:t>
            </w:r>
          </w:p>
        </w:tc>
        <w:tc>
          <w:tcPr>
            <w:tcW w:w="1256" w:type="dxa"/>
          </w:tcPr>
          <w:p w:rsidR="00E06A07" w:rsidRDefault="00B4489D" w:rsidP="00A42DF1">
            <w:pPr>
              <w:rPr>
                <w:rFonts w:ascii="Arial" w:hAnsi="Arial"/>
                <w:sz w:val="22"/>
              </w:rPr>
            </w:pPr>
            <w:r>
              <w:rPr>
                <w:rFonts w:ascii="Arial" w:hAnsi="Arial"/>
                <w:sz w:val="22"/>
              </w:rPr>
              <w:t>Advisable</w:t>
            </w:r>
          </w:p>
        </w:tc>
      </w:tr>
      <w:tr w:rsidR="00E06A07" w:rsidTr="0098204A">
        <w:tc>
          <w:tcPr>
            <w:tcW w:w="10314" w:type="dxa"/>
          </w:tcPr>
          <w:p w:rsidR="00E06A07" w:rsidRPr="00FF4939" w:rsidRDefault="00FF4939" w:rsidP="00FF4939">
            <w:pPr>
              <w:tabs>
                <w:tab w:val="left" w:pos="709"/>
              </w:tabs>
              <w:rPr>
                <w:rFonts w:ascii="Arial" w:hAnsi="Arial"/>
                <w:sz w:val="22"/>
                <w:szCs w:val="22"/>
              </w:rPr>
            </w:pPr>
            <w:r w:rsidRPr="00FF4939">
              <w:rPr>
                <w:rFonts w:ascii="Arial" w:hAnsi="Arial" w:cs="Arial"/>
                <w:sz w:val="22"/>
                <w:szCs w:val="22"/>
              </w:rPr>
              <w:t xml:space="preserve">The School is advised to ensure the aims and objectives of (i) each </w:t>
            </w:r>
            <w:proofErr w:type="gramStart"/>
            <w:r w:rsidRPr="00FF4939">
              <w:rPr>
                <w:rFonts w:ascii="Arial" w:hAnsi="Arial" w:cs="Arial"/>
                <w:sz w:val="22"/>
                <w:szCs w:val="22"/>
              </w:rPr>
              <w:t>masters</w:t>
            </w:r>
            <w:proofErr w:type="gramEnd"/>
            <w:r w:rsidRPr="00FF4939">
              <w:rPr>
                <w:rFonts w:ascii="Arial" w:hAnsi="Arial" w:cs="Arial"/>
                <w:sz w:val="22"/>
                <w:szCs w:val="22"/>
              </w:rPr>
              <w:t xml:space="preserve"> module and (ii) each of the teaching sessions comprising each module prepared by the teaching staff are made available to students</w:t>
            </w:r>
            <w:r w:rsidRPr="00FF4939">
              <w:rPr>
                <w:rFonts w:ascii="Arial" w:hAnsi="Arial" w:cs="Arial"/>
                <w:sz w:val="22"/>
                <w:szCs w:val="22"/>
                <w:lang w:val="en-US"/>
              </w:rPr>
              <w:t xml:space="preserve">. </w:t>
            </w:r>
            <w:r w:rsidRPr="00FF4939">
              <w:rPr>
                <w:rFonts w:ascii="Arial" w:hAnsi="Arial" w:cs="Arial"/>
                <w:sz w:val="22"/>
                <w:szCs w:val="22"/>
              </w:rPr>
              <w:tab/>
            </w:r>
          </w:p>
        </w:tc>
        <w:tc>
          <w:tcPr>
            <w:tcW w:w="2694" w:type="dxa"/>
          </w:tcPr>
          <w:p w:rsidR="00E06A07" w:rsidRDefault="00B876FC" w:rsidP="00A42DF1">
            <w:pPr>
              <w:rPr>
                <w:rFonts w:ascii="Arial" w:hAnsi="Arial"/>
                <w:sz w:val="22"/>
              </w:rPr>
            </w:pPr>
            <w:r>
              <w:rPr>
                <w:rFonts w:ascii="Arial" w:hAnsi="Arial" w:cs="Arial"/>
                <w:sz w:val="22"/>
                <w:szCs w:val="22"/>
              </w:rPr>
              <w:t>SELCS</w:t>
            </w:r>
          </w:p>
        </w:tc>
        <w:tc>
          <w:tcPr>
            <w:tcW w:w="1256" w:type="dxa"/>
          </w:tcPr>
          <w:p w:rsidR="00E06A07" w:rsidRDefault="00FF4939" w:rsidP="00A42DF1">
            <w:pPr>
              <w:rPr>
                <w:rFonts w:ascii="Arial" w:hAnsi="Arial"/>
                <w:sz w:val="22"/>
              </w:rPr>
            </w:pPr>
            <w:r>
              <w:rPr>
                <w:rFonts w:ascii="Arial" w:hAnsi="Arial"/>
                <w:sz w:val="22"/>
              </w:rPr>
              <w:t>Advisable</w:t>
            </w:r>
          </w:p>
        </w:tc>
      </w:tr>
      <w:tr w:rsidR="00E06A07" w:rsidTr="00B876FC">
        <w:tc>
          <w:tcPr>
            <w:tcW w:w="10314" w:type="dxa"/>
            <w:shd w:val="clear" w:color="auto" w:fill="E5B8B7" w:themeFill="accent2" w:themeFillTint="66"/>
          </w:tcPr>
          <w:p w:rsidR="00E06A07" w:rsidRDefault="00FF4939" w:rsidP="00A42DF1">
            <w:pPr>
              <w:rPr>
                <w:rFonts w:ascii="Arial" w:hAnsi="Arial"/>
                <w:sz w:val="22"/>
              </w:rPr>
            </w:pPr>
            <w:r>
              <w:rPr>
                <w:rFonts w:ascii="Arial" w:hAnsi="Arial"/>
                <w:b/>
                <w:i/>
                <w:sz w:val="22"/>
              </w:rPr>
              <w:t>Learning, Teaching and Assessment</w:t>
            </w:r>
          </w:p>
        </w:tc>
        <w:tc>
          <w:tcPr>
            <w:tcW w:w="2694" w:type="dxa"/>
            <w:shd w:val="clear" w:color="auto" w:fill="E5B8B7" w:themeFill="accent2" w:themeFillTint="66"/>
          </w:tcPr>
          <w:p w:rsidR="00E06A07" w:rsidRDefault="00E06A07" w:rsidP="00A42DF1">
            <w:pPr>
              <w:rPr>
                <w:rFonts w:ascii="Arial" w:hAnsi="Arial"/>
                <w:sz w:val="22"/>
              </w:rPr>
            </w:pPr>
          </w:p>
        </w:tc>
        <w:tc>
          <w:tcPr>
            <w:tcW w:w="1256" w:type="dxa"/>
            <w:shd w:val="clear" w:color="auto" w:fill="E5B8B7" w:themeFill="accent2" w:themeFillTint="66"/>
          </w:tcPr>
          <w:p w:rsidR="00E06A07" w:rsidRDefault="00E06A07" w:rsidP="00A42DF1">
            <w:pPr>
              <w:rPr>
                <w:rFonts w:ascii="Arial" w:hAnsi="Arial"/>
                <w:sz w:val="22"/>
              </w:rPr>
            </w:pPr>
          </w:p>
        </w:tc>
      </w:tr>
      <w:tr w:rsidR="00E06A07" w:rsidTr="0098204A">
        <w:tc>
          <w:tcPr>
            <w:tcW w:w="10314" w:type="dxa"/>
          </w:tcPr>
          <w:p w:rsidR="00E06A07" w:rsidRPr="00FF4939" w:rsidRDefault="00FF4939" w:rsidP="00A42DF1">
            <w:pPr>
              <w:rPr>
                <w:rFonts w:ascii="Arial" w:hAnsi="Arial" w:cs="Arial"/>
                <w:sz w:val="22"/>
                <w:szCs w:val="22"/>
              </w:rPr>
            </w:pPr>
            <w:r>
              <w:rPr>
                <w:rFonts w:ascii="Arial" w:hAnsi="Arial" w:cs="Arial"/>
                <w:sz w:val="22"/>
                <w:szCs w:val="22"/>
              </w:rPr>
              <w:t>E</w:t>
            </w:r>
            <w:r w:rsidRPr="00CE3E03">
              <w:rPr>
                <w:rFonts w:ascii="Arial" w:hAnsi="Arial" w:cs="Arial"/>
                <w:sz w:val="22"/>
                <w:szCs w:val="22"/>
              </w:rPr>
              <w:t xml:space="preserve">nsure that all summative written coursework worth more than 40% of the mark for any given module is </w:t>
            </w:r>
            <w:r w:rsidRPr="00CE3E03">
              <w:rPr>
                <w:rFonts w:ascii="Arial" w:hAnsi="Arial" w:cs="Arial"/>
                <w:sz w:val="22"/>
                <w:szCs w:val="22"/>
              </w:rPr>
              <w:lastRenderedPageBreak/>
              <w:t>assessed on an anonymous basis until the provisional mark is established</w:t>
            </w:r>
            <w:r>
              <w:rPr>
                <w:rFonts w:ascii="Arial" w:hAnsi="Arial" w:cs="Arial"/>
                <w:sz w:val="22"/>
                <w:szCs w:val="22"/>
              </w:rPr>
              <w:t>.</w:t>
            </w:r>
          </w:p>
        </w:tc>
        <w:tc>
          <w:tcPr>
            <w:tcW w:w="2694" w:type="dxa"/>
          </w:tcPr>
          <w:p w:rsidR="00E06A07" w:rsidRPr="00FF4939" w:rsidRDefault="00FF4939" w:rsidP="00A42DF1">
            <w:pPr>
              <w:rPr>
                <w:rFonts w:ascii="Arial" w:hAnsi="Arial"/>
                <w:sz w:val="22"/>
              </w:rPr>
            </w:pPr>
            <w:r w:rsidRPr="00FF4939">
              <w:rPr>
                <w:rFonts w:ascii="Arial" w:hAnsi="Arial" w:cs="Arial"/>
                <w:sz w:val="22"/>
                <w:szCs w:val="22"/>
              </w:rPr>
              <w:lastRenderedPageBreak/>
              <w:t xml:space="preserve">Development Planning </w:t>
            </w:r>
            <w:r w:rsidRPr="00FF4939">
              <w:rPr>
                <w:rFonts w:ascii="Arial" w:hAnsi="Arial" w:cs="Arial"/>
                <w:sz w:val="22"/>
                <w:szCs w:val="22"/>
              </w:rPr>
              <w:lastRenderedPageBreak/>
              <w:t>Unit</w:t>
            </w:r>
          </w:p>
        </w:tc>
        <w:tc>
          <w:tcPr>
            <w:tcW w:w="1256" w:type="dxa"/>
          </w:tcPr>
          <w:p w:rsidR="00E06A07" w:rsidRDefault="0079432E" w:rsidP="00A42DF1">
            <w:pPr>
              <w:rPr>
                <w:rFonts w:ascii="Arial" w:hAnsi="Arial"/>
                <w:sz w:val="22"/>
              </w:rPr>
            </w:pPr>
            <w:r>
              <w:rPr>
                <w:rFonts w:ascii="Arial" w:hAnsi="Arial"/>
                <w:sz w:val="22"/>
              </w:rPr>
              <w:lastRenderedPageBreak/>
              <w:t>Necessary</w:t>
            </w:r>
          </w:p>
        </w:tc>
      </w:tr>
      <w:tr w:rsidR="00E06A07" w:rsidTr="0098204A">
        <w:tc>
          <w:tcPr>
            <w:tcW w:w="10314" w:type="dxa"/>
          </w:tcPr>
          <w:p w:rsidR="00E06A07" w:rsidRPr="00FF4939" w:rsidRDefault="00FF4939" w:rsidP="00A42DF1">
            <w:pPr>
              <w:rPr>
                <w:rFonts w:ascii="Arial" w:hAnsi="Arial" w:cs="Arial"/>
                <w:sz w:val="22"/>
                <w:szCs w:val="22"/>
              </w:rPr>
            </w:pPr>
            <w:r>
              <w:rPr>
                <w:rFonts w:ascii="Arial" w:hAnsi="Arial" w:cs="Arial"/>
                <w:sz w:val="22"/>
                <w:szCs w:val="22"/>
              </w:rPr>
              <w:lastRenderedPageBreak/>
              <w:t>E</w:t>
            </w:r>
            <w:r w:rsidRPr="00CE3E03">
              <w:rPr>
                <w:rFonts w:ascii="Arial" w:hAnsi="Arial" w:cs="Arial"/>
                <w:sz w:val="22"/>
                <w:szCs w:val="22"/>
              </w:rPr>
              <w:t>nsure that requirements relating to the deadlines for submission of coursework (whether electronically or in hard copy) are clear and consistent</w:t>
            </w:r>
            <w:r>
              <w:rPr>
                <w:rFonts w:ascii="Arial" w:hAnsi="Arial" w:cs="Arial"/>
                <w:sz w:val="22"/>
                <w:szCs w:val="22"/>
              </w:rPr>
              <w:t>.</w:t>
            </w:r>
          </w:p>
        </w:tc>
        <w:tc>
          <w:tcPr>
            <w:tcW w:w="2694" w:type="dxa"/>
          </w:tcPr>
          <w:p w:rsidR="00E06A07" w:rsidRDefault="00FF4939" w:rsidP="00A42DF1">
            <w:pPr>
              <w:rPr>
                <w:rFonts w:ascii="Arial" w:hAnsi="Arial"/>
                <w:sz w:val="22"/>
              </w:rPr>
            </w:pPr>
            <w:r w:rsidRPr="00FF4939">
              <w:rPr>
                <w:rFonts w:ascii="Arial" w:hAnsi="Arial" w:cs="Arial"/>
                <w:sz w:val="22"/>
                <w:szCs w:val="22"/>
              </w:rPr>
              <w:t>Development Planning Unit</w:t>
            </w:r>
          </w:p>
        </w:tc>
        <w:tc>
          <w:tcPr>
            <w:tcW w:w="1256" w:type="dxa"/>
          </w:tcPr>
          <w:p w:rsidR="00E06A07" w:rsidRDefault="0079432E" w:rsidP="00A42DF1">
            <w:pPr>
              <w:rPr>
                <w:rFonts w:ascii="Arial" w:hAnsi="Arial"/>
                <w:sz w:val="22"/>
              </w:rPr>
            </w:pPr>
            <w:r>
              <w:rPr>
                <w:rFonts w:ascii="Arial" w:hAnsi="Arial"/>
                <w:sz w:val="22"/>
              </w:rPr>
              <w:t>Advisable</w:t>
            </w:r>
          </w:p>
        </w:tc>
      </w:tr>
      <w:tr w:rsidR="00E06A07" w:rsidTr="0098204A">
        <w:tc>
          <w:tcPr>
            <w:tcW w:w="10314" w:type="dxa"/>
          </w:tcPr>
          <w:p w:rsidR="00E06A07" w:rsidRPr="00D95C45" w:rsidRDefault="00D95C45" w:rsidP="00A42DF1">
            <w:pPr>
              <w:rPr>
                <w:rFonts w:ascii="Arial" w:hAnsi="Arial" w:cs="Arial"/>
                <w:sz w:val="22"/>
                <w:szCs w:val="22"/>
              </w:rPr>
            </w:pPr>
            <w:r>
              <w:rPr>
                <w:rFonts w:ascii="Arial" w:hAnsi="Arial" w:cs="Arial"/>
                <w:sz w:val="22"/>
                <w:szCs w:val="22"/>
              </w:rPr>
              <w:t>E</w:t>
            </w:r>
            <w:r w:rsidRPr="00D95C45">
              <w:rPr>
                <w:rFonts w:ascii="Arial" w:hAnsi="Arial" w:cs="Arial"/>
                <w:sz w:val="22"/>
                <w:szCs w:val="22"/>
              </w:rPr>
              <w:t xml:space="preserve">nsure that the schemes of award for its MA programmes are common and consistent across its Masters provision and clearly described as such in programme handbooks and fully consistent with the wording of the relevant UCL regulations. </w:t>
            </w:r>
          </w:p>
        </w:tc>
        <w:tc>
          <w:tcPr>
            <w:tcW w:w="2694" w:type="dxa"/>
          </w:tcPr>
          <w:p w:rsidR="00E06A07" w:rsidRDefault="00D95C45" w:rsidP="00A42DF1">
            <w:pPr>
              <w:rPr>
                <w:rFonts w:ascii="Arial" w:hAnsi="Arial"/>
                <w:sz w:val="22"/>
              </w:rPr>
            </w:pPr>
            <w:r>
              <w:rPr>
                <w:rFonts w:ascii="Arial" w:hAnsi="Arial"/>
                <w:sz w:val="22"/>
              </w:rPr>
              <w:t>English</w:t>
            </w:r>
          </w:p>
        </w:tc>
        <w:tc>
          <w:tcPr>
            <w:tcW w:w="1256" w:type="dxa"/>
          </w:tcPr>
          <w:p w:rsidR="00E06A07" w:rsidRDefault="00FF5078" w:rsidP="00A42DF1">
            <w:pPr>
              <w:rPr>
                <w:rFonts w:ascii="Arial" w:hAnsi="Arial"/>
                <w:sz w:val="22"/>
              </w:rPr>
            </w:pPr>
            <w:r>
              <w:rPr>
                <w:rFonts w:ascii="Arial" w:hAnsi="Arial"/>
                <w:sz w:val="22"/>
              </w:rPr>
              <w:t>Necessary</w:t>
            </w:r>
          </w:p>
        </w:tc>
      </w:tr>
      <w:tr w:rsidR="00E06A07" w:rsidTr="0098204A">
        <w:tc>
          <w:tcPr>
            <w:tcW w:w="10314" w:type="dxa"/>
          </w:tcPr>
          <w:p w:rsidR="00E06A07" w:rsidRPr="00D95C45" w:rsidRDefault="00D95C45" w:rsidP="00A42DF1">
            <w:pPr>
              <w:rPr>
                <w:rFonts w:ascii="Arial" w:hAnsi="Arial" w:cs="Arial"/>
                <w:sz w:val="22"/>
                <w:szCs w:val="22"/>
              </w:rPr>
            </w:pPr>
            <w:r>
              <w:rPr>
                <w:rFonts w:ascii="Arial" w:hAnsi="Arial" w:cs="Arial"/>
                <w:sz w:val="22"/>
                <w:szCs w:val="22"/>
              </w:rPr>
              <w:t>S</w:t>
            </w:r>
            <w:r w:rsidRPr="00D95C45">
              <w:rPr>
                <w:rFonts w:ascii="Arial" w:hAnsi="Arial" w:cs="Arial"/>
                <w:sz w:val="22"/>
                <w:szCs w:val="22"/>
              </w:rPr>
              <w:t>atisfy itself that the use of oral examinations on its taught programmes and modules is fully consistent  with UCL policy and guidance as set out in the UCL Academic Manual (</w:t>
            </w:r>
            <w:hyperlink r:id="rId10" w:history="1">
              <w:r w:rsidRPr="00D95C45">
                <w:rPr>
                  <w:rStyle w:val="Hyperlink"/>
                  <w:rFonts w:ascii="Arial" w:hAnsi="Arial" w:cs="Arial"/>
                  <w:sz w:val="22"/>
                  <w:szCs w:val="22"/>
                </w:rPr>
                <w:t>http://www.ucl.ac.uk/academic-manual/part-3/assessment-strategy</w:t>
              </w:r>
            </w:hyperlink>
            <w:r w:rsidRPr="00D95C45">
              <w:rPr>
                <w:rFonts w:ascii="Arial" w:hAnsi="Arial" w:cs="Arial"/>
                <w:sz w:val="22"/>
                <w:szCs w:val="22"/>
              </w:rPr>
              <w:t xml:space="preserve">) – i.e. that oral presentations are conducted in a professional and open manner; that students are made aware of the purpose, format and assessment criteria, including any prescribed length of time, for an oral examination or presentation in advance of the assessment taking place; that examination/presentation, and, at its outset, outline this to students being assessed.   </w:t>
            </w:r>
          </w:p>
        </w:tc>
        <w:tc>
          <w:tcPr>
            <w:tcW w:w="2694" w:type="dxa"/>
          </w:tcPr>
          <w:p w:rsidR="00E06A07" w:rsidRDefault="00D95C45" w:rsidP="00A42DF1">
            <w:pPr>
              <w:rPr>
                <w:rFonts w:ascii="Arial" w:hAnsi="Arial"/>
                <w:sz w:val="22"/>
              </w:rPr>
            </w:pPr>
            <w:r>
              <w:rPr>
                <w:rFonts w:ascii="Arial" w:hAnsi="Arial"/>
                <w:sz w:val="22"/>
              </w:rPr>
              <w:t>Infection and Immunity</w:t>
            </w:r>
          </w:p>
        </w:tc>
        <w:tc>
          <w:tcPr>
            <w:tcW w:w="1256" w:type="dxa"/>
          </w:tcPr>
          <w:p w:rsidR="00E06A07" w:rsidRDefault="00745ECB" w:rsidP="00A42DF1">
            <w:pPr>
              <w:rPr>
                <w:rFonts w:ascii="Arial" w:hAnsi="Arial"/>
                <w:sz w:val="22"/>
              </w:rPr>
            </w:pPr>
            <w:r>
              <w:rPr>
                <w:rFonts w:ascii="Arial" w:hAnsi="Arial"/>
                <w:sz w:val="22"/>
              </w:rPr>
              <w:t>Necessary</w:t>
            </w:r>
          </w:p>
        </w:tc>
      </w:tr>
      <w:tr w:rsidR="00D95C45" w:rsidTr="0098204A">
        <w:tc>
          <w:tcPr>
            <w:tcW w:w="10314" w:type="dxa"/>
          </w:tcPr>
          <w:p w:rsidR="00D95C45" w:rsidRPr="00D95C45" w:rsidRDefault="00D95C45" w:rsidP="00A42DF1">
            <w:pPr>
              <w:rPr>
                <w:rFonts w:ascii="Arial" w:hAnsi="Arial" w:cs="Arial"/>
                <w:sz w:val="22"/>
                <w:szCs w:val="22"/>
              </w:rPr>
            </w:pPr>
            <w:r w:rsidRPr="00D95C45">
              <w:rPr>
                <w:rFonts w:ascii="Arial" w:hAnsi="Arial" w:cs="Arial"/>
                <w:sz w:val="22"/>
                <w:szCs w:val="22"/>
              </w:rPr>
              <w:t xml:space="preserve">Review its </w:t>
            </w:r>
            <w:r w:rsidRPr="00D95C45">
              <w:rPr>
                <w:rFonts w:ascii="Arial" w:hAnsi="Arial"/>
                <w:sz w:val="22"/>
              </w:rPr>
              <w:t xml:space="preserve">processes for feedback on the assessment of students’ work to ensure: (i) that it is within the parameters of the UCL </w:t>
            </w:r>
            <w:hyperlink r:id="rId11" w:history="1">
              <w:r w:rsidRPr="00D95C45">
                <w:rPr>
                  <w:rStyle w:val="Hyperlink"/>
                  <w:rFonts w:ascii="Arial" w:hAnsi="Arial"/>
                  <w:sz w:val="22"/>
                </w:rPr>
                <w:t>Service Standards</w:t>
              </w:r>
            </w:hyperlink>
            <w:r w:rsidRPr="00D95C45">
              <w:rPr>
                <w:rFonts w:ascii="Arial" w:hAnsi="Arial"/>
                <w:sz w:val="22"/>
              </w:rPr>
              <w:t xml:space="preserve"> and (ii) that assessment practice is consistent across its programmes. The students the team met reported some wide variability in the promptness and quality of marked work between different modules and programmes. Student concerns included slowness in the return of assessed work, not enough detail given in the feedback to ascertain progress and make improvements, inconsistent use of the grades by different markers and limited information on the criteria for grades. The Department might also consider introducing a shared Board of Examiners to facilitate consistent practice and change assessment practices, extending innovative practice such as peer to peer marking where appropriate. The team noted with concern that this had also been a recommendation in the </w:t>
            </w:r>
            <w:r w:rsidRPr="00D95C45">
              <w:rPr>
                <w:rFonts w:ascii="Arial" w:hAnsi="Arial" w:cs="Arial"/>
                <w:sz w:val="22"/>
                <w:szCs w:val="22"/>
              </w:rPr>
              <w:t>previous IQR in November 2005, albeit with issues raised on the then six week time-frame for the return of work.</w:t>
            </w:r>
          </w:p>
        </w:tc>
        <w:tc>
          <w:tcPr>
            <w:tcW w:w="2694" w:type="dxa"/>
          </w:tcPr>
          <w:p w:rsidR="00D95C45" w:rsidRDefault="00D95C45" w:rsidP="008541C8">
            <w:pPr>
              <w:rPr>
                <w:rFonts w:ascii="Arial" w:hAnsi="Arial"/>
                <w:sz w:val="22"/>
              </w:rPr>
            </w:pPr>
            <w:r>
              <w:rPr>
                <w:rFonts w:ascii="Arial" w:hAnsi="Arial"/>
                <w:sz w:val="22"/>
              </w:rPr>
              <w:t>Information Studies</w:t>
            </w:r>
          </w:p>
        </w:tc>
        <w:tc>
          <w:tcPr>
            <w:tcW w:w="1256" w:type="dxa"/>
          </w:tcPr>
          <w:p w:rsidR="00D95C45" w:rsidRDefault="00EB4A29" w:rsidP="00A42DF1">
            <w:pPr>
              <w:rPr>
                <w:rFonts w:ascii="Arial" w:hAnsi="Arial"/>
                <w:sz w:val="22"/>
              </w:rPr>
            </w:pPr>
            <w:r>
              <w:rPr>
                <w:rFonts w:ascii="Arial" w:hAnsi="Arial"/>
                <w:sz w:val="22"/>
              </w:rPr>
              <w:t>Necessary</w:t>
            </w:r>
          </w:p>
        </w:tc>
      </w:tr>
      <w:tr w:rsidR="00D95C45" w:rsidTr="0098204A">
        <w:tc>
          <w:tcPr>
            <w:tcW w:w="10314" w:type="dxa"/>
          </w:tcPr>
          <w:p w:rsidR="00D95C45" w:rsidRPr="006961F2" w:rsidRDefault="00D95C45" w:rsidP="00A42DF1">
            <w:pPr>
              <w:rPr>
                <w:rFonts w:ascii="Arial" w:hAnsi="Arial" w:cs="Arial"/>
                <w:sz w:val="22"/>
                <w:szCs w:val="22"/>
              </w:rPr>
            </w:pPr>
            <w:r>
              <w:rPr>
                <w:rFonts w:ascii="Arial" w:hAnsi="Arial" w:cs="Arial"/>
                <w:sz w:val="22"/>
              </w:rPr>
              <w:t>T</w:t>
            </w:r>
            <w:r w:rsidRPr="00D95C45">
              <w:rPr>
                <w:rFonts w:ascii="Arial" w:hAnsi="Arial" w:cs="Arial"/>
                <w:sz w:val="22"/>
              </w:rPr>
              <w:t>he Programme Tutor, in liaison with the Stream Representatives and all the academic and teaching staff on the Programme, should ensure that the entire Natural Sciences student cohort are aware of the marking criteria used for providing feedback on their work.</w:t>
            </w:r>
          </w:p>
        </w:tc>
        <w:tc>
          <w:tcPr>
            <w:tcW w:w="2694" w:type="dxa"/>
          </w:tcPr>
          <w:p w:rsidR="00D95C45" w:rsidRDefault="00D95C45" w:rsidP="00A42DF1">
            <w:pPr>
              <w:rPr>
                <w:rFonts w:ascii="Arial" w:hAnsi="Arial"/>
                <w:sz w:val="22"/>
              </w:rPr>
            </w:pPr>
            <w:r>
              <w:rPr>
                <w:rFonts w:ascii="Arial" w:hAnsi="Arial" w:cs="Arial"/>
                <w:sz w:val="22"/>
                <w:szCs w:val="22"/>
              </w:rPr>
              <w:t>BSc/</w:t>
            </w:r>
            <w:r w:rsidRPr="00FF4939">
              <w:rPr>
                <w:rFonts w:ascii="Arial" w:hAnsi="Arial" w:cs="Arial"/>
                <w:sz w:val="22"/>
                <w:szCs w:val="22"/>
              </w:rPr>
              <w:t>MSci Natural Sciences</w:t>
            </w:r>
          </w:p>
        </w:tc>
        <w:tc>
          <w:tcPr>
            <w:tcW w:w="1256" w:type="dxa"/>
          </w:tcPr>
          <w:p w:rsidR="00D95C45" w:rsidRDefault="00B4489D" w:rsidP="00A42DF1">
            <w:pPr>
              <w:rPr>
                <w:rFonts w:ascii="Arial" w:hAnsi="Arial"/>
                <w:sz w:val="22"/>
              </w:rPr>
            </w:pPr>
            <w:r>
              <w:rPr>
                <w:rFonts w:ascii="Arial" w:hAnsi="Arial"/>
                <w:sz w:val="22"/>
              </w:rPr>
              <w:t>Necessary</w:t>
            </w:r>
          </w:p>
        </w:tc>
      </w:tr>
      <w:tr w:rsidR="00D95C45" w:rsidTr="0098204A">
        <w:tc>
          <w:tcPr>
            <w:tcW w:w="10314" w:type="dxa"/>
          </w:tcPr>
          <w:p w:rsidR="00D95C45" w:rsidRPr="00D95C45" w:rsidRDefault="00D95C45" w:rsidP="00D95C45">
            <w:pPr>
              <w:tabs>
                <w:tab w:val="left" w:pos="709"/>
              </w:tabs>
              <w:rPr>
                <w:rFonts w:ascii="Arial" w:hAnsi="Arial"/>
                <w:sz w:val="22"/>
                <w:szCs w:val="22"/>
              </w:rPr>
            </w:pPr>
            <w:r w:rsidRPr="00D95C45">
              <w:rPr>
                <w:rFonts w:ascii="Arial" w:hAnsi="Arial" w:cs="Arial"/>
                <w:sz w:val="22"/>
                <w:szCs w:val="22"/>
              </w:rPr>
              <w:t xml:space="preserve">The School is advised to </w:t>
            </w:r>
            <w:r w:rsidRPr="00D95C45">
              <w:rPr>
                <w:rFonts w:ascii="Arial" w:hAnsi="Arial"/>
                <w:sz w:val="22"/>
                <w:szCs w:val="22"/>
              </w:rPr>
              <w:t>ensure that all staff and students are aware of the UCL policy on Peer Observation of Teaching (PoT) (and procedures for reporting that PoT has taken place) and that a link to the UCL policy be added to their website(s).</w:t>
            </w:r>
          </w:p>
        </w:tc>
        <w:tc>
          <w:tcPr>
            <w:tcW w:w="2694" w:type="dxa"/>
          </w:tcPr>
          <w:p w:rsidR="00D95C45" w:rsidRDefault="00B876FC" w:rsidP="00A42DF1">
            <w:pPr>
              <w:rPr>
                <w:rFonts w:ascii="Arial" w:hAnsi="Arial"/>
                <w:sz w:val="22"/>
              </w:rPr>
            </w:pPr>
            <w:r>
              <w:rPr>
                <w:rFonts w:ascii="Arial" w:hAnsi="Arial" w:cs="Arial"/>
                <w:sz w:val="22"/>
                <w:szCs w:val="22"/>
              </w:rPr>
              <w:t>SELCS</w:t>
            </w:r>
          </w:p>
        </w:tc>
        <w:tc>
          <w:tcPr>
            <w:tcW w:w="1256" w:type="dxa"/>
          </w:tcPr>
          <w:p w:rsidR="00D95C45" w:rsidRDefault="001610D6" w:rsidP="00A42DF1">
            <w:pPr>
              <w:rPr>
                <w:rFonts w:ascii="Arial" w:hAnsi="Arial"/>
                <w:sz w:val="22"/>
              </w:rPr>
            </w:pPr>
            <w:r>
              <w:rPr>
                <w:rFonts w:ascii="Arial" w:hAnsi="Arial"/>
                <w:sz w:val="22"/>
              </w:rPr>
              <w:t>Necessary</w:t>
            </w:r>
          </w:p>
        </w:tc>
      </w:tr>
      <w:tr w:rsidR="00D95C45" w:rsidTr="0098204A">
        <w:tc>
          <w:tcPr>
            <w:tcW w:w="10314" w:type="dxa"/>
          </w:tcPr>
          <w:p w:rsidR="00D95C45" w:rsidRPr="00D95C45" w:rsidRDefault="00D95C45" w:rsidP="00D95C45">
            <w:pPr>
              <w:tabs>
                <w:tab w:val="left" w:pos="709"/>
              </w:tabs>
              <w:rPr>
                <w:rFonts w:ascii="Arial" w:hAnsi="Arial"/>
                <w:sz w:val="22"/>
                <w:szCs w:val="22"/>
              </w:rPr>
            </w:pPr>
            <w:r w:rsidRPr="00D95C45">
              <w:rPr>
                <w:rFonts w:ascii="Arial" w:hAnsi="Arial" w:cs="Arial"/>
                <w:sz w:val="22"/>
                <w:szCs w:val="22"/>
              </w:rPr>
              <w:t>The School should take action to ensure that all assessed student work is returned to students within 4 weeks from the date of submission in line with UCL policy. The Review Team found that, in a few instances, feedback was delayed by up to 6 weeks from the date of submission. The students interviewed reported that this delay meant that the feedback was not received in enough time to allow them to use it to prepare their next piece of work</w:t>
            </w:r>
            <w:r w:rsidRPr="00D95C45">
              <w:rPr>
                <w:rFonts w:ascii="Arial" w:hAnsi="Arial" w:cs="Arial"/>
                <w:sz w:val="22"/>
                <w:szCs w:val="22"/>
                <w:lang w:val="en-US"/>
              </w:rPr>
              <w:t>.</w:t>
            </w:r>
          </w:p>
        </w:tc>
        <w:tc>
          <w:tcPr>
            <w:tcW w:w="2694" w:type="dxa"/>
          </w:tcPr>
          <w:p w:rsidR="00D95C45" w:rsidRDefault="00B876FC" w:rsidP="00A42DF1">
            <w:pPr>
              <w:rPr>
                <w:rFonts w:ascii="Arial" w:hAnsi="Arial"/>
                <w:sz w:val="22"/>
              </w:rPr>
            </w:pPr>
            <w:r>
              <w:rPr>
                <w:rFonts w:ascii="Arial" w:hAnsi="Arial" w:cs="Arial"/>
                <w:sz w:val="22"/>
                <w:szCs w:val="22"/>
              </w:rPr>
              <w:t>SELCS</w:t>
            </w:r>
          </w:p>
        </w:tc>
        <w:tc>
          <w:tcPr>
            <w:tcW w:w="1256" w:type="dxa"/>
          </w:tcPr>
          <w:p w:rsidR="00D95C45" w:rsidRDefault="001610D6" w:rsidP="00A42DF1">
            <w:pPr>
              <w:rPr>
                <w:rFonts w:ascii="Arial" w:hAnsi="Arial"/>
                <w:sz w:val="22"/>
              </w:rPr>
            </w:pPr>
            <w:r>
              <w:rPr>
                <w:rFonts w:ascii="Arial" w:hAnsi="Arial"/>
                <w:sz w:val="22"/>
              </w:rPr>
              <w:t>Necessary</w:t>
            </w:r>
          </w:p>
        </w:tc>
      </w:tr>
      <w:tr w:rsidR="00D95C45" w:rsidTr="0098204A">
        <w:tc>
          <w:tcPr>
            <w:tcW w:w="10314" w:type="dxa"/>
          </w:tcPr>
          <w:p w:rsidR="00D95C45" w:rsidRPr="00B876FC" w:rsidRDefault="00D95C45" w:rsidP="00B876FC">
            <w:pPr>
              <w:tabs>
                <w:tab w:val="left" w:pos="709"/>
              </w:tabs>
              <w:rPr>
                <w:rFonts w:ascii="Arial" w:hAnsi="Arial"/>
                <w:sz w:val="22"/>
                <w:szCs w:val="22"/>
              </w:rPr>
            </w:pPr>
            <w:r w:rsidRPr="00D95C45">
              <w:rPr>
                <w:rFonts w:ascii="Arial" w:hAnsi="Arial" w:cs="Arial"/>
                <w:sz w:val="22"/>
                <w:szCs w:val="22"/>
              </w:rPr>
              <w:t xml:space="preserve">The School is advised to </w:t>
            </w:r>
            <w:r w:rsidRPr="00D95C45">
              <w:rPr>
                <w:rFonts w:ascii="Arial" w:hAnsi="Arial"/>
                <w:sz w:val="22"/>
                <w:szCs w:val="22"/>
              </w:rPr>
              <w:t xml:space="preserve">supply guidance on essay writing to its MA students to ensure that they are </w:t>
            </w:r>
            <w:r w:rsidRPr="00D95C45">
              <w:rPr>
                <w:rFonts w:ascii="Arial" w:hAnsi="Arial"/>
                <w:sz w:val="22"/>
                <w:szCs w:val="22"/>
              </w:rPr>
              <w:lastRenderedPageBreak/>
              <w:t>clear about the criteria for judging what makes a ‘good’ piece of writing at PGT level.</w:t>
            </w:r>
          </w:p>
        </w:tc>
        <w:tc>
          <w:tcPr>
            <w:tcW w:w="2694" w:type="dxa"/>
          </w:tcPr>
          <w:p w:rsidR="00D95C45" w:rsidRDefault="00B876FC" w:rsidP="00A42DF1">
            <w:pPr>
              <w:rPr>
                <w:rFonts w:ascii="Arial" w:hAnsi="Arial"/>
                <w:sz w:val="22"/>
              </w:rPr>
            </w:pPr>
            <w:r>
              <w:rPr>
                <w:rFonts w:ascii="Arial" w:hAnsi="Arial" w:cs="Arial"/>
                <w:sz w:val="22"/>
                <w:szCs w:val="22"/>
              </w:rPr>
              <w:lastRenderedPageBreak/>
              <w:t>SELCS</w:t>
            </w:r>
          </w:p>
        </w:tc>
        <w:tc>
          <w:tcPr>
            <w:tcW w:w="1256" w:type="dxa"/>
          </w:tcPr>
          <w:p w:rsidR="00D95C45" w:rsidRDefault="001610D6" w:rsidP="00A42DF1">
            <w:pPr>
              <w:rPr>
                <w:rFonts w:ascii="Arial" w:hAnsi="Arial"/>
                <w:sz w:val="22"/>
              </w:rPr>
            </w:pPr>
            <w:r>
              <w:rPr>
                <w:rFonts w:ascii="Arial" w:hAnsi="Arial"/>
                <w:sz w:val="22"/>
              </w:rPr>
              <w:t>Advisable</w:t>
            </w:r>
          </w:p>
        </w:tc>
      </w:tr>
      <w:tr w:rsidR="00D95C45" w:rsidTr="0098204A">
        <w:tc>
          <w:tcPr>
            <w:tcW w:w="10314" w:type="dxa"/>
          </w:tcPr>
          <w:p w:rsidR="00D95C45" w:rsidRPr="00D95C45" w:rsidRDefault="00D95C45" w:rsidP="00D95C45">
            <w:pPr>
              <w:tabs>
                <w:tab w:val="left" w:pos="709"/>
              </w:tabs>
              <w:rPr>
                <w:rFonts w:ascii="Arial" w:hAnsi="Arial"/>
                <w:sz w:val="22"/>
                <w:szCs w:val="22"/>
              </w:rPr>
            </w:pPr>
            <w:r w:rsidRPr="00D95C45">
              <w:rPr>
                <w:rFonts w:ascii="Arial" w:hAnsi="Arial" w:cs="Arial"/>
                <w:sz w:val="22"/>
                <w:szCs w:val="22"/>
              </w:rPr>
              <w:lastRenderedPageBreak/>
              <w:t xml:space="preserve">The School is advised to </w:t>
            </w:r>
            <w:r w:rsidRPr="00D95C45">
              <w:rPr>
                <w:rFonts w:ascii="Arial" w:hAnsi="Arial"/>
                <w:sz w:val="22"/>
                <w:szCs w:val="22"/>
              </w:rPr>
              <w:t>consider extending peer marking to PGT level. The Review Team found that this practice was currently undertaken at undergraduate level in the School and felt that it might be extended to its MA students</w:t>
            </w:r>
            <w:r w:rsidRPr="00D95C45">
              <w:rPr>
                <w:rFonts w:ascii="Arial" w:hAnsi="Arial" w:cs="Arial"/>
                <w:sz w:val="22"/>
                <w:szCs w:val="22"/>
                <w:lang w:val="en-US"/>
              </w:rPr>
              <w:t>.</w:t>
            </w:r>
          </w:p>
        </w:tc>
        <w:tc>
          <w:tcPr>
            <w:tcW w:w="2694" w:type="dxa"/>
          </w:tcPr>
          <w:p w:rsidR="00D95C45" w:rsidRDefault="00B876FC" w:rsidP="00A42DF1">
            <w:pPr>
              <w:rPr>
                <w:rFonts w:ascii="Arial" w:hAnsi="Arial"/>
                <w:sz w:val="22"/>
              </w:rPr>
            </w:pPr>
            <w:r>
              <w:rPr>
                <w:rFonts w:ascii="Arial" w:hAnsi="Arial" w:cs="Arial"/>
                <w:sz w:val="22"/>
                <w:szCs w:val="22"/>
              </w:rPr>
              <w:t>SELCS</w:t>
            </w:r>
          </w:p>
        </w:tc>
        <w:tc>
          <w:tcPr>
            <w:tcW w:w="1256" w:type="dxa"/>
          </w:tcPr>
          <w:p w:rsidR="00D95C45" w:rsidRDefault="001610D6" w:rsidP="00A42DF1">
            <w:pPr>
              <w:rPr>
                <w:rFonts w:ascii="Arial" w:hAnsi="Arial"/>
                <w:sz w:val="22"/>
              </w:rPr>
            </w:pPr>
            <w:r>
              <w:rPr>
                <w:rFonts w:ascii="Arial" w:hAnsi="Arial"/>
                <w:sz w:val="22"/>
              </w:rPr>
              <w:t>Advisable</w:t>
            </w:r>
          </w:p>
        </w:tc>
      </w:tr>
      <w:tr w:rsidR="00D95C45" w:rsidTr="00B876FC">
        <w:tc>
          <w:tcPr>
            <w:tcW w:w="10314" w:type="dxa"/>
            <w:shd w:val="clear" w:color="auto" w:fill="E5B8B7" w:themeFill="accent2" w:themeFillTint="66"/>
          </w:tcPr>
          <w:p w:rsidR="00D95C45" w:rsidRDefault="00D95C45" w:rsidP="00A42DF1">
            <w:pPr>
              <w:rPr>
                <w:rFonts w:ascii="Arial" w:hAnsi="Arial"/>
                <w:sz w:val="22"/>
              </w:rPr>
            </w:pPr>
            <w:r>
              <w:rPr>
                <w:rFonts w:ascii="Arial" w:hAnsi="Arial"/>
                <w:b/>
                <w:i/>
                <w:sz w:val="22"/>
              </w:rPr>
              <w:t>Student Recruitment, Admission and Reception</w:t>
            </w:r>
          </w:p>
        </w:tc>
        <w:tc>
          <w:tcPr>
            <w:tcW w:w="2694" w:type="dxa"/>
            <w:shd w:val="clear" w:color="auto" w:fill="E5B8B7" w:themeFill="accent2" w:themeFillTint="66"/>
          </w:tcPr>
          <w:p w:rsidR="00D95C45" w:rsidRDefault="00D95C45" w:rsidP="00A42DF1">
            <w:pPr>
              <w:rPr>
                <w:rFonts w:ascii="Arial" w:hAnsi="Arial"/>
                <w:sz w:val="22"/>
              </w:rPr>
            </w:pPr>
          </w:p>
        </w:tc>
        <w:tc>
          <w:tcPr>
            <w:tcW w:w="1256" w:type="dxa"/>
            <w:shd w:val="clear" w:color="auto" w:fill="E5B8B7" w:themeFill="accent2" w:themeFillTint="66"/>
          </w:tcPr>
          <w:p w:rsidR="00D95C45" w:rsidRDefault="00D95C45" w:rsidP="00A42DF1">
            <w:pPr>
              <w:rPr>
                <w:rFonts w:ascii="Arial" w:hAnsi="Arial"/>
                <w:sz w:val="22"/>
              </w:rPr>
            </w:pPr>
          </w:p>
        </w:tc>
      </w:tr>
      <w:tr w:rsidR="00D95C45" w:rsidTr="0098204A">
        <w:tc>
          <w:tcPr>
            <w:tcW w:w="10314" w:type="dxa"/>
          </w:tcPr>
          <w:p w:rsidR="00D95C45" w:rsidRPr="00D95C45" w:rsidRDefault="0079432E" w:rsidP="00A42DF1">
            <w:pPr>
              <w:rPr>
                <w:rFonts w:ascii="Arial" w:hAnsi="Arial" w:cs="Arial"/>
                <w:sz w:val="22"/>
                <w:szCs w:val="22"/>
              </w:rPr>
            </w:pPr>
            <w:proofErr w:type="spellStart"/>
            <w:r w:rsidRPr="00224968">
              <w:rPr>
                <w:rFonts w:ascii="Arial" w:hAnsi="Arial" w:cs="Arial"/>
                <w:sz w:val="22"/>
                <w:szCs w:val="22"/>
              </w:rPr>
              <w:t>Owing</w:t>
            </w:r>
            <w:proofErr w:type="spellEnd"/>
            <w:r w:rsidRPr="00224968">
              <w:rPr>
                <w:rFonts w:ascii="Arial" w:hAnsi="Arial" w:cs="Arial"/>
                <w:sz w:val="22"/>
                <w:szCs w:val="22"/>
              </w:rPr>
              <w:t xml:space="preserve"> to pressure of time and numbers, MA </w:t>
            </w:r>
            <w:r w:rsidRPr="00224968">
              <w:rPr>
                <w:rFonts w:ascii="Arial" w:hAnsi="Arial" w:cs="Arial"/>
                <w:sz w:val="22"/>
                <w:szCs w:val="22"/>
                <w:lang w:val="en"/>
              </w:rPr>
              <w:t xml:space="preserve">interviews are conducted by only one staff member, although a minimum of two members of staff, both of whom have been trained in interviewing and equal opportunity </w:t>
            </w:r>
            <w:proofErr w:type="gramStart"/>
            <w:r w:rsidRPr="00224968">
              <w:rPr>
                <w:rFonts w:ascii="Arial" w:hAnsi="Arial" w:cs="Arial"/>
                <w:sz w:val="22"/>
                <w:szCs w:val="22"/>
                <w:lang w:val="en"/>
              </w:rPr>
              <w:t>awareness,</w:t>
            </w:r>
            <w:proofErr w:type="gramEnd"/>
            <w:r w:rsidRPr="00224968">
              <w:rPr>
                <w:rFonts w:ascii="Arial" w:hAnsi="Arial" w:cs="Arial"/>
                <w:sz w:val="22"/>
                <w:szCs w:val="22"/>
                <w:lang w:val="en"/>
              </w:rPr>
              <w:t xml:space="preserve"> is specified by </w:t>
            </w:r>
            <w:r w:rsidRPr="00224968">
              <w:rPr>
                <w:rFonts w:ascii="Arial" w:hAnsi="Arial" w:cs="Arial"/>
                <w:sz w:val="22"/>
                <w:szCs w:val="22"/>
              </w:rPr>
              <w:t xml:space="preserve">UCL policy. The Department is aware of this and agrees to reconsider the way in which interviews are carried out and to ensure that student </w:t>
            </w:r>
            <w:r w:rsidRPr="00224968">
              <w:rPr>
                <w:rFonts w:ascii="Arial" w:hAnsi="Arial" w:cs="Arial"/>
                <w:sz w:val="22"/>
                <w:szCs w:val="22"/>
                <w:lang w:val="en"/>
              </w:rPr>
              <w:t>interviews are conducted by a minimum of two members of staff, both of whom have been trained in interviewing and equal opportunity awareness, in</w:t>
            </w:r>
            <w:r w:rsidRPr="00224968">
              <w:rPr>
                <w:rFonts w:ascii="Arial" w:hAnsi="Arial" w:cs="Arial"/>
                <w:sz w:val="22"/>
                <w:szCs w:val="22"/>
              </w:rPr>
              <w:t xml:space="preserve"> accordance with UCL policy the Department must ensure that student </w:t>
            </w:r>
            <w:r w:rsidRPr="00224968">
              <w:rPr>
                <w:rFonts w:ascii="Arial" w:hAnsi="Arial" w:cs="Arial"/>
                <w:sz w:val="22"/>
                <w:szCs w:val="22"/>
                <w:lang w:val="en"/>
              </w:rPr>
              <w:t>interviews are conducted by a minimum of two members of staff, both of whom have been trained in interviewing and equal opportunity awareness, in</w:t>
            </w:r>
            <w:r w:rsidRPr="00224968">
              <w:rPr>
                <w:rFonts w:ascii="Arial" w:hAnsi="Arial" w:cs="Arial"/>
                <w:sz w:val="22"/>
                <w:szCs w:val="22"/>
              </w:rPr>
              <w:t xml:space="preserve"> accordance with UCL policy</w:t>
            </w:r>
            <w:r>
              <w:rPr>
                <w:rFonts w:ascii="Arial" w:hAnsi="Arial" w:cs="Arial"/>
                <w:sz w:val="22"/>
                <w:szCs w:val="22"/>
              </w:rPr>
              <w:t>.</w:t>
            </w:r>
          </w:p>
        </w:tc>
        <w:tc>
          <w:tcPr>
            <w:tcW w:w="2694" w:type="dxa"/>
          </w:tcPr>
          <w:p w:rsidR="00D95C45" w:rsidRDefault="00D95C45" w:rsidP="00A42DF1">
            <w:pPr>
              <w:rPr>
                <w:rFonts w:ascii="Arial" w:hAnsi="Arial"/>
                <w:sz w:val="22"/>
              </w:rPr>
            </w:pPr>
            <w:r>
              <w:rPr>
                <w:rFonts w:ascii="Arial" w:hAnsi="Arial"/>
                <w:sz w:val="22"/>
              </w:rPr>
              <w:t>History of Art</w:t>
            </w:r>
          </w:p>
        </w:tc>
        <w:tc>
          <w:tcPr>
            <w:tcW w:w="1256" w:type="dxa"/>
          </w:tcPr>
          <w:p w:rsidR="00D95C45" w:rsidRDefault="0079432E" w:rsidP="00A42DF1">
            <w:pPr>
              <w:rPr>
                <w:rFonts w:ascii="Arial" w:hAnsi="Arial"/>
                <w:sz w:val="22"/>
              </w:rPr>
            </w:pPr>
            <w:r>
              <w:rPr>
                <w:rFonts w:ascii="Arial" w:hAnsi="Arial"/>
                <w:sz w:val="22"/>
              </w:rPr>
              <w:t>Necessary</w:t>
            </w:r>
          </w:p>
        </w:tc>
      </w:tr>
      <w:tr w:rsidR="00D95C45" w:rsidTr="0098204A">
        <w:tc>
          <w:tcPr>
            <w:tcW w:w="10314" w:type="dxa"/>
          </w:tcPr>
          <w:p w:rsidR="00D95C45" w:rsidRPr="00D95C45" w:rsidRDefault="00D95C45" w:rsidP="00A42DF1">
            <w:pPr>
              <w:rPr>
                <w:rFonts w:ascii="Arial" w:hAnsi="Arial" w:cs="Arial"/>
                <w:sz w:val="22"/>
                <w:szCs w:val="22"/>
              </w:rPr>
            </w:pPr>
            <w:r>
              <w:rPr>
                <w:rFonts w:ascii="Arial" w:hAnsi="Arial" w:cs="Arial"/>
                <w:sz w:val="22"/>
                <w:szCs w:val="22"/>
              </w:rPr>
              <w:t>R</w:t>
            </w:r>
            <w:r w:rsidRPr="00D95C45">
              <w:rPr>
                <w:rFonts w:ascii="Arial" w:hAnsi="Arial" w:cs="Arial"/>
                <w:sz w:val="22"/>
                <w:szCs w:val="22"/>
              </w:rPr>
              <w:t xml:space="preserve">eview the information on course options provided on its web pages, with a view </w:t>
            </w:r>
            <w:proofErr w:type="gramStart"/>
            <w:r w:rsidRPr="00D95C45">
              <w:rPr>
                <w:rFonts w:ascii="Arial" w:hAnsi="Arial" w:cs="Arial"/>
                <w:sz w:val="22"/>
                <w:szCs w:val="22"/>
              </w:rPr>
              <w:t>to  ensuring</w:t>
            </w:r>
            <w:proofErr w:type="gramEnd"/>
            <w:r w:rsidRPr="00D95C45">
              <w:rPr>
                <w:rFonts w:ascii="Arial" w:hAnsi="Arial" w:cs="Arial"/>
                <w:sz w:val="22"/>
                <w:szCs w:val="22"/>
              </w:rPr>
              <w:t xml:space="preserve"> that this is consistent as possible with the actual list of course options provided to students upon their arrival and that any changes to this information are made more apparent to students.  </w:t>
            </w:r>
          </w:p>
        </w:tc>
        <w:tc>
          <w:tcPr>
            <w:tcW w:w="2694" w:type="dxa"/>
          </w:tcPr>
          <w:p w:rsidR="00D95C45" w:rsidRDefault="00D95C45" w:rsidP="00A42DF1">
            <w:pPr>
              <w:rPr>
                <w:rFonts w:ascii="Arial" w:hAnsi="Arial"/>
                <w:sz w:val="22"/>
              </w:rPr>
            </w:pPr>
            <w:r>
              <w:rPr>
                <w:rFonts w:ascii="Arial" w:hAnsi="Arial"/>
                <w:sz w:val="22"/>
              </w:rPr>
              <w:t>English</w:t>
            </w:r>
          </w:p>
        </w:tc>
        <w:tc>
          <w:tcPr>
            <w:tcW w:w="1256" w:type="dxa"/>
          </w:tcPr>
          <w:p w:rsidR="00D95C45" w:rsidRDefault="00FF5078" w:rsidP="00A42DF1">
            <w:pPr>
              <w:rPr>
                <w:rFonts w:ascii="Arial" w:hAnsi="Arial"/>
                <w:sz w:val="22"/>
              </w:rPr>
            </w:pPr>
            <w:r>
              <w:rPr>
                <w:rFonts w:ascii="Arial" w:hAnsi="Arial"/>
                <w:sz w:val="22"/>
              </w:rPr>
              <w:t>Advisable</w:t>
            </w:r>
          </w:p>
        </w:tc>
      </w:tr>
      <w:tr w:rsidR="00D95C45" w:rsidTr="0098204A">
        <w:tc>
          <w:tcPr>
            <w:tcW w:w="10314" w:type="dxa"/>
          </w:tcPr>
          <w:p w:rsidR="00D95C45" w:rsidRPr="00D95C45" w:rsidRDefault="00D95C45" w:rsidP="00A42DF1">
            <w:pPr>
              <w:rPr>
                <w:rFonts w:ascii="Arial" w:hAnsi="Arial" w:cs="Arial"/>
                <w:sz w:val="22"/>
                <w:szCs w:val="22"/>
              </w:rPr>
            </w:pPr>
            <w:r>
              <w:rPr>
                <w:rFonts w:ascii="Arial" w:eastAsia="Calibri" w:hAnsi="Arial" w:cs="Arial"/>
                <w:bCs/>
                <w:sz w:val="22"/>
              </w:rPr>
              <w:t>I</w:t>
            </w:r>
            <w:r w:rsidRPr="00D95C45">
              <w:rPr>
                <w:rFonts w:ascii="Arial" w:eastAsia="Calibri" w:hAnsi="Arial" w:cs="Arial"/>
                <w:bCs/>
                <w:sz w:val="22"/>
              </w:rPr>
              <w:t xml:space="preserve">ntroduce a system that will enable clear communication of module choices available to students, especially those on PGT programmes, ahead of the start of the academic year/term. This will enable students to make informed choices, alleviating the potential for problems or disappointment arising from particular modules not being offered which is particularly acute for PGT students - see </w:t>
            </w:r>
            <w:hyperlink r:id="rId12" w:history="1">
              <w:r w:rsidRPr="00D95C45">
                <w:rPr>
                  <w:rFonts w:ascii="Arial" w:eastAsia="Calibri" w:hAnsi="Arial" w:cs="Arial"/>
                  <w:bCs/>
                  <w:color w:val="0000FF"/>
                  <w:sz w:val="22"/>
                  <w:u w:val="single"/>
                </w:rPr>
                <w:t xml:space="preserve">Student Support and Guidance, Part 5 of the </w:t>
              </w:r>
              <w:r w:rsidRPr="00D95C45">
                <w:rPr>
                  <w:rFonts w:ascii="Arial" w:eastAsia="Calibri" w:hAnsi="Arial" w:cs="Arial"/>
                  <w:bCs/>
                  <w:i/>
                  <w:color w:val="0000FF"/>
                  <w:sz w:val="22"/>
                  <w:u w:val="single"/>
                </w:rPr>
                <w:t>Academic Manual</w:t>
              </w:r>
            </w:hyperlink>
            <w:r w:rsidRPr="00D95C45">
              <w:rPr>
                <w:rFonts w:ascii="Arial" w:eastAsia="Calibri" w:hAnsi="Arial" w:cs="Arial"/>
                <w:bCs/>
                <w:sz w:val="22"/>
              </w:rPr>
              <w:t xml:space="preserve">, including </w:t>
            </w:r>
            <w:hyperlink r:id="rId13" w:history="1">
              <w:r w:rsidRPr="00D95C45">
                <w:rPr>
                  <w:rFonts w:ascii="Arial" w:eastAsia="Calibri" w:hAnsi="Arial" w:cs="Arial"/>
                  <w:bCs/>
                  <w:color w:val="0000FF"/>
                  <w:sz w:val="22"/>
                  <w:u w:val="single"/>
                </w:rPr>
                <w:t>Duties of Departmental Tutors</w:t>
              </w:r>
            </w:hyperlink>
            <w:r w:rsidRPr="00D95C45">
              <w:rPr>
                <w:rFonts w:ascii="Arial" w:eastAsia="Calibri" w:hAnsi="Arial" w:cs="Arial"/>
                <w:bCs/>
                <w:sz w:val="22"/>
              </w:rPr>
              <w:t>.</w:t>
            </w:r>
          </w:p>
        </w:tc>
        <w:tc>
          <w:tcPr>
            <w:tcW w:w="2694" w:type="dxa"/>
          </w:tcPr>
          <w:p w:rsidR="00D95C45" w:rsidRDefault="00D95C45" w:rsidP="00A42DF1">
            <w:pPr>
              <w:rPr>
                <w:rFonts w:ascii="Arial" w:hAnsi="Arial"/>
                <w:sz w:val="22"/>
              </w:rPr>
            </w:pPr>
            <w:r>
              <w:rPr>
                <w:rFonts w:ascii="Arial" w:hAnsi="Arial"/>
                <w:sz w:val="22"/>
              </w:rPr>
              <w:t>Greek and Latin</w:t>
            </w:r>
          </w:p>
        </w:tc>
        <w:tc>
          <w:tcPr>
            <w:tcW w:w="1256" w:type="dxa"/>
          </w:tcPr>
          <w:p w:rsidR="00D95C45" w:rsidRDefault="00745ECB" w:rsidP="00A42DF1">
            <w:pPr>
              <w:rPr>
                <w:rFonts w:ascii="Arial" w:hAnsi="Arial"/>
                <w:sz w:val="22"/>
              </w:rPr>
            </w:pPr>
            <w:r>
              <w:rPr>
                <w:rFonts w:ascii="Arial" w:hAnsi="Arial"/>
                <w:sz w:val="22"/>
              </w:rPr>
              <w:t>Necessary</w:t>
            </w:r>
          </w:p>
        </w:tc>
      </w:tr>
      <w:tr w:rsidR="00D95C45" w:rsidTr="0098204A">
        <w:tc>
          <w:tcPr>
            <w:tcW w:w="10314" w:type="dxa"/>
          </w:tcPr>
          <w:p w:rsidR="00D95C45" w:rsidRPr="00D95C45" w:rsidRDefault="00D95C45" w:rsidP="00A42DF1">
            <w:pPr>
              <w:rPr>
                <w:rFonts w:ascii="Arial" w:hAnsi="Arial" w:cs="Arial"/>
                <w:sz w:val="22"/>
                <w:szCs w:val="22"/>
              </w:rPr>
            </w:pPr>
            <w:r w:rsidRPr="00D95C45">
              <w:rPr>
                <w:rFonts w:ascii="Arial" w:hAnsi="Arial" w:cs="Arial"/>
                <w:sz w:val="22"/>
                <w:szCs w:val="22"/>
              </w:rPr>
              <w:t xml:space="preserve">Review its </w:t>
            </w:r>
            <w:hyperlink r:id="rId14" w:history="1">
              <w:r w:rsidRPr="00D95C45">
                <w:rPr>
                  <w:rStyle w:val="Hyperlink"/>
                  <w:rFonts w:ascii="Arial" w:hAnsi="Arial" w:cs="Arial"/>
                  <w:sz w:val="22"/>
                  <w:szCs w:val="22"/>
                </w:rPr>
                <w:t>recruitment</w:t>
              </w:r>
            </w:hyperlink>
            <w:r w:rsidRPr="00D95C45">
              <w:rPr>
                <w:rFonts w:ascii="Arial" w:hAnsi="Arial" w:cs="Arial"/>
                <w:sz w:val="22"/>
                <w:szCs w:val="22"/>
              </w:rPr>
              <w:t xml:space="preserve"> practices to ensure that there is consistency in: (i) the programme information provided to prospective and new students and (ii) use of admissions interviews, for which UCL had given the Department permission to continue. The students the team met reported some variability in the programme and modular information available to them. A unified approach does not appear to be used in presenting this information, with differing levels of detail given on module content, assessment criteria and other information such as work placements, as well as varied layout in presentation in the webpages. Some of the overseas students stated that they had either not had an interview or had expressed dissatisfaction with it. The team noted that it was important to manage student expectations of their programmes and to provide consistency in recruitment practices.</w:t>
            </w:r>
          </w:p>
        </w:tc>
        <w:tc>
          <w:tcPr>
            <w:tcW w:w="2694" w:type="dxa"/>
          </w:tcPr>
          <w:p w:rsidR="00D95C45" w:rsidRDefault="00D95C45" w:rsidP="00A42DF1">
            <w:pPr>
              <w:rPr>
                <w:rFonts w:ascii="Arial" w:hAnsi="Arial"/>
                <w:sz w:val="22"/>
              </w:rPr>
            </w:pPr>
            <w:r>
              <w:rPr>
                <w:rFonts w:ascii="Arial" w:hAnsi="Arial"/>
                <w:sz w:val="22"/>
              </w:rPr>
              <w:t>Information Studies</w:t>
            </w:r>
          </w:p>
        </w:tc>
        <w:tc>
          <w:tcPr>
            <w:tcW w:w="1256" w:type="dxa"/>
          </w:tcPr>
          <w:p w:rsidR="00D95C45" w:rsidRDefault="00EB4A29" w:rsidP="00A42DF1">
            <w:pPr>
              <w:rPr>
                <w:rFonts w:ascii="Arial" w:hAnsi="Arial"/>
                <w:sz w:val="22"/>
              </w:rPr>
            </w:pPr>
            <w:r>
              <w:rPr>
                <w:rFonts w:ascii="Arial" w:hAnsi="Arial"/>
                <w:sz w:val="22"/>
              </w:rPr>
              <w:t>Necessary</w:t>
            </w:r>
          </w:p>
        </w:tc>
      </w:tr>
      <w:tr w:rsidR="00D95C45" w:rsidTr="0098204A">
        <w:tc>
          <w:tcPr>
            <w:tcW w:w="10314" w:type="dxa"/>
          </w:tcPr>
          <w:p w:rsidR="00D95C45" w:rsidRPr="00C71DEC" w:rsidRDefault="00C71DEC" w:rsidP="00A42DF1">
            <w:pPr>
              <w:rPr>
                <w:rFonts w:ascii="Arial" w:hAnsi="Arial" w:cs="Arial"/>
                <w:sz w:val="22"/>
                <w:szCs w:val="22"/>
              </w:rPr>
            </w:pPr>
            <w:r>
              <w:rPr>
                <w:rFonts w:ascii="Arial" w:hAnsi="Arial" w:cs="Arial"/>
                <w:sz w:val="22"/>
              </w:rPr>
              <w:t>T</w:t>
            </w:r>
            <w:r w:rsidRPr="00C71DEC">
              <w:rPr>
                <w:rFonts w:ascii="Arial" w:hAnsi="Arial" w:cs="Arial"/>
                <w:sz w:val="22"/>
              </w:rPr>
              <w:t xml:space="preserve">he Programme Director and Admissions Tutor should give consideration to nominating a member of staff involved with the Programme to visit state schools to give talks about Natural Sciences, rather than relying on the participating Departments involved to do this at their own Open Days. The Review Team considered that this would help to increase widening participation student recruitment to the Programme, and they also supported the proposed idea of running a Sutton Trust Summer School by </w:t>
            </w:r>
            <w:r w:rsidRPr="00C71DEC">
              <w:rPr>
                <w:rFonts w:ascii="Arial" w:hAnsi="Arial" w:cs="Arial"/>
                <w:sz w:val="22"/>
              </w:rPr>
              <w:lastRenderedPageBreak/>
              <w:t>its Teaching Fellow.</w:t>
            </w:r>
          </w:p>
        </w:tc>
        <w:tc>
          <w:tcPr>
            <w:tcW w:w="2694" w:type="dxa"/>
          </w:tcPr>
          <w:p w:rsidR="00D95C45" w:rsidRDefault="00C71DEC" w:rsidP="00A42DF1">
            <w:pPr>
              <w:rPr>
                <w:rFonts w:ascii="Arial" w:hAnsi="Arial"/>
                <w:sz w:val="22"/>
              </w:rPr>
            </w:pPr>
            <w:r>
              <w:rPr>
                <w:rFonts w:ascii="Arial" w:hAnsi="Arial" w:cs="Arial"/>
                <w:sz w:val="22"/>
                <w:szCs w:val="22"/>
              </w:rPr>
              <w:lastRenderedPageBreak/>
              <w:t>BSc/</w:t>
            </w:r>
            <w:r w:rsidRPr="00FF4939">
              <w:rPr>
                <w:rFonts w:ascii="Arial" w:hAnsi="Arial" w:cs="Arial"/>
                <w:sz w:val="22"/>
                <w:szCs w:val="22"/>
              </w:rPr>
              <w:t>MSci Natural Sciences</w:t>
            </w:r>
          </w:p>
        </w:tc>
        <w:tc>
          <w:tcPr>
            <w:tcW w:w="1256" w:type="dxa"/>
          </w:tcPr>
          <w:p w:rsidR="00D95C45" w:rsidRDefault="00B4489D" w:rsidP="00A42DF1">
            <w:pPr>
              <w:rPr>
                <w:rFonts w:ascii="Arial" w:hAnsi="Arial"/>
                <w:sz w:val="22"/>
              </w:rPr>
            </w:pPr>
            <w:r>
              <w:rPr>
                <w:rFonts w:ascii="Arial" w:hAnsi="Arial"/>
                <w:sz w:val="22"/>
              </w:rPr>
              <w:t>Advisable</w:t>
            </w:r>
          </w:p>
        </w:tc>
      </w:tr>
      <w:tr w:rsidR="00C71DEC" w:rsidTr="0098204A">
        <w:tc>
          <w:tcPr>
            <w:tcW w:w="10314" w:type="dxa"/>
          </w:tcPr>
          <w:p w:rsidR="00C71DEC" w:rsidRPr="00C71DEC" w:rsidRDefault="00C71DEC" w:rsidP="00C71DEC">
            <w:pPr>
              <w:tabs>
                <w:tab w:val="left" w:pos="709"/>
              </w:tabs>
              <w:rPr>
                <w:rFonts w:ascii="Arial" w:hAnsi="Arial" w:cs="Arial"/>
                <w:i/>
                <w:sz w:val="22"/>
                <w:szCs w:val="22"/>
                <w:lang w:val="en-US"/>
              </w:rPr>
            </w:pPr>
            <w:r>
              <w:rPr>
                <w:rFonts w:ascii="Arial" w:hAnsi="Arial" w:cs="Arial"/>
                <w:sz w:val="22"/>
                <w:szCs w:val="22"/>
              </w:rPr>
              <w:lastRenderedPageBreak/>
              <w:t>T</w:t>
            </w:r>
            <w:r w:rsidRPr="00C71DEC">
              <w:rPr>
                <w:rFonts w:ascii="Arial" w:hAnsi="Arial" w:cs="Arial"/>
                <w:sz w:val="22"/>
                <w:szCs w:val="22"/>
              </w:rPr>
              <w:t xml:space="preserve">he review team noted that students had a range of concerns about the provision of adequate </w:t>
            </w:r>
            <w:r w:rsidRPr="00C71DEC">
              <w:rPr>
                <w:rFonts w:ascii="Arial" w:hAnsi="Arial" w:cs="Arial"/>
                <w:sz w:val="22"/>
                <w:szCs w:val="22"/>
                <w:lang w:val="en-US"/>
              </w:rPr>
              <w:t>information</w:t>
            </w:r>
            <w:r w:rsidRPr="00C71DEC">
              <w:rPr>
                <w:rFonts w:ascii="Arial" w:hAnsi="Arial" w:cs="Arial"/>
                <w:sz w:val="22"/>
                <w:szCs w:val="22"/>
              </w:rPr>
              <w:t xml:space="preserve"> to inform their selection of modules. </w:t>
            </w:r>
            <w:r w:rsidRPr="00C71DEC">
              <w:rPr>
                <w:rFonts w:ascii="Arial" w:hAnsi="Arial" w:cs="Arial"/>
                <w:sz w:val="22"/>
                <w:szCs w:val="22"/>
                <w:lang w:val="en-US"/>
              </w:rPr>
              <w:t>The School is advised to</w:t>
            </w:r>
            <w:r w:rsidRPr="00C71DEC">
              <w:rPr>
                <w:rFonts w:ascii="Arial" w:hAnsi="Arial" w:cs="Arial"/>
                <w:sz w:val="22"/>
                <w:szCs w:val="22"/>
              </w:rPr>
              <w:t xml:space="preserve"> ensure that students are enabled to make fully informed decisions about their choice of modules, and are aware of the impact of these decisions on their future studies</w:t>
            </w:r>
            <w:r w:rsidRPr="00C71DEC">
              <w:rPr>
                <w:rFonts w:ascii="Arial" w:hAnsi="Arial" w:cs="Arial"/>
                <w:sz w:val="22"/>
                <w:szCs w:val="22"/>
                <w:lang w:val="en-US"/>
              </w:rPr>
              <w:t>.</w:t>
            </w:r>
            <w:r w:rsidRPr="00C71DEC">
              <w:rPr>
                <w:rFonts w:ascii="Arial" w:hAnsi="Arial" w:cs="Arial"/>
                <w:i/>
                <w:sz w:val="22"/>
                <w:szCs w:val="22"/>
                <w:lang w:val="en-US"/>
              </w:rPr>
              <w:t xml:space="preserve"> </w:t>
            </w:r>
          </w:p>
        </w:tc>
        <w:tc>
          <w:tcPr>
            <w:tcW w:w="2694" w:type="dxa"/>
          </w:tcPr>
          <w:p w:rsidR="00C71DEC" w:rsidRDefault="00B876FC" w:rsidP="008541C8">
            <w:pPr>
              <w:rPr>
                <w:rFonts w:ascii="Arial" w:hAnsi="Arial"/>
                <w:sz w:val="22"/>
              </w:rPr>
            </w:pPr>
            <w:r>
              <w:rPr>
                <w:rFonts w:ascii="Arial" w:hAnsi="Arial" w:cs="Arial"/>
                <w:sz w:val="22"/>
                <w:szCs w:val="22"/>
              </w:rPr>
              <w:t>SELCS</w:t>
            </w:r>
          </w:p>
        </w:tc>
        <w:tc>
          <w:tcPr>
            <w:tcW w:w="1256" w:type="dxa"/>
          </w:tcPr>
          <w:p w:rsidR="00C71DEC" w:rsidRDefault="001610D6" w:rsidP="00A42DF1">
            <w:pPr>
              <w:rPr>
                <w:rFonts w:ascii="Arial" w:hAnsi="Arial"/>
                <w:sz w:val="22"/>
              </w:rPr>
            </w:pPr>
            <w:r>
              <w:rPr>
                <w:rFonts w:ascii="Arial" w:hAnsi="Arial"/>
                <w:sz w:val="22"/>
              </w:rPr>
              <w:t>Advisable</w:t>
            </w:r>
          </w:p>
        </w:tc>
      </w:tr>
      <w:tr w:rsidR="00C71DEC" w:rsidTr="0098204A">
        <w:tc>
          <w:tcPr>
            <w:tcW w:w="10314" w:type="dxa"/>
          </w:tcPr>
          <w:p w:rsidR="00C71DEC" w:rsidRPr="00C71DEC" w:rsidRDefault="00C71DEC" w:rsidP="00C71DEC">
            <w:pPr>
              <w:tabs>
                <w:tab w:val="left" w:pos="709"/>
              </w:tabs>
              <w:rPr>
                <w:rFonts w:ascii="Arial" w:hAnsi="Arial" w:cs="Arial"/>
                <w:i/>
                <w:sz w:val="22"/>
                <w:szCs w:val="22"/>
                <w:lang w:val="en-US"/>
              </w:rPr>
            </w:pPr>
            <w:r>
              <w:rPr>
                <w:rFonts w:ascii="Arial" w:hAnsi="Arial"/>
                <w:sz w:val="22"/>
                <w:szCs w:val="22"/>
              </w:rPr>
              <w:t>C</w:t>
            </w:r>
            <w:r w:rsidRPr="00C71DEC">
              <w:rPr>
                <w:rFonts w:ascii="Arial" w:hAnsi="Arial"/>
                <w:sz w:val="22"/>
                <w:szCs w:val="22"/>
              </w:rPr>
              <w:t>onsider ways to improve their level of student recruitment to their MA programmes of study. The Review Team would advise that this should include consideration by the School of (i) producing a marketing strategy for both its MA Language, Culture and History (LCH) programmes of study and its pure language Masters programmes of study for the next three years and (ii) producing a widening participation strategy for student recruitment at PGT level for the next three years</w:t>
            </w:r>
            <w:r w:rsidRPr="00C71DEC">
              <w:rPr>
                <w:rFonts w:ascii="Arial" w:hAnsi="Arial" w:cs="Arial"/>
                <w:sz w:val="22"/>
                <w:szCs w:val="22"/>
                <w:lang w:val="en-US"/>
              </w:rPr>
              <w:t>.</w:t>
            </w:r>
          </w:p>
        </w:tc>
        <w:tc>
          <w:tcPr>
            <w:tcW w:w="2694" w:type="dxa"/>
          </w:tcPr>
          <w:p w:rsidR="00C71DEC" w:rsidRDefault="00B876FC" w:rsidP="008541C8">
            <w:pPr>
              <w:rPr>
                <w:rFonts w:ascii="Arial" w:hAnsi="Arial"/>
                <w:sz w:val="22"/>
              </w:rPr>
            </w:pPr>
            <w:r>
              <w:rPr>
                <w:rFonts w:ascii="Arial" w:hAnsi="Arial" w:cs="Arial"/>
                <w:sz w:val="22"/>
                <w:szCs w:val="22"/>
              </w:rPr>
              <w:t>SELCS</w:t>
            </w:r>
          </w:p>
        </w:tc>
        <w:tc>
          <w:tcPr>
            <w:tcW w:w="1256" w:type="dxa"/>
          </w:tcPr>
          <w:p w:rsidR="00C71DEC" w:rsidRDefault="001610D6" w:rsidP="00A42DF1">
            <w:pPr>
              <w:rPr>
                <w:rFonts w:ascii="Arial" w:hAnsi="Arial"/>
                <w:sz w:val="22"/>
              </w:rPr>
            </w:pPr>
            <w:r>
              <w:rPr>
                <w:rFonts w:ascii="Arial" w:hAnsi="Arial"/>
                <w:sz w:val="22"/>
              </w:rPr>
              <w:t>Advisable</w:t>
            </w:r>
          </w:p>
        </w:tc>
      </w:tr>
      <w:tr w:rsidR="00C71DEC" w:rsidTr="00B876FC">
        <w:tc>
          <w:tcPr>
            <w:tcW w:w="10314" w:type="dxa"/>
            <w:shd w:val="clear" w:color="auto" w:fill="E5B8B7" w:themeFill="accent2" w:themeFillTint="66"/>
          </w:tcPr>
          <w:p w:rsidR="00C71DEC" w:rsidRDefault="00C71DEC" w:rsidP="00B876FC">
            <w:pPr>
              <w:tabs>
                <w:tab w:val="left" w:pos="709"/>
              </w:tabs>
              <w:jc w:val="center"/>
              <w:rPr>
                <w:rFonts w:ascii="Arial" w:hAnsi="Arial"/>
                <w:sz w:val="22"/>
                <w:szCs w:val="22"/>
              </w:rPr>
            </w:pPr>
            <w:r>
              <w:rPr>
                <w:rFonts w:ascii="Arial" w:hAnsi="Arial"/>
                <w:b/>
                <w:i/>
                <w:sz w:val="22"/>
              </w:rPr>
              <w:t>Student Support and Guidance</w:t>
            </w:r>
          </w:p>
        </w:tc>
        <w:tc>
          <w:tcPr>
            <w:tcW w:w="2694" w:type="dxa"/>
            <w:shd w:val="clear" w:color="auto" w:fill="E5B8B7" w:themeFill="accent2" w:themeFillTint="66"/>
          </w:tcPr>
          <w:p w:rsidR="00C71DEC" w:rsidRPr="00FF4939" w:rsidRDefault="00C71DEC" w:rsidP="00B876FC">
            <w:pPr>
              <w:jc w:val="center"/>
              <w:rPr>
                <w:rFonts w:ascii="Arial" w:hAnsi="Arial" w:cs="Arial"/>
                <w:sz w:val="22"/>
                <w:szCs w:val="22"/>
              </w:rPr>
            </w:pPr>
          </w:p>
        </w:tc>
        <w:tc>
          <w:tcPr>
            <w:tcW w:w="1256" w:type="dxa"/>
            <w:shd w:val="clear" w:color="auto" w:fill="E5B8B7" w:themeFill="accent2" w:themeFillTint="66"/>
          </w:tcPr>
          <w:p w:rsidR="00C71DEC" w:rsidRDefault="00C71DEC" w:rsidP="00B876FC">
            <w:pPr>
              <w:jc w:val="center"/>
              <w:rPr>
                <w:rFonts w:ascii="Arial" w:hAnsi="Arial"/>
                <w:sz w:val="22"/>
              </w:rPr>
            </w:pPr>
          </w:p>
        </w:tc>
      </w:tr>
      <w:tr w:rsidR="00C71DEC" w:rsidTr="0098204A">
        <w:tc>
          <w:tcPr>
            <w:tcW w:w="10314" w:type="dxa"/>
          </w:tcPr>
          <w:p w:rsidR="00C71DEC" w:rsidRPr="00C71DEC" w:rsidRDefault="00C71DEC" w:rsidP="00C71DEC">
            <w:pPr>
              <w:tabs>
                <w:tab w:val="num" w:pos="393"/>
              </w:tabs>
              <w:rPr>
                <w:rFonts w:ascii="Arial" w:hAnsi="Arial" w:cs="Arial"/>
                <w:sz w:val="22"/>
                <w:szCs w:val="22"/>
              </w:rPr>
            </w:pPr>
            <w:r>
              <w:rPr>
                <w:rFonts w:ascii="Arial" w:hAnsi="Arial" w:cs="Arial"/>
                <w:sz w:val="22"/>
                <w:szCs w:val="22"/>
              </w:rPr>
              <w:t>E</w:t>
            </w:r>
            <w:r w:rsidRPr="003D281E">
              <w:rPr>
                <w:rFonts w:ascii="Arial" w:hAnsi="Arial" w:cs="Arial"/>
                <w:sz w:val="22"/>
                <w:szCs w:val="22"/>
              </w:rPr>
              <w:t>nsure that students understand the personal tutoring system, particularly when their Personal Tutor is also a programme or course convenor. The review team noted from comments made by some students that they were unaware that they had been allocated an assigned Personal Tutor.</w:t>
            </w:r>
          </w:p>
        </w:tc>
        <w:tc>
          <w:tcPr>
            <w:tcW w:w="2694" w:type="dxa"/>
          </w:tcPr>
          <w:p w:rsidR="00C71DEC" w:rsidRPr="00C71DEC" w:rsidRDefault="00C71DEC" w:rsidP="008541C8">
            <w:pPr>
              <w:rPr>
                <w:rFonts w:ascii="Arial" w:hAnsi="Arial" w:cs="Arial"/>
                <w:sz w:val="22"/>
                <w:szCs w:val="22"/>
              </w:rPr>
            </w:pPr>
            <w:r w:rsidRPr="00C71DEC">
              <w:rPr>
                <w:rFonts w:ascii="Arial" w:hAnsi="Arial" w:cs="Arial"/>
                <w:sz w:val="22"/>
                <w:szCs w:val="22"/>
              </w:rPr>
              <w:t>Centre for Multi-Disciplinary and Intercultural Inquiry</w:t>
            </w:r>
          </w:p>
        </w:tc>
        <w:tc>
          <w:tcPr>
            <w:tcW w:w="1256" w:type="dxa"/>
          </w:tcPr>
          <w:p w:rsidR="00C71DEC" w:rsidRDefault="0079432E" w:rsidP="00A42DF1">
            <w:pPr>
              <w:rPr>
                <w:rFonts w:ascii="Arial" w:hAnsi="Arial"/>
                <w:sz w:val="22"/>
              </w:rPr>
            </w:pPr>
            <w:r>
              <w:rPr>
                <w:rFonts w:ascii="Arial" w:hAnsi="Arial"/>
                <w:sz w:val="22"/>
              </w:rPr>
              <w:t>Necessary</w:t>
            </w:r>
          </w:p>
        </w:tc>
      </w:tr>
      <w:tr w:rsidR="00C71DEC" w:rsidTr="0098204A">
        <w:tc>
          <w:tcPr>
            <w:tcW w:w="10314" w:type="dxa"/>
          </w:tcPr>
          <w:p w:rsidR="00C71DEC" w:rsidRPr="00C71DEC" w:rsidRDefault="00C71DEC" w:rsidP="00C71DEC">
            <w:pPr>
              <w:rPr>
                <w:rFonts w:ascii="Arial" w:hAnsi="Arial" w:cs="Arial"/>
                <w:sz w:val="22"/>
                <w:szCs w:val="22"/>
              </w:rPr>
            </w:pPr>
            <w:r>
              <w:rPr>
                <w:rFonts w:ascii="Arial" w:eastAsia="Calibri" w:hAnsi="Arial" w:cs="Arial"/>
                <w:bCs/>
                <w:sz w:val="22"/>
              </w:rPr>
              <w:t>A</w:t>
            </w:r>
            <w:r w:rsidRPr="00C71DEC">
              <w:rPr>
                <w:rFonts w:ascii="Arial" w:eastAsia="Calibri" w:hAnsi="Arial" w:cs="Arial"/>
                <w:bCs/>
                <w:sz w:val="22"/>
              </w:rPr>
              <w:t>ddress the factors affecting the Department’s current graduate unemployment rate of 11% and work closely with UCL Careers to consider: -</w:t>
            </w:r>
          </w:p>
          <w:p w:rsidR="00C71DEC" w:rsidRDefault="00C71DEC" w:rsidP="00C71DEC">
            <w:pPr>
              <w:numPr>
                <w:ilvl w:val="0"/>
                <w:numId w:val="19"/>
              </w:numPr>
              <w:autoSpaceDE w:val="0"/>
              <w:autoSpaceDN w:val="0"/>
              <w:ind w:left="1134"/>
              <w:contextualSpacing/>
              <w:rPr>
                <w:rFonts w:ascii="Arial" w:eastAsia="Calibri" w:hAnsi="Arial" w:cs="Arial"/>
                <w:bCs/>
                <w:sz w:val="22"/>
              </w:rPr>
            </w:pPr>
            <w:r w:rsidRPr="00730440">
              <w:rPr>
                <w:rFonts w:ascii="Arial" w:eastAsia="Calibri" w:hAnsi="Arial" w:cs="Arial"/>
                <w:bCs/>
                <w:sz w:val="22"/>
              </w:rPr>
              <w:t xml:space="preserve">How the careers education programme could be embedded into the Department’s programmes, as stipulated within UCL guidelines (see point 4 in </w:t>
            </w:r>
            <w:hyperlink r:id="rId15" w:history="1">
              <w:r w:rsidRPr="00730440">
                <w:rPr>
                  <w:rFonts w:ascii="Arial" w:eastAsia="Calibri" w:hAnsi="Arial" w:cs="Arial"/>
                  <w:bCs/>
                  <w:color w:val="0000FF"/>
                  <w:sz w:val="22"/>
                  <w:u w:val="single"/>
                </w:rPr>
                <w:t xml:space="preserve">UCL Careers, Part 5 of the </w:t>
              </w:r>
              <w:r w:rsidRPr="00730440">
                <w:rPr>
                  <w:rFonts w:ascii="Arial" w:eastAsia="Calibri" w:hAnsi="Arial" w:cs="Arial"/>
                  <w:bCs/>
                  <w:i/>
                  <w:color w:val="0000FF"/>
                  <w:sz w:val="22"/>
                  <w:u w:val="single"/>
                </w:rPr>
                <w:t>Academic Manual</w:t>
              </w:r>
            </w:hyperlink>
            <w:r w:rsidRPr="00730440">
              <w:rPr>
                <w:rFonts w:ascii="Arial" w:eastAsia="Calibri" w:hAnsi="Arial" w:cs="Arial"/>
                <w:bCs/>
                <w:sz w:val="22"/>
              </w:rPr>
              <w:t>);</w:t>
            </w:r>
          </w:p>
          <w:p w:rsidR="00C71DEC" w:rsidRPr="00C71DEC" w:rsidRDefault="00C71DEC" w:rsidP="00C71DEC">
            <w:pPr>
              <w:numPr>
                <w:ilvl w:val="0"/>
                <w:numId w:val="19"/>
              </w:numPr>
              <w:autoSpaceDE w:val="0"/>
              <w:autoSpaceDN w:val="0"/>
              <w:ind w:left="1134"/>
              <w:contextualSpacing/>
              <w:rPr>
                <w:rFonts w:ascii="Arial" w:eastAsia="Calibri" w:hAnsi="Arial" w:cs="Arial"/>
                <w:bCs/>
                <w:sz w:val="22"/>
              </w:rPr>
            </w:pPr>
            <w:r w:rsidRPr="004660CE">
              <w:rPr>
                <w:rFonts w:ascii="Arial" w:eastAsia="Calibri" w:hAnsi="Arial" w:cs="Arial"/>
                <w:bCs/>
                <w:sz w:val="22"/>
              </w:rPr>
              <w:t>How personal tutors could be supported by UCL Careers to give careers advice to students</w:t>
            </w:r>
            <w:r>
              <w:rPr>
                <w:rFonts w:ascii="Arial" w:eastAsia="Calibri" w:hAnsi="Arial"/>
                <w:sz w:val="22"/>
              </w:rPr>
              <w:t>.</w:t>
            </w:r>
          </w:p>
        </w:tc>
        <w:tc>
          <w:tcPr>
            <w:tcW w:w="2694" w:type="dxa"/>
          </w:tcPr>
          <w:p w:rsidR="00C71DEC" w:rsidRPr="00FF4939" w:rsidRDefault="00C71DEC" w:rsidP="008541C8">
            <w:pPr>
              <w:rPr>
                <w:rFonts w:ascii="Arial" w:hAnsi="Arial" w:cs="Arial"/>
                <w:sz w:val="22"/>
                <w:szCs w:val="22"/>
              </w:rPr>
            </w:pPr>
            <w:r>
              <w:rPr>
                <w:rFonts w:ascii="Arial" w:hAnsi="Arial" w:cs="Arial"/>
                <w:sz w:val="22"/>
                <w:szCs w:val="22"/>
              </w:rPr>
              <w:t>Greek and Latin</w:t>
            </w:r>
          </w:p>
        </w:tc>
        <w:tc>
          <w:tcPr>
            <w:tcW w:w="1256" w:type="dxa"/>
          </w:tcPr>
          <w:p w:rsidR="00C71DEC" w:rsidRDefault="00FF5078" w:rsidP="00A42DF1">
            <w:pPr>
              <w:rPr>
                <w:rFonts w:ascii="Arial" w:hAnsi="Arial"/>
                <w:sz w:val="22"/>
              </w:rPr>
            </w:pPr>
            <w:r>
              <w:rPr>
                <w:rFonts w:ascii="Arial" w:hAnsi="Arial"/>
                <w:sz w:val="22"/>
              </w:rPr>
              <w:t>Necessary</w:t>
            </w:r>
          </w:p>
        </w:tc>
      </w:tr>
      <w:tr w:rsidR="00C71DEC" w:rsidTr="0098204A">
        <w:tc>
          <w:tcPr>
            <w:tcW w:w="10314" w:type="dxa"/>
          </w:tcPr>
          <w:p w:rsidR="00C71DEC" w:rsidRDefault="00C71DEC" w:rsidP="00C71DEC">
            <w:pPr>
              <w:autoSpaceDE w:val="0"/>
              <w:autoSpaceDN w:val="0"/>
              <w:rPr>
                <w:rFonts w:ascii="Arial" w:eastAsia="Calibri" w:hAnsi="Arial" w:cs="Arial"/>
                <w:bCs/>
                <w:sz w:val="22"/>
              </w:rPr>
            </w:pPr>
            <w:r>
              <w:rPr>
                <w:rFonts w:ascii="Arial" w:eastAsia="Calibri" w:hAnsi="Arial" w:cs="Arial"/>
                <w:bCs/>
                <w:sz w:val="22"/>
              </w:rPr>
              <w:t>R</w:t>
            </w:r>
            <w:r w:rsidRPr="00C71DEC">
              <w:rPr>
                <w:rFonts w:ascii="Arial" w:eastAsia="Calibri" w:hAnsi="Arial" w:cs="Arial"/>
                <w:bCs/>
                <w:sz w:val="22"/>
              </w:rPr>
              <w:t>eview the support and guidance provided to students on their study year abroad and in particular consider how to: (i) ensure relevant module options are selected prior to their travels and (ii) engage with students and more effectively monitor their performance whilst they are away.</w:t>
            </w:r>
          </w:p>
        </w:tc>
        <w:tc>
          <w:tcPr>
            <w:tcW w:w="2694" w:type="dxa"/>
          </w:tcPr>
          <w:p w:rsidR="00C71DEC" w:rsidRDefault="00C71DEC" w:rsidP="008541C8">
            <w:pPr>
              <w:rPr>
                <w:rFonts w:ascii="Arial" w:hAnsi="Arial" w:cs="Arial"/>
                <w:sz w:val="22"/>
                <w:szCs w:val="22"/>
              </w:rPr>
            </w:pPr>
            <w:r>
              <w:rPr>
                <w:rFonts w:ascii="Arial" w:hAnsi="Arial" w:cs="Arial"/>
                <w:sz w:val="22"/>
                <w:szCs w:val="22"/>
              </w:rPr>
              <w:t>Greek and Latin</w:t>
            </w:r>
          </w:p>
        </w:tc>
        <w:tc>
          <w:tcPr>
            <w:tcW w:w="1256" w:type="dxa"/>
          </w:tcPr>
          <w:p w:rsidR="00C71DEC" w:rsidRDefault="00FF5078" w:rsidP="00A42DF1">
            <w:pPr>
              <w:rPr>
                <w:rFonts w:ascii="Arial" w:hAnsi="Arial"/>
                <w:sz w:val="22"/>
              </w:rPr>
            </w:pPr>
            <w:r>
              <w:rPr>
                <w:rFonts w:ascii="Arial" w:hAnsi="Arial"/>
                <w:sz w:val="22"/>
              </w:rPr>
              <w:t>Advisable</w:t>
            </w:r>
          </w:p>
        </w:tc>
      </w:tr>
      <w:tr w:rsidR="00C71DEC" w:rsidTr="0098204A">
        <w:tc>
          <w:tcPr>
            <w:tcW w:w="10314" w:type="dxa"/>
          </w:tcPr>
          <w:p w:rsidR="00C71DEC" w:rsidRDefault="00C71DEC" w:rsidP="00C71DEC">
            <w:pPr>
              <w:autoSpaceDE w:val="0"/>
              <w:autoSpaceDN w:val="0"/>
              <w:rPr>
                <w:rFonts w:ascii="Arial" w:eastAsia="Calibri" w:hAnsi="Arial" w:cs="Arial"/>
                <w:bCs/>
                <w:sz w:val="22"/>
              </w:rPr>
            </w:pPr>
            <w:r w:rsidRPr="00C71DEC">
              <w:rPr>
                <w:rFonts w:ascii="Arial" w:hAnsi="Arial" w:cs="Arial"/>
                <w:sz w:val="22"/>
                <w:szCs w:val="22"/>
              </w:rPr>
              <w:t xml:space="preserve">Review it </w:t>
            </w:r>
            <w:hyperlink r:id="rId16" w:history="1">
              <w:r w:rsidRPr="00C71DEC">
                <w:rPr>
                  <w:rStyle w:val="Hyperlink"/>
                  <w:rFonts w:ascii="Arial" w:hAnsi="Arial" w:cs="Arial"/>
                  <w:sz w:val="22"/>
                  <w:szCs w:val="22"/>
                </w:rPr>
                <w:t>disability provision</w:t>
              </w:r>
            </w:hyperlink>
            <w:r w:rsidRPr="00C71DEC">
              <w:rPr>
                <w:rFonts w:ascii="Arial" w:hAnsi="Arial" w:cs="Arial"/>
                <w:sz w:val="22"/>
                <w:szCs w:val="22"/>
              </w:rPr>
              <w:t xml:space="preserve"> in liaison with UCL Estates and the Student Disability Services to ensure that there is appropriate signage for assistance and support in the outside lift and clear access within the Department (</w:t>
            </w:r>
            <w:proofErr w:type="spellStart"/>
            <w:r w:rsidRPr="00C71DEC">
              <w:rPr>
                <w:rFonts w:ascii="Arial" w:hAnsi="Arial" w:cs="Arial"/>
                <w:sz w:val="22"/>
                <w:szCs w:val="22"/>
              </w:rPr>
              <w:t>jncluding</w:t>
            </w:r>
            <w:proofErr w:type="spellEnd"/>
            <w:r w:rsidRPr="00C71DEC">
              <w:rPr>
                <w:rFonts w:ascii="Arial" w:hAnsi="Arial" w:cs="Arial"/>
                <w:sz w:val="22"/>
                <w:szCs w:val="22"/>
              </w:rPr>
              <w:t xml:space="preserve"> the ramp to the Head of Department’s office) for disabled students.</w:t>
            </w:r>
          </w:p>
        </w:tc>
        <w:tc>
          <w:tcPr>
            <w:tcW w:w="2694" w:type="dxa"/>
          </w:tcPr>
          <w:p w:rsidR="00C71DEC" w:rsidRDefault="00C71DEC" w:rsidP="008541C8">
            <w:pPr>
              <w:rPr>
                <w:rFonts w:ascii="Arial" w:hAnsi="Arial" w:cs="Arial"/>
                <w:sz w:val="22"/>
                <w:szCs w:val="22"/>
              </w:rPr>
            </w:pPr>
            <w:r>
              <w:rPr>
                <w:rFonts w:ascii="Arial" w:hAnsi="Arial" w:cs="Arial"/>
                <w:sz w:val="22"/>
                <w:szCs w:val="22"/>
              </w:rPr>
              <w:t>Information Studies</w:t>
            </w:r>
          </w:p>
        </w:tc>
        <w:tc>
          <w:tcPr>
            <w:tcW w:w="1256" w:type="dxa"/>
          </w:tcPr>
          <w:p w:rsidR="00C71DEC" w:rsidRDefault="00EB4A29" w:rsidP="00A42DF1">
            <w:pPr>
              <w:rPr>
                <w:rFonts w:ascii="Arial" w:hAnsi="Arial"/>
                <w:sz w:val="22"/>
              </w:rPr>
            </w:pPr>
            <w:r>
              <w:rPr>
                <w:rFonts w:ascii="Arial" w:hAnsi="Arial"/>
                <w:sz w:val="22"/>
              </w:rPr>
              <w:t>Necessary</w:t>
            </w:r>
          </w:p>
        </w:tc>
      </w:tr>
      <w:tr w:rsidR="00C71DEC" w:rsidTr="0098204A">
        <w:tc>
          <w:tcPr>
            <w:tcW w:w="10314" w:type="dxa"/>
          </w:tcPr>
          <w:p w:rsidR="00C71DEC" w:rsidRDefault="00C71DEC" w:rsidP="00C71DEC">
            <w:pPr>
              <w:autoSpaceDE w:val="0"/>
              <w:autoSpaceDN w:val="0"/>
              <w:rPr>
                <w:rFonts w:ascii="Arial" w:eastAsia="Calibri" w:hAnsi="Arial" w:cs="Arial"/>
                <w:bCs/>
                <w:sz w:val="22"/>
              </w:rPr>
            </w:pPr>
            <w:r>
              <w:rPr>
                <w:rFonts w:ascii="Arial" w:hAnsi="Arial" w:cs="Arial"/>
                <w:sz w:val="22"/>
              </w:rPr>
              <w:t>T</w:t>
            </w:r>
            <w:r w:rsidRPr="00C71DEC">
              <w:rPr>
                <w:rFonts w:ascii="Arial" w:hAnsi="Arial" w:cs="Arial"/>
                <w:sz w:val="22"/>
              </w:rPr>
              <w:t>he Programme Tutor should ensure that both students and those staff that act as Personal Tutors on the Natural Sciences Programme are aware of the personal and professional development aspects of this Personal Tutor role</w:t>
            </w:r>
            <w:r w:rsidRPr="00C71DEC">
              <w:rPr>
                <w:sz w:val="22"/>
              </w:rPr>
              <w:t>.</w:t>
            </w:r>
          </w:p>
        </w:tc>
        <w:tc>
          <w:tcPr>
            <w:tcW w:w="2694" w:type="dxa"/>
          </w:tcPr>
          <w:p w:rsidR="00C71DEC" w:rsidRDefault="00C71DEC" w:rsidP="008541C8">
            <w:pPr>
              <w:rPr>
                <w:rFonts w:ascii="Arial" w:hAnsi="Arial" w:cs="Arial"/>
                <w:sz w:val="22"/>
                <w:szCs w:val="22"/>
              </w:rPr>
            </w:pPr>
            <w:r>
              <w:rPr>
                <w:rFonts w:ascii="Arial" w:hAnsi="Arial" w:cs="Arial"/>
                <w:sz w:val="22"/>
                <w:szCs w:val="22"/>
              </w:rPr>
              <w:t>BSc/</w:t>
            </w:r>
            <w:r w:rsidRPr="00FF4939">
              <w:rPr>
                <w:rFonts w:ascii="Arial" w:hAnsi="Arial" w:cs="Arial"/>
                <w:sz w:val="22"/>
                <w:szCs w:val="22"/>
              </w:rPr>
              <w:t>MSci Natural Sciences</w:t>
            </w:r>
          </w:p>
        </w:tc>
        <w:tc>
          <w:tcPr>
            <w:tcW w:w="1256" w:type="dxa"/>
          </w:tcPr>
          <w:p w:rsidR="00C71DEC" w:rsidRDefault="00B4489D" w:rsidP="00A42DF1">
            <w:pPr>
              <w:rPr>
                <w:rFonts w:ascii="Arial" w:hAnsi="Arial"/>
                <w:sz w:val="22"/>
              </w:rPr>
            </w:pPr>
            <w:r>
              <w:rPr>
                <w:rFonts w:ascii="Arial" w:hAnsi="Arial"/>
                <w:sz w:val="22"/>
              </w:rPr>
              <w:t>Necessary</w:t>
            </w:r>
          </w:p>
        </w:tc>
      </w:tr>
      <w:tr w:rsidR="00C71DEC" w:rsidTr="0098204A">
        <w:tc>
          <w:tcPr>
            <w:tcW w:w="10314" w:type="dxa"/>
          </w:tcPr>
          <w:p w:rsidR="00C71DEC" w:rsidRPr="00C71DEC" w:rsidRDefault="00C71DEC" w:rsidP="00C71DEC">
            <w:pPr>
              <w:tabs>
                <w:tab w:val="left" w:pos="709"/>
              </w:tabs>
              <w:rPr>
                <w:rFonts w:ascii="Arial" w:hAnsi="Arial" w:cs="Arial"/>
                <w:sz w:val="22"/>
                <w:szCs w:val="22"/>
                <w:lang w:val="en-US"/>
              </w:rPr>
            </w:pPr>
            <w:r>
              <w:rPr>
                <w:rFonts w:ascii="Arial" w:hAnsi="Arial" w:cs="Arial"/>
                <w:sz w:val="22"/>
                <w:szCs w:val="22"/>
                <w:lang w:val="en-US"/>
              </w:rPr>
              <w:t>E</w:t>
            </w:r>
            <w:r w:rsidRPr="00C71DEC">
              <w:rPr>
                <w:rFonts w:ascii="Arial" w:hAnsi="Arial" w:cs="Arial"/>
                <w:sz w:val="22"/>
                <w:szCs w:val="22"/>
                <w:lang w:val="en-US"/>
              </w:rPr>
              <w:t>nsure that personal tutoring is carried out in accordance with UCL policy. Attendance should be monitored and non-attendance addressed appropriately. The School is further advised to seek to ensure that the purpose and value of personal tutorials is understood by students and staff.</w:t>
            </w:r>
          </w:p>
        </w:tc>
        <w:tc>
          <w:tcPr>
            <w:tcW w:w="2694" w:type="dxa"/>
          </w:tcPr>
          <w:p w:rsidR="00C71DEC" w:rsidRDefault="00B876FC" w:rsidP="008541C8">
            <w:pPr>
              <w:rPr>
                <w:rFonts w:ascii="Arial" w:hAnsi="Arial" w:cs="Arial"/>
                <w:sz w:val="22"/>
                <w:szCs w:val="22"/>
              </w:rPr>
            </w:pPr>
            <w:r>
              <w:rPr>
                <w:rFonts w:ascii="Arial" w:hAnsi="Arial" w:cs="Arial"/>
                <w:sz w:val="22"/>
                <w:szCs w:val="22"/>
              </w:rPr>
              <w:t>SELCS</w:t>
            </w:r>
          </w:p>
        </w:tc>
        <w:tc>
          <w:tcPr>
            <w:tcW w:w="1256" w:type="dxa"/>
          </w:tcPr>
          <w:p w:rsidR="00C71DEC" w:rsidRDefault="001610D6" w:rsidP="00A42DF1">
            <w:pPr>
              <w:rPr>
                <w:rFonts w:ascii="Arial" w:hAnsi="Arial"/>
                <w:sz w:val="22"/>
              </w:rPr>
            </w:pPr>
            <w:r>
              <w:rPr>
                <w:rFonts w:ascii="Arial" w:hAnsi="Arial"/>
                <w:sz w:val="22"/>
              </w:rPr>
              <w:t>Necessary</w:t>
            </w:r>
          </w:p>
        </w:tc>
      </w:tr>
      <w:tr w:rsidR="00C71DEC" w:rsidTr="00B876FC">
        <w:tc>
          <w:tcPr>
            <w:tcW w:w="10314" w:type="dxa"/>
            <w:shd w:val="clear" w:color="auto" w:fill="E5B8B7" w:themeFill="accent2" w:themeFillTint="66"/>
          </w:tcPr>
          <w:p w:rsidR="00C71DEC" w:rsidRDefault="00C71DEC" w:rsidP="00C71DEC">
            <w:pPr>
              <w:tabs>
                <w:tab w:val="left" w:pos="709"/>
              </w:tabs>
              <w:rPr>
                <w:rFonts w:ascii="Arial" w:hAnsi="Arial" w:cs="Arial"/>
                <w:sz w:val="22"/>
                <w:szCs w:val="22"/>
                <w:lang w:val="en-US"/>
              </w:rPr>
            </w:pPr>
            <w:r>
              <w:rPr>
                <w:rFonts w:ascii="Arial" w:hAnsi="Arial"/>
                <w:b/>
                <w:i/>
                <w:sz w:val="22"/>
              </w:rPr>
              <w:t>Staff Support and Development</w:t>
            </w:r>
          </w:p>
        </w:tc>
        <w:tc>
          <w:tcPr>
            <w:tcW w:w="2694" w:type="dxa"/>
            <w:shd w:val="clear" w:color="auto" w:fill="E5B8B7" w:themeFill="accent2" w:themeFillTint="66"/>
          </w:tcPr>
          <w:p w:rsidR="00C71DEC" w:rsidRPr="00FF4939" w:rsidRDefault="00C71DEC" w:rsidP="008541C8">
            <w:pPr>
              <w:rPr>
                <w:rFonts w:ascii="Arial" w:hAnsi="Arial" w:cs="Arial"/>
                <w:sz w:val="22"/>
                <w:szCs w:val="22"/>
              </w:rPr>
            </w:pPr>
          </w:p>
        </w:tc>
        <w:tc>
          <w:tcPr>
            <w:tcW w:w="1256" w:type="dxa"/>
            <w:shd w:val="clear" w:color="auto" w:fill="E5B8B7" w:themeFill="accent2" w:themeFillTint="66"/>
          </w:tcPr>
          <w:p w:rsidR="00C71DEC" w:rsidRDefault="00C71DEC" w:rsidP="00A42DF1">
            <w:pPr>
              <w:rPr>
                <w:rFonts w:ascii="Arial" w:hAnsi="Arial"/>
                <w:sz w:val="22"/>
              </w:rPr>
            </w:pPr>
          </w:p>
        </w:tc>
      </w:tr>
      <w:tr w:rsidR="00C71DEC" w:rsidTr="0098204A">
        <w:tc>
          <w:tcPr>
            <w:tcW w:w="10314" w:type="dxa"/>
          </w:tcPr>
          <w:p w:rsidR="00C71DEC" w:rsidRPr="00C71DEC" w:rsidRDefault="00C71DEC" w:rsidP="00C71DEC">
            <w:pPr>
              <w:rPr>
                <w:rFonts w:ascii="Arial" w:hAnsi="Arial" w:cs="Arial"/>
                <w:sz w:val="22"/>
                <w:szCs w:val="22"/>
              </w:rPr>
            </w:pPr>
            <w:r>
              <w:rPr>
                <w:rFonts w:ascii="Arial" w:hAnsi="Arial" w:cs="Arial"/>
                <w:sz w:val="22"/>
                <w:szCs w:val="22"/>
              </w:rPr>
              <w:t>E</w:t>
            </w:r>
            <w:r w:rsidRPr="00CE3E03">
              <w:rPr>
                <w:rFonts w:ascii="Arial" w:hAnsi="Arial" w:cs="Arial"/>
                <w:sz w:val="22"/>
                <w:szCs w:val="22"/>
              </w:rPr>
              <w:t>nsure that Peer Observation of Teaching is carried out and recorded for all teaching staff</w:t>
            </w:r>
            <w:r>
              <w:rPr>
                <w:rFonts w:ascii="Arial" w:hAnsi="Arial" w:cs="Arial"/>
                <w:sz w:val="22"/>
                <w:szCs w:val="22"/>
              </w:rPr>
              <w:t>.</w:t>
            </w:r>
          </w:p>
        </w:tc>
        <w:tc>
          <w:tcPr>
            <w:tcW w:w="2694" w:type="dxa"/>
          </w:tcPr>
          <w:p w:rsidR="00C71DEC" w:rsidRPr="00FF4939" w:rsidRDefault="00C71DEC" w:rsidP="008541C8">
            <w:pPr>
              <w:rPr>
                <w:rFonts w:ascii="Arial" w:hAnsi="Arial" w:cs="Arial"/>
                <w:sz w:val="22"/>
                <w:szCs w:val="22"/>
              </w:rPr>
            </w:pPr>
            <w:r w:rsidRPr="00FF4939">
              <w:rPr>
                <w:rFonts w:ascii="Arial" w:hAnsi="Arial" w:cs="Arial"/>
                <w:sz w:val="22"/>
                <w:szCs w:val="22"/>
              </w:rPr>
              <w:t>Development Planning Unit</w:t>
            </w:r>
          </w:p>
        </w:tc>
        <w:tc>
          <w:tcPr>
            <w:tcW w:w="1256" w:type="dxa"/>
          </w:tcPr>
          <w:p w:rsidR="00C71DEC" w:rsidRPr="001610D6" w:rsidRDefault="001610D6" w:rsidP="00A42DF1">
            <w:pPr>
              <w:rPr>
                <w:rFonts w:ascii="Arial" w:hAnsi="Arial"/>
                <w:i/>
                <w:sz w:val="22"/>
              </w:rPr>
            </w:pPr>
            <w:r>
              <w:rPr>
                <w:rFonts w:ascii="Arial" w:hAnsi="Arial"/>
                <w:sz w:val="22"/>
              </w:rPr>
              <w:t>Necessary</w:t>
            </w:r>
          </w:p>
        </w:tc>
      </w:tr>
      <w:tr w:rsidR="00745ECB" w:rsidTr="0098204A">
        <w:tc>
          <w:tcPr>
            <w:tcW w:w="10314" w:type="dxa"/>
          </w:tcPr>
          <w:p w:rsidR="00745ECB" w:rsidRPr="00C71DEC" w:rsidRDefault="00745ECB" w:rsidP="00C71DEC">
            <w:pPr>
              <w:rPr>
                <w:rFonts w:ascii="Arial" w:hAnsi="Arial" w:cs="Arial"/>
                <w:sz w:val="22"/>
                <w:szCs w:val="22"/>
              </w:rPr>
            </w:pPr>
            <w:r>
              <w:rPr>
                <w:rFonts w:ascii="Arial" w:hAnsi="Arial" w:cs="Arial"/>
                <w:sz w:val="22"/>
                <w:szCs w:val="22"/>
              </w:rPr>
              <w:lastRenderedPageBreak/>
              <w:t>O</w:t>
            </w:r>
            <w:r w:rsidRPr="00C71DEC">
              <w:rPr>
                <w:rFonts w:ascii="Arial" w:hAnsi="Arial" w:cs="Arial"/>
                <w:sz w:val="22"/>
                <w:szCs w:val="22"/>
              </w:rPr>
              <w:t xml:space="preserve">rganise more formal and structured guidance for junior research staff who are involved in teaching activities. This might involve CALT and be offered locally or at Faculty–level as a stand-alone training session or it might be something that the Division may wish to address as part of its staff mentoring scheme. </w:t>
            </w:r>
          </w:p>
        </w:tc>
        <w:tc>
          <w:tcPr>
            <w:tcW w:w="2694" w:type="dxa"/>
          </w:tcPr>
          <w:p w:rsidR="00745ECB" w:rsidRDefault="00745ECB" w:rsidP="008541C8">
            <w:pPr>
              <w:rPr>
                <w:rFonts w:ascii="Arial" w:hAnsi="Arial" w:cs="Arial"/>
                <w:sz w:val="22"/>
                <w:szCs w:val="22"/>
              </w:rPr>
            </w:pPr>
            <w:r>
              <w:rPr>
                <w:rFonts w:ascii="Arial" w:hAnsi="Arial"/>
                <w:sz w:val="22"/>
              </w:rPr>
              <w:t>Infection and Immunity</w:t>
            </w:r>
          </w:p>
        </w:tc>
        <w:tc>
          <w:tcPr>
            <w:tcW w:w="1256" w:type="dxa"/>
          </w:tcPr>
          <w:p w:rsidR="00745ECB" w:rsidRDefault="00745ECB" w:rsidP="008541C8">
            <w:pPr>
              <w:rPr>
                <w:rFonts w:ascii="Arial" w:hAnsi="Arial"/>
                <w:sz w:val="22"/>
              </w:rPr>
            </w:pPr>
            <w:r>
              <w:rPr>
                <w:rFonts w:ascii="Arial" w:hAnsi="Arial"/>
                <w:sz w:val="22"/>
              </w:rPr>
              <w:t>Advisable</w:t>
            </w:r>
          </w:p>
        </w:tc>
      </w:tr>
      <w:tr w:rsidR="00745ECB" w:rsidTr="00B876FC">
        <w:tc>
          <w:tcPr>
            <w:tcW w:w="10314" w:type="dxa"/>
            <w:shd w:val="clear" w:color="auto" w:fill="E5B8B7" w:themeFill="accent2" w:themeFillTint="66"/>
          </w:tcPr>
          <w:p w:rsidR="00745ECB" w:rsidRDefault="00745ECB" w:rsidP="00C71DEC">
            <w:pPr>
              <w:rPr>
                <w:rFonts w:ascii="Arial" w:hAnsi="Arial" w:cs="Arial"/>
                <w:sz w:val="22"/>
                <w:szCs w:val="22"/>
              </w:rPr>
            </w:pPr>
            <w:r w:rsidRPr="00A25400">
              <w:rPr>
                <w:rFonts w:ascii="Arial" w:hAnsi="Arial" w:cs="Arial"/>
                <w:b/>
                <w:i/>
                <w:sz w:val="22"/>
                <w:szCs w:val="22"/>
              </w:rPr>
              <w:t>Academic Quality Review, Monitoring and Feedback</w:t>
            </w:r>
          </w:p>
        </w:tc>
        <w:tc>
          <w:tcPr>
            <w:tcW w:w="2694" w:type="dxa"/>
            <w:shd w:val="clear" w:color="auto" w:fill="E5B8B7" w:themeFill="accent2" w:themeFillTint="66"/>
          </w:tcPr>
          <w:p w:rsidR="00745ECB" w:rsidRDefault="00745ECB" w:rsidP="008541C8">
            <w:pPr>
              <w:rPr>
                <w:rFonts w:ascii="Arial" w:hAnsi="Arial"/>
                <w:sz w:val="22"/>
              </w:rPr>
            </w:pPr>
          </w:p>
        </w:tc>
        <w:tc>
          <w:tcPr>
            <w:tcW w:w="1256" w:type="dxa"/>
            <w:shd w:val="clear" w:color="auto" w:fill="E5B8B7" w:themeFill="accent2" w:themeFillTint="66"/>
          </w:tcPr>
          <w:p w:rsidR="00745ECB" w:rsidRDefault="00745ECB" w:rsidP="00A42DF1">
            <w:pPr>
              <w:rPr>
                <w:rFonts w:ascii="Arial" w:hAnsi="Arial"/>
                <w:sz w:val="22"/>
              </w:rPr>
            </w:pPr>
          </w:p>
        </w:tc>
      </w:tr>
      <w:tr w:rsidR="00745ECB" w:rsidTr="0098204A">
        <w:tc>
          <w:tcPr>
            <w:tcW w:w="10314" w:type="dxa"/>
          </w:tcPr>
          <w:p w:rsidR="00745ECB" w:rsidRPr="0098204A" w:rsidRDefault="00745ECB" w:rsidP="00C71DEC">
            <w:pPr>
              <w:rPr>
                <w:rFonts w:ascii="Arial" w:hAnsi="Arial" w:cs="Arial"/>
                <w:sz w:val="22"/>
                <w:szCs w:val="22"/>
              </w:rPr>
            </w:pPr>
            <w:r>
              <w:rPr>
                <w:rFonts w:ascii="Arial" w:hAnsi="Arial" w:cs="Arial"/>
                <w:sz w:val="22"/>
                <w:szCs w:val="22"/>
              </w:rPr>
              <w:t>E</w:t>
            </w:r>
            <w:r w:rsidRPr="0098204A">
              <w:rPr>
                <w:rFonts w:ascii="Arial" w:hAnsi="Arial" w:cs="Arial"/>
                <w:sz w:val="22"/>
                <w:szCs w:val="22"/>
              </w:rPr>
              <w:t>nsure that there is UG and PGT student representation on its Departmental Teaching Committee (DTC) and that the minutes of the Departmental Staff Student Consultative Committee (DSSCC) are received by the DTC, as per the policy in the UCL Academic Manual.</w:t>
            </w:r>
          </w:p>
        </w:tc>
        <w:tc>
          <w:tcPr>
            <w:tcW w:w="2694" w:type="dxa"/>
          </w:tcPr>
          <w:p w:rsidR="00745ECB" w:rsidRDefault="00745ECB" w:rsidP="0098204A">
            <w:pPr>
              <w:rPr>
                <w:rFonts w:ascii="Arial" w:hAnsi="Arial"/>
                <w:sz w:val="22"/>
              </w:rPr>
            </w:pPr>
            <w:r>
              <w:rPr>
                <w:rFonts w:ascii="Arial" w:hAnsi="Arial"/>
                <w:sz w:val="22"/>
              </w:rPr>
              <w:t>History of Art</w:t>
            </w:r>
          </w:p>
        </w:tc>
        <w:tc>
          <w:tcPr>
            <w:tcW w:w="1256" w:type="dxa"/>
          </w:tcPr>
          <w:p w:rsidR="00745ECB" w:rsidRDefault="00745ECB" w:rsidP="00A42DF1">
            <w:pPr>
              <w:rPr>
                <w:rFonts w:ascii="Arial" w:hAnsi="Arial"/>
                <w:sz w:val="22"/>
              </w:rPr>
            </w:pPr>
            <w:r>
              <w:rPr>
                <w:rFonts w:ascii="Arial" w:hAnsi="Arial"/>
                <w:sz w:val="22"/>
              </w:rPr>
              <w:t>Necessary</w:t>
            </w:r>
          </w:p>
        </w:tc>
      </w:tr>
      <w:tr w:rsidR="00745ECB" w:rsidTr="0098204A">
        <w:tc>
          <w:tcPr>
            <w:tcW w:w="10314" w:type="dxa"/>
          </w:tcPr>
          <w:p w:rsidR="00745ECB" w:rsidRPr="0098204A" w:rsidRDefault="00745ECB" w:rsidP="00C71DEC">
            <w:pPr>
              <w:rPr>
                <w:rFonts w:ascii="Arial" w:hAnsi="Arial" w:cs="Arial"/>
                <w:sz w:val="22"/>
                <w:szCs w:val="22"/>
              </w:rPr>
            </w:pPr>
            <w:r>
              <w:rPr>
                <w:rFonts w:ascii="Arial" w:hAnsi="Arial"/>
                <w:sz w:val="22"/>
              </w:rPr>
              <w:t>E</w:t>
            </w:r>
            <w:r w:rsidRPr="0098204A">
              <w:rPr>
                <w:rFonts w:ascii="Arial" w:hAnsi="Arial"/>
                <w:sz w:val="22"/>
              </w:rPr>
              <w:t>nsure that analysis of module evaluation questionnaires is discussed by both the DSSCC and the DTC.</w:t>
            </w:r>
          </w:p>
        </w:tc>
        <w:tc>
          <w:tcPr>
            <w:tcW w:w="2694" w:type="dxa"/>
          </w:tcPr>
          <w:p w:rsidR="00745ECB" w:rsidRDefault="00745ECB" w:rsidP="008541C8">
            <w:pPr>
              <w:rPr>
                <w:rFonts w:ascii="Arial" w:hAnsi="Arial"/>
                <w:sz w:val="22"/>
              </w:rPr>
            </w:pPr>
            <w:r>
              <w:rPr>
                <w:rFonts w:ascii="Arial" w:hAnsi="Arial"/>
                <w:sz w:val="22"/>
              </w:rPr>
              <w:t>History of Art</w:t>
            </w:r>
          </w:p>
        </w:tc>
        <w:tc>
          <w:tcPr>
            <w:tcW w:w="1256" w:type="dxa"/>
          </w:tcPr>
          <w:p w:rsidR="00745ECB" w:rsidRDefault="00745ECB" w:rsidP="00A42DF1">
            <w:pPr>
              <w:rPr>
                <w:rFonts w:ascii="Arial" w:hAnsi="Arial"/>
                <w:sz w:val="22"/>
              </w:rPr>
            </w:pPr>
            <w:r>
              <w:rPr>
                <w:rFonts w:ascii="Arial" w:hAnsi="Arial"/>
                <w:sz w:val="22"/>
              </w:rPr>
              <w:t>Necessary</w:t>
            </w:r>
          </w:p>
        </w:tc>
      </w:tr>
      <w:tr w:rsidR="00745ECB" w:rsidTr="0098204A">
        <w:tc>
          <w:tcPr>
            <w:tcW w:w="10314" w:type="dxa"/>
          </w:tcPr>
          <w:p w:rsidR="00745ECB" w:rsidRPr="0098204A" w:rsidRDefault="00745ECB" w:rsidP="00C71DEC">
            <w:pPr>
              <w:rPr>
                <w:rFonts w:ascii="Arial" w:hAnsi="Arial" w:cs="Arial"/>
                <w:sz w:val="22"/>
                <w:szCs w:val="22"/>
              </w:rPr>
            </w:pPr>
            <w:r>
              <w:rPr>
                <w:rFonts w:ascii="Arial" w:hAnsi="Arial" w:cs="Arial"/>
                <w:bCs/>
                <w:sz w:val="22"/>
              </w:rPr>
              <w:t>E</w:t>
            </w:r>
            <w:r w:rsidRPr="0098204A">
              <w:rPr>
                <w:rFonts w:ascii="Arial" w:hAnsi="Arial" w:cs="Arial"/>
                <w:bCs/>
                <w:sz w:val="22"/>
              </w:rPr>
              <w:t>xplore ways of working closely with the Office of the Vice-Provost (Education) to address concerns relating to the Department’s low response rate to the National Student Survey (NSS) and seek methods for improvement.</w:t>
            </w:r>
          </w:p>
        </w:tc>
        <w:tc>
          <w:tcPr>
            <w:tcW w:w="2694" w:type="dxa"/>
          </w:tcPr>
          <w:p w:rsidR="00745ECB" w:rsidRDefault="00745ECB" w:rsidP="008541C8">
            <w:pPr>
              <w:rPr>
                <w:rFonts w:ascii="Arial" w:hAnsi="Arial"/>
                <w:sz w:val="22"/>
              </w:rPr>
            </w:pPr>
            <w:r>
              <w:rPr>
                <w:rFonts w:ascii="Arial" w:hAnsi="Arial"/>
                <w:sz w:val="22"/>
              </w:rPr>
              <w:t>Greek and Latin</w:t>
            </w:r>
          </w:p>
        </w:tc>
        <w:tc>
          <w:tcPr>
            <w:tcW w:w="1256" w:type="dxa"/>
          </w:tcPr>
          <w:p w:rsidR="00745ECB" w:rsidRDefault="00745ECB" w:rsidP="00A42DF1">
            <w:pPr>
              <w:rPr>
                <w:rFonts w:ascii="Arial" w:hAnsi="Arial"/>
                <w:sz w:val="22"/>
              </w:rPr>
            </w:pPr>
            <w:r>
              <w:rPr>
                <w:rFonts w:ascii="Arial" w:hAnsi="Arial"/>
                <w:sz w:val="22"/>
              </w:rPr>
              <w:t>Advisable</w:t>
            </w:r>
          </w:p>
        </w:tc>
      </w:tr>
      <w:tr w:rsidR="00745ECB" w:rsidTr="0098204A">
        <w:tc>
          <w:tcPr>
            <w:tcW w:w="10314" w:type="dxa"/>
          </w:tcPr>
          <w:p w:rsidR="00745ECB" w:rsidRPr="0098204A" w:rsidRDefault="00745ECB" w:rsidP="00C71DEC">
            <w:pPr>
              <w:rPr>
                <w:rFonts w:ascii="Arial" w:hAnsi="Arial" w:cs="Arial"/>
                <w:sz w:val="22"/>
                <w:szCs w:val="22"/>
              </w:rPr>
            </w:pPr>
            <w:r>
              <w:rPr>
                <w:rFonts w:ascii="Arial" w:hAnsi="Arial" w:cs="Arial"/>
                <w:sz w:val="22"/>
                <w:szCs w:val="22"/>
              </w:rPr>
              <w:t>E</w:t>
            </w:r>
            <w:r w:rsidRPr="0098204A">
              <w:rPr>
                <w:rFonts w:ascii="Arial" w:hAnsi="Arial" w:cs="Arial"/>
                <w:sz w:val="22"/>
                <w:szCs w:val="22"/>
              </w:rPr>
              <w:t>nsure that its Annual Monitoring reports examine key issues at module level in greater detail. The Division is also encouraged to consider using the Annual Monitoring process more as a tool for forward planning and for highlighting good practice within its taught programme provision – and in fact the review team would wish to recommend that further consideration be given within UCL to developing the Annual Monitoring process for this purpose.</w:t>
            </w:r>
          </w:p>
        </w:tc>
        <w:tc>
          <w:tcPr>
            <w:tcW w:w="2694" w:type="dxa"/>
          </w:tcPr>
          <w:p w:rsidR="00745ECB" w:rsidRDefault="00745ECB" w:rsidP="008541C8">
            <w:pPr>
              <w:rPr>
                <w:rFonts w:ascii="Arial" w:hAnsi="Arial"/>
                <w:sz w:val="22"/>
              </w:rPr>
            </w:pPr>
            <w:r>
              <w:rPr>
                <w:rFonts w:ascii="Arial" w:hAnsi="Arial"/>
                <w:sz w:val="22"/>
              </w:rPr>
              <w:t>Infection and Immunity</w:t>
            </w:r>
          </w:p>
        </w:tc>
        <w:tc>
          <w:tcPr>
            <w:tcW w:w="1256" w:type="dxa"/>
          </w:tcPr>
          <w:p w:rsidR="00745ECB" w:rsidRDefault="00745ECB" w:rsidP="00A42DF1">
            <w:pPr>
              <w:rPr>
                <w:rFonts w:ascii="Arial" w:hAnsi="Arial"/>
                <w:sz w:val="22"/>
              </w:rPr>
            </w:pPr>
            <w:r>
              <w:rPr>
                <w:rFonts w:ascii="Arial" w:hAnsi="Arial"/>
                <w:sz w:val="22"/>
              </w:rPr>
              <w:t>Necessary</w:t>
            </w:r>
          </w:p>
        </w:tc>
      </w:tr>
      <w:tr w:rsidR="00745ECB" w:rsidTr="0098204A">
        <w:tc>
          <w:tcPr>
            <w:tcW w:w="10314" w:type="dxa"/>
          </w:tcPr>
          <w:p w:rsidR="00745ECB" w:rsidRPr="0098204A" w:rsidRDefault="00745ECB" w:rsidP="00C71DEC">
            <w:pPr>
              <w:rPr>
                <w:rFonts w:ascii="Arial" w:hAnsi="Arial" w:cs="Arial"/>
                <w:sz w:val="22"/>
                <w:szCs w:val="22"/>
              </w:rPr>
            </w:pPr>
            <w:r>
              <w:rPr>
                <w:rFonts w:ascii="Arial" w:hAnsi="Arial"/>
                <w:sz w:val="22"/>
              </w:rPr>
              <w:t>E</w:t>
            </w:r>
            <w:r w:rsidRPr="0098204A">
              <w:rPr>
                <w:rFonts w:ascii="Arial" w:hAnsi="Arial"/>
                <w:sz w:val="22"/>
              </w:rPr>
              <w:t>nsure that</w:t>
            </w:r>
            <w:r w:rsidRPr="0098204A">
              <w:rPr>
                <w:rFonts w:ascii="Arial" w:hAnsi="Arial" w:cs="Arial"/>
                <w:sz w:val="22"/>
                <w:szCs w:val="22"/>
              </w:rPr>
              <w:t xml:space="preserve"> </w:t>
            </w:r>
            <w:r w:rsidRPr="0098204A">
              <w:rPr>
                <w:rFonts w:ascii="Arial" w:hAnsi="Arial"/>
                <w:sz w:val="22"/>
              </w:rPr>
              <w:t xml:space="preserve">UCL policy is followed for the </w:t>
            </w:r>
            <w:hyperlink r:id="rId17" w:history="1">
              <w:r w:rsidRPr="0098204A">
                <w:rPr>
                  <w:rStyle w:val="Hyperlink"/>
                  <w:rFonts w:ascii="Arial" w:hAnsi="Arial"/>
                  <w:sz w:val="22"/>
                </w:rPr>
                <w:t>Annual Monitoring</w:t>
              </w:r>
            </w:hyperlink>
            <w:r w:rsidRPr="0098204A">
              <w:rPr>
                <w:rFonts w:ascii="Arial" w:hAnsi="Arial"/>
                <w:sz w:val="22"/>
              </w:rPr>
              <w:t xml:space="preserve"> process and that: (i) that Annual Monitoring reports are produced each year; (ii) that Augmented Annual Monitoring takes place the year before the IQR and (iii) that the missing Augmented Annual Monitoring report is produced and completed within the current session. The team noted that Annual Monitoring reports were not produced in </w:t>
            </w:r>
            <w:r w:rsidRPr="0098204A">
              <w:rPr>
                <w:rFonts w:ascii="Arial" w:hAnsi="Arial" w:cs="Arial"/>
                <w:sz w:val="22"/>
                <w:szCs w:val="22"/>
              </w:rPr>
              <w:t xml:space="preserve">2009-10 and 2008-09 </w:t>
            </w:r>
            <w:r w:rsidRPr="0098204A">
              <w:rPr>
                <w:rFonts w:ascii="Arial" w:hAnsi="Arial"/>
                <w:sz w:val="22"/>
              </w:rPr>
              <w:t>and that the Augmented Annual Monitoring was not produced in the previous session, although extensions to the submission time-table had been accommodated by the Faculty and the Chair of QMEC. Annual Monitoring is a crucial component of UCL quality management and enhancement provision and in enabling departments to review their provision, both in the short and long terms.</w:t>
            </w:r>
          </w:p>
        </w:tc>
        <w:tc>
          <w:tcPr>
            <w:tcW w:w="2694" w:type="dxa"/>
          </w:tcPr>
          <w:p w:rsidR="00745ECB" w:rsidRDefault="00745ECB" w:rsidP="008541C8">
            <w:pPr>
              <w:rPr>
                <w:rFonts w:ascii="Arial" w:hAnsi="Arial"/>
                <w:sz w:val="22"/>
              </w:rPr>
            </w:pPr>
            <w:r>
              <w:rPr>
                <w:rFonts w:ascii="Arial" w:hAnsi="Arial"/>
                <w:sz w:val="22"/>
              </w:rPr>
              <w:t>Information Studies</w:t>
            </w:r>
          </w:p>
        </w:tc>
        <w:tc>
          <w:tcPr>
            <w:tcW w:w="1256" w:type="dxa"/>
          </w:tcPr>
          <w:p w:rsidR="00745ECB" w:rsidRDefault="00745ECB" w:rsidP="00A42DF1">
            <w:pPr>
              <w:rPr>
                <w:rFonts w:ascii="Arial" w:hAnsi="Arial"/>
                <w:sz w:val="22"/>
              </w:rPr>
            </w:pPr>
            <w:r>
              <w:rPr>
                <w:rFonts w:ascii="Arial" w:hAnsi="Arial"/>
                <w:sz w:val="22"/>
              </w:rPr>
              <w:t>Necessary</w:t>
            </w:r>
          </w:p>
        </w:tc>
      </w:tr>
      <w:tr w:rsidR="00745ECB" w:rsidTr="0098204A">
        <w:tc>
          <w:tcPr>
            <w:tcW w:w="10314" w:type="dxa"/>
          </w:tcPr>
          <w:p w:rsidR="00745ECB" w:rsidRPr="0098204A" w:rsidRDefault="00745ECB" w:rsidP="00C71DEC">
            <w:pPr>
              <w:rPr>
                <w:rFonts w:ascii="Arial" w:hAnsi="Arial" w:cs="Arial"/>
                <w:sz w:val="22"/>
                <w:szCs w:val="22"/>
              </w:rPr>
            </w:pPr>
            <w:r>
              <w:rPr>
                <w:rFonts w:ascii="Arial" w:hAnsi="Arial"/>
                <w:sz w:val="22"/>
              </w:rPr>
              <w:t>E</w:t>
            </w:r>
            <w:r w:rsidRPr="0098204A">
              <w:rPr>
                <w:rFonts w:ascii="Arial" w:hAnsi="Arial"/>
                <w:sz w:val="22"/>
              </w:rPr>
              <w:t xml:space="preserve">nsure that formal UCL quality assurance processes such as </w:t>
            </w:r>
            <w:hyperlink r:id="rId18" w:history="1">
              <w:r w:rsidRPr="0098204A">
                <w:rPr>
                  <w:rStyle w:val="Hyperlink"/>
                  <w:rFonts w:ascii="Arial" w:hAnsi="Arial"/>
                  <w:sz w:val="22"/>
                </w:rPr>
                <w:t>Annual Monitoring</w:t>
              </w:r>
            </w:hyperlink>
            <w:r w:rsidRPr="0098204A">
              <w:rPr>
                <w:rFonts w:ascii="Arial" w:hAnsi="Arial"/>
                <w:sz w:val="22"/>
              </w:rPr>
              <w:t xml:space="preserve"> are utilised more effectively as developmental tools for academic provision, rather than just perceived as necessary compliance activity. The team supports the new Head of Department’s determination to ensure that Annual Monitoring and other key strategic and quality assurance processes are fully engaged with by the Department in future.</w:t>
            </w:r>
          </w:p>
        </w:tc>
        <w:tc>
          <w:tcPr>
            <w:tcW w:w="2694" w:type="dxa"/>
          </w:tcPr>
          <w:p w:rsidR="00745ECB" w:rsidRDefault="00745ECB" w:rsidP="008541C8">
            <w:pPr>
              <w:rPr>
                <w:rFonts w:ascii="Arial" w:hAnsi="Arial"/>
                <w:sz w:val="22"/>
              </w:rPr>
            </w:pPr>
            <w:r>
              <w:rPr>
                <w:rFonts w:ascii="Arial" w:hAnsi="Arial"/>
                <w:sz w:val="22"/>
              </w:rPr>
              <w:t>Information Studies</w:t>
            </w:r>
          </w:p>
        </w:tc>
        <w:tc>
          <w:tcPr>
            <w:tcW w:w="1256" w:type="dxa"/>
          </w:tcPr>
          <w:p w:rsidR="00745ECB" w:rsidRDefault="00745ECB" w:rsidP="008541C8">
            <w:pPr>
              <w:rPr>
                <w:rFonts w:ascii="Arial" w:hAnsi="Arial"/>
                <w:sz w:val="22"/>
              </w:rPr>
            </w:pPr>
            <w:r>
              <w:rPr>
                <w:rFonts w:ascii="Arial" w:hAnsi="Arial"/>
                <w:sz w:val="22"/>
              </w:rPr>
              <w:t>Necessary</w:t>
            </w:r>
          </w:p>
        </w:tc>
      </w:tr>
      <w:tr w:rsidR="00745ECB" w:rsidTr="0098204A">
        <w:tc>
          <w:tcPr>
            <w:tcW w:w="10314" w:type="dxa"/>
          </w:tcPr>
          <w:p w:rsidR="00745ECB" w:rsidRPr="0098204A" w:rsidRDefault="00745ECB" w:rsidP="00C71DEC">
            <w:pPr>
              <w:rPr>
                <w:rFonts w:ascii="Arial" w:hAnsi="Arial" w:cs="Arial"/>
                <w:sz w:val="22"/>
                <w:szCs w:val="22"/>
              </w:rPr>
            </w:pPr>
            <w:r>
              <w:rPr>
                <w:rFonts w:ascii="Arial" w:hAnsi="Arial" w:cs="Arial"/>
                <w:sz w:val="22"/>
                <w:szCs w:val="22"/>
              </w:rPr>
              <w:t>R</w:t>
            </w:r>
            <w:r w:rsidRPr="0098204A">
              <w:rPr>
                <w:rFonts w:ascii="Arial" w:hAnsi="Arial" w:cs="Arial"/>
                <w:sz w:val="22"/>
                <w:szCs w:val="22"/>
              </w:rPr>
              <w:t xml:space="preserve">eview the terms of reference of the DTC and the </w:t>
            </w:r>
            <w:hyperlink r:id="rId19" w:history="1">
              <w:r w:rsidRPr="0098204A">
                <w:rPr>
                  <w:rStyle w:val="Hyperlink"/>
                  <w:rFonts w:ascii="Arial" w:hAnsi="Arial" w:cs="Arial"/>
                  <w:sz w:val="22"/>
                  <w:szCs w:val="22"/>
                </w:rPr>
                <w:t>Staff Student Consultative Committee</w:t>
              </w:r>
            </w:hyperlink>
            <w:r w:rsidRPr="0098204A">
              <w:rPr>
                <w:rFonts w:ascii="Arial" w:hAnsi="Arial" w:cs="Arial"/>
                <w:sz w:val="22"/>
                <w:szCs w:val="22"/>
              </w:rPr>
              <w:t xml:space="preserve"> to clarify the role of each committee and to ensure that their discrete roles and areas of business are clear to staff and students. The SSCC should also receive for consideration: (i) </w:t>
            </w:r>
            <w:r w:rsidRPr="0098204A">
              <w:rPr>
                <w:rFonts w:ascii="Arial" w:hAnsi="Arial"/>
                <w:sz w:val="22"/>
              </w:rPr>
              <w:t xml:space="preserve">the Head of Department’s overview </w:t>
            </w:r>
            <w:r w:rsidRPr="0098204A">
              <w:rPr>
                <w:rFonts w:ascii="Arial" w:hAnsi="Arial"/>
                <w:sz w:val="22"/>
              </w:rPr>
              <w:lastRenderedPageBreak/>
              <w:t xml:space="preserve">of the Annual Monitoring reports; (ii) </w:t>
            </w:r>
            <w:r w:rsidRPr="0098204A">
              <w:rPr>
                <w:rFonts w:ascii="Arial" w:hAnsi="Arial" w:cs="Arial"/>
                <w:sz w:val="22"/>
                <w:szCs w:val="22"/>
              </w:rPr>
              <w:t xml:space="preserve">the </w:t>
            </w:r>
            <w:r w:rsidRPr="0098204A">
              <w:rPr>
                <w:rFonts w:ascii="Arial" w:hAnsi="Arial"/>
                <w:sz w:val="22"/>
              </w:rPr>
              <w:t>summary of main matters arising from student evaluation questionnaires and (iii)</w:t>
            </w:r>
            <w:r w:rsidRPr="0098204A">
              <w:rPr>
                <w:rFonts w:ascii="Arial" w:hAnsi="Arial" w:cs="Arial"/>
                <w:sz w:val="22"/>
                <w:szCs w:val="22"/>
              </w:rPr>
              <w:t xml:space="preserve"> </w:t>
            </w:r>
            <w:r w:rsidRPr="0098204A">
              <w:rPr>
                <w:rFonts w:ascii="Arial" w:hAnsi="Arial"/>
                <w:sz w:val="22"/>
              </w:rPr>
              <w:t>the IQR self-evaluative statement and report.</w:t>
            </w:r>
          </w:p>
        </w:tc>
        <w:tc>
          <w:tcPr>
            <w:tcW w:w="2694" w:type="dxa"/>
          </w:tcPr>
          <w:p w:rsidR="00745ECB" w:rsidRDefault="00745ECB" w:rsidP="008541C8">
            <w:pPr>
              <w:rPr>
                <w:rFonts w:ascii="Arial" w:hAnsi="Arial"/>
                <w:sz w:val="22"/>
              </w:rPr>
            </w:pPr>
            <w:r>
              <w:rPr>
                <w:rFonts w:ascii="Arial" w:hAnsi="Arial"/>
                <w:sz w:val="22"/>
              </w:rPr>
              <w:lastRenderedPageBreak/>
              <w:t>Information Studies</w:t>
            </w:r>
          </w:p>
        </w:tc>
        <w:tc>
          <w:tcPr>
            <w:tcW w:w="1256" w:type="dxa"/>
          </w:tcPr>
          <w:p w:rsidR="00745ECB" w:rsidRDefault="00EB4A29" w:rsidP="00A42DF1">
            <w:pPr>
              <w:rPr>
                <w:rFonts w:ascii="Arial" w:hAnsi="Arial"/>
                <w:sz w:val="22"/>
              </w:rPr>
            </w:pPr>
            <w:r>
              <w:rPr>
                <w:rFonts w:ascii="Arial" w:hAnsi="Arial"/>
                <w:sz w:val="22"/>
              </w:rPr>
              <w:t>Necessary</w:t>
            </w:r>
          </w:p>
        </w:tc>
      </w:tr>
      <w:tr w:rsidR="00745ECB" w:rsidTr="0098204A">
        <w:tc>
          <w:tcPr>
            <w:tcW w:w="10314" w:type="dxa"/>
          </w:tcPr>
          <w:p w:rsidR="00745ECB" w:rsidRPr="0098204A" w:rsidRDefault="00745ECB" w:rsidP="00C71DEC">
            <w:pPr>
              <w:rPr>
                <w:rFonts w:ascii="Arial" w:hAnsi="Arial" w:cs="Arial"/>
                <w:sz w:val="22"/>
                <w:szCs w:val="22"/>
              </w:rPr>
            </w:pPr>
            <w:r>
              <w:rPr>
                <w:rFonts w:ascii="Arial" w:hAnsi="Arial" w:cs="Arial"/>
                <w:sz w:val="22"/>
                <w:szCs w:val="22"/>
              </w:rPr>
              <w:lastRenderedPageBreak/>
              <w:t>R</w:t>
            </w:r>
            <w:r w:rsidRPr="0098204A">
              <w:rPr>
                <w:rFonts w:ascii="Arial" w:hAnsi="Arial" w:cs="Arial"/>
                <w:sz w:val="22"/>
                <w:szCs w:val="22"/>
              </w:rPr>
              <w:t xml:space="preserve">eview its information to students on the </w:t>
            </w:r>
            <w:hyperlink r:id="rId20" w:history="1">
              <w:r w:rsidRPr="0098204A">
                <w:rPr>
                  <w:rStyle w:val="Hyperlink"/>
                  <w:rFonts w:ascii="Arial" w:hAnsi="Arial" w:cs="Arial"/>
                  <w:sz w:val="22"/>
                  <w:szCs w:val="22"/>
                </w:rPr>
                <w:t>Student Academic Representative (StARs) scheme</w:t>
              </w:r>
            </w:hyperlink>
            <w:r w:rsidRPr="0098204A">
              <w:rPr>
                <w:rFonts w:ascii="Arial" w:hAnsi="Arial" w:cs="Arial"/>
                <w:sz w:val="22"/>
                <w:szCs w:val="22"/>
              </w:rPr>
              <w:t xml:space="preserve"> and to take action to correct the apparent misconception amongst students and staff that this is not intended for postgraduate students. The StARs scheme, managed in partnership between UCL Union and UCL, is applicable for all students and offers training and other opportunities which students should have the opportunity to engage in.</w:t>
            </w:r>
          </w:p>
        </w:tc>
        <w:tc>
          <w:tcPr>
            <w:tcW w:w="2694" w:type="dxa"/>
          </w:tcPr>
          <w:p w:rsidR="00745ECB" w:rsidRDefault="00745ECB" w:rsidP="008541C8">
            <w:pPr>
              <w:rPr>
                <w:rFonts w:ascii="Arial" w:hAnsi="Arial"/>
                <w:sz w:val="22"/>
              </w:rPr>
            </w:pPr>
            <w:r>
              <w:rPr>
                <w:rFonts w:ascii="Arial" w:hAnsi="Arial"/>
                <w:sz w:val="22"/>
              </w:rPr>
              <w:t>Information Studies</w:t>
            </w:r>
          </w:p>
        </w:tc>
        <w:tc>
          <w:tcPr>
            <w:tcW w:w="1256" w:type="dxa"/>
          </w:tcPr>
          <w:p w:rsidR="00745ECB" w:rsidRDefault="00EB4A29" w:rsidP="00A42DF1">
            <w:pPr>
              <w:rPr>
                <w:rFonts w:ascii="Arial" w:hAnsi="Arial"/>
                <w:sz w:val="22"/>
              </w:rPr>
            </w:pPr>
            <w:r>
              <w:rPr>
                <w:rFonts w:ascii="Arial" w:hAnsi="Arial"/>
                <w:sz w:val="22"/>
              </w:rPr>
              <w:t>Necessary</w:t>
            </w:r>
          </w:p>
        </w:tc>
      </w:tr>
      <w:tr w:rsidR="00745ECB" w:rsidTr="0098204A">
        <w:tc>
          <w:tcPr>
            <w:tcW w:w="10314" w:type="dxa"/>
          </w:tcPr>
          <w:p w:rsidR="00745ECB" w:rsidRPr="006961F2" w:rsidRDefault="00745ECB" w:rsidP="00C71DEC">
            <w:pPr>
              <w:rPr>
                <w:rFonts w:cs="Arial"/>
                <w:sz w:val="22"/>
                <w:szCs w:val="22"/>
              </w:rPr>
            </w:pPr>
            <w:r>
              <w:rPr>
                <w:rFonts w:ascii="Arial" w:hAnsi="Arial" w:cs="Arial"/>
                <w:sz w:val="22"/>
              </w:rPr>
              <w:t>E</w:t>
            </w:r>
            <w:r w:rsidRPr="006961F2">
              <w:rPr>
                <w:rFonts w:ascii="Arial" w:hAnsi="Arial" w:cs="Arial"/>
                <w:sz w:val="22"/>
              </w:rPr>
              <w:t>nsure that student representation is included on all the various Natural Sciences committees, especially its Steering Committee and Stream Representatives Committee. The Review Team understands that student representation is included on both the Natural Sciences Staff Student Committee and the Review Committee but considers that students should also have membership of these other two groupings that play an important part in the running of the Programme.</w:t>
            </w:r>
          </w:p>
        </w:tc>
        <w:tc>
          <w:tcPr>
            <w:tcW w:w="2694" w:type="dxa"/>
          </w:tcPr>
          <w:p w:rsidR="00745ECB" w:rsidRDefault="00745ECB" w:rsidP="008541C8">
            <w:pPr>
              <w:rPr>
                <w:rFonts w:ascii="Arial" w:hAnsi="Arial"/>
                <w:sz w:val="22"/>
              </w:rPr>
            </w:pPr>
            <w:r>
              <w:rPr>
                <w:rFonts w:ascii="Arial" w:hAnsi="Arial" w:cs="Arial"/>
                <w:sz w:val="22"/>
                <w:szCs w:val="22"/>
              </w:rPr>
              <w:t>BSc/</w:t>
            </w:r>
            <w:r w:rsidRPr="00FF4939">
              <w:rPr>
                <w:rFonts w:ascii="Arial" w:hAnsi="Arial" w:cs="Arial"/>
                <w:sz w:val="22"/>
                <w:szCs w:val="22"/>
              </w:rPr>
              <w:t>MSci Natural Sciences</w:t>
            </w:r>
          </w:p>
        </w:tc>
        <w:tc>
          <w:tcPr>
            <w:tcW w:w="1256" w:type="dxa"/>
          </w:tcPr>
          <w:p w:rsidR="00745ECB" w:rsidRDefault="00B4489D" w:rsidP="00A42DF1">
            <w:pPr>
              <w:rPr>
                <w:rFonts w:ascii="Arial" w:hAnsi="Arial"/>
                <w:sz w:val="22"/>
              </w:rPr>
            </w:pPr>
            <w:r>
              <w:rPr>
                <w:rFonts w:ascii="Arial" w:hAnsi="Arial"/>
                <w:sz w:val="22"/>
              </w:rPr>
              <w:t>Necessary</w:t>
            </w:r>
          </w:p>
        </w:tc>
      </w:tr>
      <w:tr w:rsidR="00745ECB" w:rsidTr="0098204A">
        <w:tc>
          <w:tcPr>
            <w:tcW w:w="10314" w:type="dxa"/>
          </w:tcPr>
          <w:p w:rsidR="00745ECB" w:rsidRPr="00B876FC" w:rsidRDefault="00745ECB" w:rsidP="00B876FC">
            <w:pPr>
              <w:tabs>
                <w:tab w:val="left" w:pos="709"/>
              </w:tabs>
              <w:rPr>
                <w:rFonts w:ascii="Arial" w:hAnsi="Arial" w:cs="Arial"/>
                <w:sz w:val="22"/>
                <w:szCs w:val="22"/>
                <w:lang w:val="en-US"/>
              </w:rPr>
            </w:pPr>
            <w:r>
              <w:rPr>
                <w:rFonts w:ascii="Arial" w:hAnsi="Arial" w:cs="Arial"/>
                <w:sz w:val="22"/>
                <w:szCs w:val="22"/>
                <w:lang w:val="en-US"/>
              </w:rPr>
              <w:t>E</w:t>
            </w:r>
            <w:r w:rsidRPr="006961F2">
              <w:rPr>
                <w:rFonts w:ascii="Arial" w:hAnsi="Arial" w:cs="Arial"/>
                <w:sz w:val="22"/>
                <w:szCs w:val="22"/>
                <w:lang w:val="en-US"/>
              </w:rPr>
              <w:t>nsure that first- and second-year students are aware of the role of the Staff-Student Consultative Committee, and the identity of their student representatives.</w:t>
            </w:r>
          </w:p>
        </w:tc>
        <w:tc>
          <w:tcPr>
            <w:tcW w:w="2694" w:type="dxa"/>
          </w:tcPr>
          <w:p w:rsidR="00745ECB" w:rsidRDefault="00B876FC" w:rsidP="008541C8">
            <w:pPr>
              <w:rPr>
                <w:rFonts w:ascii="Arial" w:hAnsi="Arial"/>
                <w:sz w:val="22"/>
              </w:rPr>
            </w:pPr>
            <w:r>
              <w:rPr>
                <w:rFonts w:ascii="Arial" w:hAnsi="Arial" w:cs="Arial"/>
                <w:sz w:val="22"/>
                <w:szCs w:val="22"/>
              </w:rPr>
              <w:t>SELCS</w:t>
            </w:r>
          </w:p>
        </w:tc>
        <w:tc>
          <w:tcPr>
            <w:tcW w:w="1256" w:type="dxa"/>
          </w:tcPr>
          <w:p w:rsidR="00745ECB" w:rsidRDefault="001610D6" w:rsidP="00A42DF1">
            <w:pPr>
              <w:rPr>
                <w:rFonts w:ascii="Arial" w:hAnsi="Arial"/>
                <w:sz w:val="22"/>
              </w:rPr>
            </w:pPr>
            <w:r>
              <w:rPr>
                <w:rFonts w:ascii="Arial" w:hAnsi="Arial"/>
                <w:sz w:val="22"/>
              </w:rPr>
              <w:t>Advisable</w:t>
            </w:r>
          </w:p>
        </w:tc>
      </w:tr>
      <w:tr w:rsidR="00745ECB" w:rsidTr="00B876FC">
        <w:tc>
          <w:tcPr>
            <w:tcW w:w="10314" w:type="dxa"/>
            <w:shd w:val="clear" w:color="auto" w:fill="E5B8B7" w:themeFill="accent2" w:themeFillTint="66"/>
          </w:tcPr>
          <w:p w:rsidR="00745ECB" w:rsidRPr="006961F2" w:rsidRDefault="00745ECB" w:rsidP="00C71DEC">
            <w:pPr>
              <w:rPr>
                <w:rFonts w:ascii="Arial" w:hAnsi="Arial" w:cs="Arial"/>
                <w:b/>
                <w:i/>
                <w:sz w:val="22"/>
                <w:szCs w:val="22"/>
              </w:rPr>
            </w:pPr>
            <w:r w:rsidRPr="006961F2">
              <w:rPr>
                <w:rFonts w:ascii="Arial" w:hAnsi="Arial" w:cs="Arial"/>
                <w:b/>
                <w:i/>
                <w:sz w:val="22"/>
                <w:szCs w:val="22"/>
              </w:rPr>
              <w:t xml:space="preserve">Doctoral School/Research Students  </w:t>
            </w:r>
          </w:p>
        </w:tc>
        <w:tc>
          <w:tcPr>
            <w:tcW w:w="2694" w:type="dxa"/>
            <w:shd w:val="clear" w:color="auto" w:fill="E5B8B7" w:themeFill="accent2" w:themeFillTint="66"/>
          </w:tcPr>
          <w:p w:rsidR="00745ECB" w:rsidRDefault="00745ECB" w:rsidP="008541C8">
            <w:pPr>
              <w:rPr>
                <w:rFonts w:ascii="Arial" w:hAnsi="Arial"/>
                <w:sz w:val="22"/>
              </w:rPr>
            </w:pPr>
          </w:p>
        </w:tc>
        <w:tc>
          <w:tcPr>
            <w:tcW w:w="1256" w:type="dxa"/>
            <w:shd w:val="clear" w:color="auto" w:fill="E5B8B7" w:themeFill="accent2" w:themeFillTint="66"/>
          </w:tcPr>
          <w:p w:rsidR="00745ECB" w:rsidRDefault="00745ECB" w:rsidP="00A42DF1">
            <w:pPr>
              <w:rPr>
                <w:rFonts w:ascii="Arial" w:hAnsi="Arial"/>
                <w:sz w:val="22"/>
              </w:rPr>
            </w:pPr>
          </w:p>
        </w:tc>
      </w:tr>
      <w:tr w:rsidR="00745ECB" w:rsidTr="0098204A">
        <w:tc>
          <w:tcPr>
            <w:tcW w:w="10314" w:type="dxa"/>
          </w:tcPr>
          <w:p w:rsidR="00745ECB" w:rsidRDefault="00745ECB" w:rsidP="00C71DEC">
            <w:pPr>
              <w:rPr>
                <w:rFonts w:ascii="Arial" w:hAnsi="Arial" w:cs="Arial"/>
                <w:sz w:val="22"/>
                <w:szCs w:val="22"/>
              </w:rPr>
            </w:pPr>
            <w:r>
              <w:rPr>
                <w:rFonts w:ascii="Arial" w:hAnsi="Arial" w:cs="Arial"/>
                <w:sz w:val="22"/>
                <w:szCs w:val="22"/>
              </w:rPr>
              <w:t>R</w:t>
            </w:r>
            <w:r w:rsidRPr="0098204A">
              <w:rPr>
                <w:rFonts w:ascii="Arial" w:hAnsi="Arial" w:cs="Arial"/>
                <w:sz w:val="22"/>
                <w:szCs w:val="22"/>
              </w:rPr>
              <w:t xml:space="preserve">eview the arrangements for the MPhil/PhD upgrade seminar to ensure that the Principal Supervisor is not present when the Upgrade Panel considers its decision on approval of the upgrade. Whilst it is permissible for the Principal Supervisor to be present during the student’s oral presentation, they should not be present during the Panel’s discussions on approval (see the </w:t>
            </w:r>
            <w:hyperlink r:id="rId21" w:history="1">
              <w:r w:rsidRPr="0098204A">
                <w:rPr>
                  <w:rStyle w:val="Hyperlink"/>
                  <w:rFonts w:ascii="Arial" w:hAnsi="Arial" w:cs="Arial"/>
                  <w:sz w:val="22"/>
                  <w:szCs w:val="22"/>
                </w:rPr>
                <w:t>Guidelines for Upgrade from MPhil to PhD Status</w:t>
              </w:r>
            </w:hyperlink>
            <w:r w:rsidRPr="0098204A">
              <w:rPr>
                <w:rFonts w:ascii="Arial" w:hAnsi="Arial" w:cs="Arial"/>
                <w:sz w:val="22"/>
                <w:szCs w:val="22"/>
              </w:rPr>
              <w:t>).</w:t>
            </w:r>
          </w:p>
        </w:tc>
        <w:tc>
          <w:tcPr>
            <w:tcW w:w="2694" w:type="dxa"/>
          </w:tcPr>
          <w:p w:rsidR="00745ECB" w:rsidRDefault="00745ECB" w:rsidP="008541C8">
            <w:pPr>
              <w:rPr>
                <w:rFonts w:ascii="Arial" w:hAnsi="Arial"/>
                <w:sz w:val="22"/>
              </w:rPr>
            </w:pPr>
            <w:r>
              <w:rPr>
                <w:rFonts w:ascii="Arial" w:hAnsi="Arial"/>
                <w:sz w:val="22"/>
              </w:rPr>
              <w:t>Institute of Archaeology</w:t>
            </w:r>
          </w:p>
        </w:tc>
        <w:tc>
          <w:tcPr>
            <w:tcW w:w="1256" w:type="dxa"/>
          </w:tcPr>
          <w:p w:rsidR="00745ECB" w:rsidRDefault="001610D6" w:rsidP="00A42DF1">
            <w:pPr>
              <w:rPr>
                <w:rFonts w:ascii="Arial" w:hAnsi="Arial"/>
                <w:sz w:val="22"/>
              </w:rPr>
            </w:pPr>
            <w:r>
              <w:rPr>
                <w:rFonts w:ascii="Arial" w:hAnsi="Arial"/>
                <w:sz w:val="22"/>
              </w:rPr>
              <w:t>Necessary</w:t>
            </w:r>
          </w:p>
        </w:tc>
      </w:tr>
      <w:tr w:rsidR="00745ECB" w:rsidTr="0098204A">
        <w:tc>
          <w:tcPr>
            <w:tcW w:w="10314" w:type="dxa"/>
          </w:tcPr>
          <w:p w:rsidR="00745ECB" w:rsidRDefault="00745ECB" w:rsidP="008541C8">
            <w:pPr>
              <w:rPr>
                <w:rFonts w:ascii="Arial" w:hAnsi="Arial" w:cs="Arial"/>
                <w:sz w:val="22"/>
                <w:szCs w:val="22"/>
              </w:rPr>
            </w:pPr>
            <w:r>
              <w:rPr>
                <w:rFonts w:ascii="Arial" w:eastAsia="Calibri" w:hAnsi="Arial" w:cs="Arial"/>
                <w:bCs/>
                <w:sz w:val="22"/>
              </w:rPr>
              <w:t>A</w:t>
            </w:r>
            <w:r w:rsidRPr="00C71DEC">
              <w:rPr>
                <w:rFonts w:ascii="Arial" w:eastAsia="Calibri" w:hAnsi="Arial" w:cs="Arial"/>
                <w:bCs/>
                <w:sz w:val="22"/>
              </w:rPr>
              <w:t xml:space="preserve">ssess the research supervision workload for senior academic staff and check whether individual workloads are in line with the UCL guidance (see section 4.3 of the </w:t>
            </w:r>
            <w:hyperlink r:id="rId22" w:history="1">
              <w:r w:rsidRPr="00C71DEC">
                <w:rPr>
                  <w:rFonts w:ascii="Arial" w:eastAsia="Calibri" w:hAnsi="Arial" w:cs="Arial"/>
                  <w:bCs/>
                  <w:i/>
                  <w:color w:val="0000FF"/>
                  <w:sz w:val="22"/>
                  <w:u w:val="single"/>
                </w:rPr>
                <w:t>Academic Regulations for Research Degrees</w:t>
              </w:r>
            </w:hyperlink>
            <w:r w:rsidRPr="00C71DEC">
              <w:rPr>
                <w:rFonts w:ascii="Arial" w:eastAsia="Calibri" w:hAnsi="Arial" w:cs="Arial"/>
                <w:bCs/>
                <w:sz w:val="22"/>
              </w:rPr>
              <w:t>) provided on the number of students per supervisor. The Department should then address any issues highlighted from the analysis.</w:t>
            </w:r>
          </w:p>
        </w:tc>
        <w:tc>
          <w:tcPr>
            <w:tcW w:w="2694" w:type="dxa"/>
          </w:tcPr>
          <w:p w:rsidR="00745ECB" w:rsidRPr="00FF4939" w:rsidRDefault="00745ECB" w:rsidP="008541C8">
            <w:pPr>
              <w:rPr>
                <w:rFonts w:ascii="Arial" w:hAnsi="Arial" w:cs="Arial"/>
                <w:sz w:val="22"/>
                <w:szCs w:val="22"/>
              </w:rPr>
            </w:pPr>
            <w:r>
              <w:rPr>
                <w:rFonts w:ascii="Arial" w:hAnsi="Arial" w:cs="Arial"/>
                <w:sz w:val="22"/>
                <w:szCs w:val="22"/>
              </w:rPr>
              <w:t>Greek and Latin</w:t>
            </w:r>
          </w:p>
        </w:tc>
        <w:tc>
          <w:tcPr>
            <w:tcW w:w="1256" w:type="dxa"/>
          </w:tcPr>
          <w:p w:rsidR="00745ECB" w:rsidRDefault="00745ECB" w:rsidP="008541C8">
            <w:pPr>
              <w:rPr>
                <w:rFonts w:ascii="Arial" w:hAnsi="Arial"/>
                <w:sz w:val="22"/>
              </w:rPr>
            </w:pPr>
            <w:r>
              <w:rPr>
                <w:rFonts w:ascii="Arial" w:hAnsi="Arial"/>
                <w:sz w:val="22"/>
              </w:rPr>
              <w:t>Necessary</w:t>
            </w:r>
          </w:p>
        </w:tc>
      </w:tr>
      <w:tr w:rsidR="00745ECB" w:rsidTr="0098204A">
        <w:tc>
          <w:tcPr>
            <w:tcW w:w="10314" w:type="dxa"/>
          </w:tcPr>
          <w:p w:rsidR="00745ECB" w:rsidRDefault="00745ECB" w:rsidP="00F17C35">
            <w:pPr>
              <w:rPr>
                <w:rFonts w:ascii="Arial" w:hAnsi="Arial" w:cs="Arial"/>
                <w:sz w:val="22"/>
                <w:szCs w:val="22"/>
              </w:rPr>
            </w:pPr>
            <w:r w:rsidRPr="006961F2">
              <w:rPr>
                <w:rFonts w:ascii="Arial" w:hAnsi="Arial"/>
                <w:sz w:val="22"/>
              </w:rPr>
              <w:t xml:space="preserve">Some students still feel that the Research Log should be removed altogether. However, others maintain that the Log could be re-framed in order to be made more relevant and to feel more useful and that they would prefer more free form, discursive commentary. To this end therefore, the Team recommends that the Department must ensure that all research students complete the online research student log which is a mandatory component of UCL research degree programmes but it will also </w:t>
            </w:r>
            <w:r w:rsidRPr="006961F2">
              <w:rPr>
                <w:rFonts w:ascii="Arial" w:hAnsi="Arial" w:cs="Arial"/>
                <w:sz w:val="22"/>
                <w:szCs w:val="22"/>
              </w:rPr>
              <w:t xml:space="preserve">invite the Graduate School to consider how the </w:t>
            </w:r>
            <w:r w:rsidRPr="006961F2">
              <w:rPr>
                <w:rFonts w:ascii="Arial" w:hAnsi="Arial" w:cs="Arial"/>
                <w:sz w:val="22"/>
              </w:rPr>
              <w:t>Online Research Student Log might be further tailored to the Department’s particular requirements.</w:t>
            </w:r>
          </w:p>
        </w:tc>
        <w:tc>
          <w:tcPr>
            <w:tcW w:w="2694" w:type="dxa"/>
          </w:tcPr>
          <w:p w:rsidR="00745ECB" w:rsidRDefault="00745ECB" w:rsidP="008541C8">
            <w:pPr>
              <w:rPr>
                <w:rFonts w:ascii="Arial" w:hAnsi="Arial"/>
                <w:sz w:val="22"/>
              </w:rPr>
            </w:pPr>
            <w:r>
              <w:rPr>
                <w:rFonts w:ascii="Arial" w:hAnsi="Arial"/>
                <w:sz w:val="22"/>
              </w:rPr>
              <w:t>History of Art</w:t>
            </w:r>
          </w:p>
          <w:p w:rsidR="00745ECB" w:rsidRPr="006961F2" w:rsidRDefault="00745ECB" w:rsidP="006961F2">
            <w:pPr>
              <w:ind w:firstLine="720"/>
              <w:rPr>
                <w:rFonts w:ascii="Arial" w:hAnsi="Arial"/>
                <w:sz w:val="22"/>
              </w:rPr>
            </w:pPr>
          </w:p>
        </w:tc>
        <w:tc>
          <w:tcPr>
            <w:tcW w:w="1256" w:type="dxa"/>
          </w:tcPr>
          <w:p w:rsidR="00745ECB" w:rsidRDefault="00745ECB" w:rsidP="00A42DF1">
            <w:pPr>
              <w:rPr>
                <w:rFonts w:ascii="Arial" w:hAnsi="Arial"/>
                <w:sz w:val="22"/>
              </w:rPr>
            </w:pPr>
            <w:r>
              <w:rPr>
                <w:rFonts w:ascii="Arial" w:hAnsi="Arial"/>
                <w:sz w:val="22"/>
              </w:rPr>
              <w:t>Necessary</w:t>
            </w:r>
          </w:p>
        </w:tc>
      </w:tr>
      <w:tr w:rsidR="00745ECB" w:rsidTr="0098204A">
        <w:tc>
          <w:tcPr>
            <w:tcW w:w="10314" w:type="dxa"/>
          </w:tcPr>
          <w:p w:rsidR="00745ECB" w:rsidRDefault="00745ECB" w:rsidP="00C71DEC">
            <w:pPr>
              <w:rPr>
                <w:rFonts w:ascii="Arial" w:hAnsi="Arial" w:cs="Arial"/>
                <w:sz w:val="22"/>
                <w:szCs w:val="22"/>
              </w:rPr>
            </w:pPr>
            <w:r w:rsidRPr="006961F2">
              <w:rPr>
                <w:rFonts w:ascii="Arial" w:hAnsi="Arial"/>
                <w:sz w:val="22"/>
              </w:rPr>
              <w:t xml:space="preserve">The Team raised the issue of PGTA pay and conditions with the Head of Department and he recognises this as an important issue and has resolved to raise the discussion to Faculty level as soon as this is appropriate. The Team commended the Department’s evident commitment to and support of its PGTAs and recommended that it follow through on its declared intention to review the pay and </w:t>
            </w:r>
            <w:r w:rsidRPr="006961F2">
              <w:rPr>
                <w:rFonts w:ascii="Arial" w:hAnsi="Arial"/>
                <w:sz w:val="22"/>
              </w:rPr>
              <w:lastRenderedPageBreak/>
              <w:t>conditions of its PGTAs, with a view to raising this discussion to Faculty level.</w:t>
            </w:r>
          </w:p>
        </w:tc>
        <w:tc>
          <w:tcPr>
            <w:tcW w:w="2694" w:type="dxa"/>
          </w:tcPr>
          <w:p w:rsidR="00745ECB" w:rsidRDefault="00745ECB" w:rsidP="008541C8">
            <w:pPr>
              <w:rPr>
                <w:rFonts w:ascii="Arial" w:hAnsi="Arial"/>
                <w:sz w:val="22"/>
              </w:rPr>
            </w:pPr>
            <w:r>
              <w:rPr>
                <w:rFonts w:ascii="Arial" w:hAnsi="Arial"/>
                <w:sz w:val="22"/>
              </w:rPr>
              <w:lastRenderedPageBreak/>
              <w:t>History of Art</w:t>
            </w:r>
          </w:p>
          <w:p w:rsidR="00745ECB" w:rsidRPr="006961F2" w:rsidRDefault="00745ECB" w:rsidP="008541C8">
            <w:pPr>
              <w:ind w:firstLine="720"/>
              <w:rPr>
                <w:rFonts w:ascii="Arial" w:hAnsi="Arial"/>
                <w:sz w:val="22"/>
              </w:rPr>
            </w:pPr>
          </w:p>
        </w:tc>
        <w:tc>
          <w:tcPr>
            <w:tcW w:w="1256" w:type="dxa"/>
          </w:tcPr>
          <w:p w:rsidR="00745ECB" w:rsidRDefault="00745ECB" w:rsidP="00A42DF1">
            <w:pPr>
              <w:rPr>
                <w:rFonts w:ascii="Arial" w:hAnsi="Arial"/>
                <w:sz w:val="22"/>
              </w:rPr>
            </w:pPr>
            <w:r>
              <w:rPr>
                <w:rFonts w:ascii="Arial" w:hAnsi="Arial"/>
                <w:sz w:val="22"/>
              </w:rPr>
              <w:t>Advisable</w:t>
            </w:r>
          </w:p>
        </w:tc>
      </w:tr>
      <w:tr w:rsidR="00745ECB" w:rsidTr="0098204A">
        <w:tc>
          <w:tcPr>
            <w:tcW w:w="10314" w:type="dxa"/>
          </w:tcPr>
          <w:p w:rsidR="00745ECB" w:rsidRDefault="00745ECB" w:rsidP="00C71DEC">
            <w:pPr>
              <w:rPr>
                <w:rFonts w:ascii="Arial" w:hAnsi="Arial" w:cs="Arial"/>
                <w:sz w:val="22"/>
                <w:szCs w:val="22"/>
              </w:rPr>
            </w:pPr>
            <w:r>
              <w:rPr>
                <w:rFonts w:ascii="Arial" w:hAnsi="Arial" w:cs="Arial"/>
                <w:sz w:val="22"/>
                <w:szCs w:val="22"/>
              </w:rPr>
              <w:lastRenderedPageBreak/>
              <w:t>E</w:t>
            </w:r>
            <w:r w:rsidRPr="006961F2">
              <w:rPr>
                <w:rFonts w:ascii="Arial" w:hAnsi="Arial" w:cs="Arial"/>
                <w:sz w:val="22"/>
                <w:szCs w:val="22"/>
              </w:rPr>
              <w:t>nsure that there is greater clarity among postgraduate research students and staff regarding the role of the secondary supervisor.</w:t>
            </w:r>
          </w:p>
        </w:tc>
        <w:tc>
          <w:tcPr>
            <w:tcW w:w="2694" w:type="dxa"/>
          </w:tcPr>
          <w:p w:rsidR="00745ECB" w:rsidRDefault="00745ECB" w:rsidP="008541C8">
            <w:pPr>
              <w:rPr>
                <w:rFonts w:ascii="Arial" w:hAnsi="Arial"/>
                <w:sz w:val="22"/>
              </w:rPr>
            </w:pPr>
            <w:r>
              <w:rPr>
                <w:rFonts w:ascii="Arial" w:hAnsi="Arial"/>
                <w:sz w:val="22"/>
              </w:rPr>
              <w:t>Infection and Immunity</w:t>
            </w:r>
          </w:p>
        </w:tc>
        <w:tc>
          <w:tcPr>
            <w:tcW w:w="1256" w:type="dxa"/>
          </w:tcPr>
          <w:p w:rsidR="00745ECB" w:rsidRDefault="00745ECB" w:rsidP="00A42DF1">
            <w:pPr>
              <w:rPr>
                <w:rFonts w:ascii="Arial" w:hAnsi="Arial"/>
                <w:sz w:val="22"/>
              </w:rPr>
            </w:pPr>
            <w:r>
              <w:rPr>
                <w:rFonts w:ascii="Arial" w:hAnsi="Arial"/>
                <w:sz w:val="22"/>
              </w:rPr>
              <w:t>Necessary</w:t>
            </w:r>
          </w:p>
        </w:tc>
      </w:tr>
      <w:tr w:rsidR="00745ECB" w:rsidTr="0098204A">
        <w:tc>
          <w:tcPr>
            <w:tcW w:w="10314" w:type="dxa"/>
          </w:tcPr>
          <w:p w:rsidR="00745ECB" w:rsidRDefault="00745ECB" w:rsidP="00C71DEC">
            <w:pPr>
              <w:rPr>
                <w:rFonts w:ascii="Arial" w:hAnsi="Arial" w:cs="Arial"/>
                <w:sz w:val="22"/>
                <w:szCs w:val="22"/>
              </w:rPr>
            </w:pPr>
            <w:r>
              <w:rPr>
                <w:rFonts w:ascii="Arial" w:hAnsi="Arial" w:cs="Arial"/>
                <w:sz w:val="22"/>
                <w:szCs w:val="22"/>
              </w:rPr>
              <w:t>O</w:t>
            </w:r>
            <w:r w:rsidRPr="006961F2">
              <w:rPr>
                <w:rFonts w:ascii="Arial" w:hAnsi="Arial" w:cs="Arial"/>
                <w:sz w:val="22"/>
                <w:szCs w:val="22"/>
              </w:rPr>
              <w:t xml:space="preserve">rganise more formal training and guidance, including around health and safety protocols, for postgraduate research students who are involved in giving laboratory demonstrations.   </w:t>
            </w:r>
          </w:p>
        </w:tc>
        <w:tc>
          <w:tcPr>
            <w:tcW w:w="2694" w:type="dxa"/>
          </w:tcPr>
          <w:p w:rsidR="00745ECB" w:rsidRDefault="00745ECB" w:rsidP="008541C8">
            <w:pPr>
              <w:rPr>
                <w:rFonts w:ascii="Arial" w:hAnsi="Arial"/>
                <w:sz w:val="22"/>
              </w:rPr>
            </w:pPr>
            <w:r>
              <w:rPr>
                <w:rFonts w:ascii="Arial" w:hAnsi="Arial"/>
                <w:sz w:val="22"/>
              </w:rPr>
              <w:t>Infection and Immunity</w:t>
            </w:r>
          </w:p>
        </w:tc>
        <w:tc>
          <w:tcPr>
            <w:tcW w:w="1256" w:type="dxa"/>
          </w:tcPr>
          <w:p w:rsidR="00745ECB" w:rsidRDefault="00745ECB" w:rsidP="00A42DF1">
            <w:pPr>
              <w:rPr>
                <w:rFonts w:ascii="Arial" w:hAnsi="Arial"/>
                <w:sz w:val="22"/>
              </w:rPr>
            </w:pPr>
            <w:r>
              <w:rPr>
                <w:rFonts w:ascii="Arial" w:hAnsi="Arial"/>
                <w:sz w:val="22"/>
              </w:rPr>
              <w:t>Advisable</w:t>
            </w:r>
          </w:p>
        </w:tc>
      </w:tr>
      <w:tr w:rsidR="00745ECB" w:rsidTr="0098204A">
        <w:tc>
          <w:tcPr>
            <w:tcW w:w="10314" w:type="dxa"/>
          </w:tcPr>
          <w:p w:rsidR="00745ECB" w:rsidRDefault="00745ECB" w:rsidP="00C71DEC">
            <w:pPr>
              <w:rPr>
                <w:rFonts w:ascii="Arial" w:hAnsi="Arial" w:cs="Arial"/>
                <w:sz w:val="22"/>
                <w:szCs w:val="22"/>
              </w:rPr>
            </w:pPr>
            <w:r>
              <w:rPr>
                <w:rFonts w:ascii="Arial" w:hAnsi="Arial" w:cs="Arial"/>
                <w:sz w:val="22"/>
                <w:szCs w:val="22"/>
              </w:rPr>
              <w:t>C</w:t>
            </w:r>
            <w:r w:rsidRPr="006961F2">
              <w:rPr>
                <w:rFonts w:ascii="Arial" w:hAnsi="Arial" w:cs="Arial"/>
                <w:sz w:val="22"/>
                <w:szCs w:val="22"/>
              </w:rPr>
              <w:t xml:space="preserve">onsider how the UCL Research Log may be used more consistently and to the best effect by research students and their supervisors across the Division in accordance with the guidance issued by the UCL Doctoral School. </w:t>
            </w:r>
          </w:p>
        </w:tc>
        <w:tc>
          <w:tcPr>
            <w:tcW w:w="2694" w:type="dxa"/>
          </w:tcPr>
          <w:p w:rsidR="00745ECB" w:rsidRDefault="00745ECB" w:rsidP="008541C8">
            <w:pPr>
              <w:rPr>
                <w:rFonts w:ascii="Arial" w:hAnsi="Arial"/>
                <w:sz w:val="22"/>
              </w:rPr>
            </w:pPr>
            <w:r>
              <w:rPr>
                <w:rFonts w:ascii="Arial" w:hAnsi="Arial"/>
                <w:sz w:val="22"/>
              </w:rPr>
              <w:t>Infection and Immunity</w:t>
            </w:r>
          </w:p>
        </w:tc>
        <w:tc>
          <w:tcPr>
            <w:tcW w:w="1256" w:type="dxa"/>
          </w:tcPr>
          <w:p w:rsidR="00745ECB" w:rsidRDefault="00745ECB" w:rsidP="00A42DF1">
            <w:pPr>
              <w:rPr>
                <w:rFonts w:ascii="Arial" w:hAnsi="Arial"/>
                <w:sz w:val="22"/>
              </w:rPr>
            </w:pPr>
            <w:r>
              <w:rPr>
                <w:rFonts w:ascii="Arial" w:hAnsi="Arial"/>
                <w:sz w:val="22"/>
              </w:rPr>
              <w:t>Desirable</w:t>
            </w:r>
          </w:p>
        </w:tc>
      </w:tr>
      <w:tr w:rsidR="00745ECB" w:rsidTr="0098204A">
        <w:tc>
          <w:tcPr>
            <w:tcW w:w="10314" w:type="dxa"/>
          </w:tcPr>
          <w:p w:rsidR="00745ECB" w:rsidRDefault="00745ECB" w:rsidP="00C71DEC">
            <w:pPr>
              <w:rPr>
                <w:rFonts w:ascii="Arial" w:hAnsi="Arial" w:cs="Arial"/>
                <w:sz w:val="22"/>
                <w:szCs w:val="22"/>
              </w:rPr>
            </w:pPr>
            <w:r>
              <w:rPr>
                <w:rFonts w:ascii="Arial" w:hAnsi="Arial" w:cs="Arial"/>
                <w:sz w:val="22"/>
                <w:szCs w:val="22"/>
              </w:rPr>
              <w:t>E</w:t>
            </w:r>
            <w:r w:rsidRPr="006961F2">
              <w:rPr>
                <w:rFonts w:ascii="Arial" w:hAnsi="Arial" w:cs="Arial"/>
                <w:sz w:val="22"/>
                <w:szCs w:val="22"/>
              </w:rPr>
              <w:t xml:space="preserve">xplore possibilities for increasing opportunities for its postgraduate research students to teach within the Division.   </w:t>
            </w:r>
          </w:p>
        </w:tc>
        <w:tc>
          <w:tcPr>
            <w:tcW w:w="2694" w:type="dxa"/>
          </w:tcPr>
          <w:p w:rsidR="00745ECB" w:rsidRDefault="00745ECB" w:rsidP="008541C8">
            <w:pPr>
              <w:rPr>
                <w:rFonts w:ascii="Arial" w:hAnsi="Arial"/>
                <w:sz w:val="22"/>
              </w:rPr>
            </w:pPr>
            <w:r>
              <w:rPr>
                <w:rFonts w:ascii="Arial" w:hAnsi="Arial"/>
                <w:sz w:val="22"/>
              </w:rPr>
              <w:t>Infection and Immunity</w:t>
            </w:r>
          </w:p>
        </w:tc>
        <w:tc>
          <w:tcPr>
            <w:tcW w:w="1256" w:type="dxa"/>
          </w:tcPr>
          <w:p w:rsidR="00745ECB" w:rsidRDefault="00745ECB" w:rsidP="008541C8">
            <w:pPr>
              <w:rPr>
                <w:rFonts w:ascii="Arial" w:hAnsi="Arial"/>
                <w:sz w:val="22"/>
              </w:rPr>
            </w:pPr>
            <w:r>
              <w:rPr>
                <w:rFonts w:ascii="Arial" w:hAnsi="Arial"/>
                <w:sz w:val="22"/>
              </w:rPr>
              <w:t>Desirable</w:t>
            </w:r>
          </w:p>
        </w:tc>
      </w:tr>
      <w:tr w:rsidR="00745ECB" w:rsidTr="0098204A">
        <w:tc>
          <w:tcPr>
            <w:tcW w:w="10314" w:type="dxa"/>
          </w:tcPr>
          <w:p w:rsidR="00745ECB" w:rsidRDefault="00745ECB" w:rsidP="00C71DEC">
            <w:pPr>
              <w:rPr>
                <w:rFonts w:ascii="Arial" w:hAnsi="Arial" w:cs="Arial"/>
                <w:sz w:val="22"/>
                <w:szCs w:val="22"/>
              </w:rPr>
            </w:pPr>
            <w:r w:rsidRPr="006961F2">
              <w:rPr>
                <w:rFonts w:ascii="Arial" w:hAnsi="Arial" w:cs="Arial"/>
                <w:sz w:val="22"/>
                <w:szCs w:val="22"/>
              </w:rPr>
              <w:t>E</w:t>
            </w:r>
            <w:r w:rsidRPr="006961F2">
              <w:rPr>
                <w:rFonts w:ascii="Arial" w:hAnsi="Arial"/>
                <w:sz w:val="22"/>
              </w:rPr>
              <w:t xml:space="preserve">nsure that use of the </w:t>
            </w:r>
            <w:hyperlink r:id="rId23" w:history="1">
              <w:r w:rsidRPr="006961F2">
                <w:rPr>
                  <w:rStyle w:val="Hyperlink"/>
                  <w:rFonts w:ascii="Arial" w:hAnsi="Arial"/>
                  <w:sz w:val="22"/>
                  <w:szCs w:val="31"/>
                </w:rPr>
                <w:t>UCL Research Student Log</w:t>
              </w:r>
            </w:hyperlink>
            <w:r w:rsidRPr="006961F2">
              <w:rPr>
                <w:rFonts w:ascii="Arial" w:hAnsi="Arial"/>
                <w:sz w:val="22"/>
                <w:szCs w:val="31"/>
              </w:rPr>
              <w:t xml:space="preserve"> as a mandatory component of its research programmes is observed by all postgraduate research students and their supervisors. The team noted that there was sporadic completion of the Log amongst some of the students, who also expressed doubts to its usefulness. The team noted with concern that this had also been a recommendation in the previous IQR. The Department should, specifically: (i) ensure that students realise the importance of the Log, both as a record of their progress and in helping to meet milestones, (ii) review monitoring arrangements by the Graduate Tutor and supervisors, (iii) consider ways to promote a more positive attitude among students regarding its use and (iv) consult with the Faculty Graduate Tutor on best practice in other departments from which the Department can learn.</w:t>
            </w:r>
            <w:r w:rsidR="00F17C35">
              <w:rPr>
                <w:rFonts w:ascii="Arial" w:hAnsi="Arial"/>
                <w:sz w:val="22"/>
                <w:szCs w:val="31"/>
              </w:rPr>
              <w:t xml:space="preserve"> </w:t>
            </w:r>
          </w:p>
        </w:tc>
        <w:tc>
          <w:tcPr>
            <w:tcW w:w="2694" w:type="dxa"/>
          </w:tcPr>
          <w:p w:rsidR="00745ECB" w:rsidRDefault="00745ECB" w:rsidP="008541C8">
            <w:pPr>
              <w:rPr>
                <w:rFonts w:ascii="Arial" w:hAnsi="Arial"/>
                <w:sz w:val="22"/>
              </w:rPr>
            </w:pPr>
            <w:r>
              <w:rPr>
                <w:rFonts w:ascii="Arial" w:hAnsi="Arial"/>
                <w:sz w:val="22"/>
              </w:rPr>
              <w:t>Information Studies</w:t>
            </w:r>
          </w:p>
        </w:tc>
        <w:tc>
          <w:tcPr>
            <w:tcW w:w="1256" w:type="dxa"/>
          </w:tcPr>
          <w:p w:rsidR="00745ECB" w:rsidRDefault="00EB4A29" w:rsidP="00A42DF1">
            <w:pPr>
              <w:rPr>
                <w:rFonts w:ascii="Arial" w:hAnsi="Arial"/>
                <w:sz w:val="22"/>
              </w:rPr>
            </w:pPr>
            <w:r>
              <w:rPr>
                <w:rFonts w:ascii="Arial" w:hAnsi="Arial"/>
                <w:sz w:val="22"/>
              </w:rPr>
              <w:t>Necessary</w:t>
            </w:r>
          </w:p>
        </w:tc>
      </w:tr>
      <w:tr w:rsidR="00745ECB" w:rsidTr="0098204A">
        <w:tc>
          <w:tcPr>
            <w:tcW w:w="10314" w:type="dxa"/>
          </w:tcPr>
          <w:p w:rsidR="00745ECB" w:rsidRPr="006961F2" w:rsidRDefault="00745ECB" w:rsidP="006961F2">
            <w:pPr>
              <w:tabs>
                <w:tab w:val="left" w:pos="709"/>
              </w:tabs>
              <w:rPr>
                <w:rFonts w:ascii="Arial" w:hAnsi="Arial" w:cs="Arial"/>
                <w:sz w:val="22"/>
                <w:szCs w:val="22"/>
                <w:lang w:val="en-US"/>
              </w:rPr>
            </w:pPr>
            <w:r>
              <w:rPr>
                <w:rFonts w:ascii="Arial" w:hAnsi="Arial" w:cs="Arial"/>
                <w:sz w:val="22"/>
                <w:szCs w:val="22"/>
                <w:lang w:val="en-US"/>
              </w:rPr>
              <w:t>T</w:t>
            </w:r>
            <w:r w:rsidRPr="006961F2">
              <w:rPr>
                <w:rFonts w:ascii="Arial" w:hAnsi="Arial" w:cs="Arial"/>
                <w:sz w:val="22"/>
                <w:szCs w:val="22"/>
                <w:lang w:val="en-US"/>
              </w:rPr>
              <w:t>he School is advised to review and monitor the level of support and guidance provided to Postgraduate Teaching Assistants, particularly in the areas of careers planning and UCL contractual arrangements.</w:t>
            </w:r>
          </w:p>
        </w:tc>
        <w:tc>
          <w:tcPr>
            <w:tcW w:w="2694" w:type="dxa"/>
          </w:tcPr>
          <w:p w:rsidR="00745ECB" w:rsidRDefault="00B876FC" w:rsidP="008541C8">
            <w:pPr>
              <w:rPr>
                <w:rFonts w:ascii="Arial" w:hAnsi="Arial"/>
                <w:sz w:val="22"/>
              </w:rPr>
            </w:pPr>
            <w:r>
              <w:rPr>
                <w:rFonts w:ascii="Arial" w:hAnsi="Arial" w:cs="Arial"/>
                <w:sz w:val="22"/>
                <w:szCs w:val="22"/>
              </w:rPr>
              <w:t>SELCS</w:t>
            </w:r>
          </w:p>
        </w:tc>
        <w:tc>
          <w:tcPr>
            <w:tcW w:w="1256" w:type="dxa"/>
          </w:tcPr>
          <w:p w:rsidR="00745ECB" w:rsidRDefault="001610D6" w:rsidP="00A42DF1">
            <w:pPr>
              <w:rPr>
                <w:rFonts w:ascii="Arial" w:hAnsi="Arial"/>
                <w:sz w:val="22"/>
              </w:rPr>
            </w:pPr>
            <w:r>
              <w:rPr>
                <w:rFonts w:ascii="Arial" w:hAnsi="Arial"/>
                <w:sz w:val="22"/>
              </w:rPr>
              <w:t>Advisable</w:t>
            </w:r>
          </w:p>
        </w:tc>
      </w:tr>
    </w:tbl>
    <w:p w:rsidR="004F2E05" w:rsidRDefault="004F2E05" w:rsidP="00A42DF1">
      <w:pPr>
        <w:rPr>
          <w:rFonts w:ascii="Arial" w:hAnsi="Arial" w:cs="Arial"/>
          <w:sz w:val="22"/>
          <w:szCs w:val="22"/>
        </w:rPr>
      </w:pPr>
    </w:p>
    <w:p w:rsidR="00B876FC" w:rsidRDefault="00B876FC" w:rsidP="00A42DF1">
      <w:pPr>
        <w:rPr>
          <w:rFonts w:ascii="Arial" w:hAnsi="Arial" w:cs="Arial"/>
          <w:sz w:val="22"/>
          <w:szCs w:val="22"/>
        </w:rPr>
      </w:pPr>
      <w:r>
        <w:rPr>
          <w:rFonts w:ascii="Arial" w:hAnsi="Arial" w:cs="Arial"/>
          <w:sz w:val="22"/>
          <w:szCs w:val="22"/>
        </w:rPr>
        <w:t xml:space="preserve">SELCS = </w:t>
      </w:r>
      <w:r w:rsidRPr="00FF4939">
        <w:rPr>
          <w:rFonts w:ascii="Arial" w:hAnsi="Arial" w:cs="Arial"/>
          <w:sz w:val="22"/>
          <w:szCs w:val="22"/>
        </w:rPr>
        <w:t>School of European Languages, Culture and Society</w:t>
      </w:r>
      <w:r>
        <w:rPr>
          <w:rFonts w:ascii="Arial" w:hAnsi="Arial" w:cs="Arial"/>
          <w:sz w:val="22"/>
          <w:szCs w:val="22"/>
        </w:rPr>
        <w:t xml:space="preserve"> (Note two IQRs were held for UG and PG provision).</w:t>
      </w:r>
    </w:p>
    <w:p w:rsidR="00B876FC" w:rsidRPr="006B371C" w:rsidRDefault="00B876FC" w:rsidP="00A42DF1">
      <w:pPr>
        <w:rPr>
          <w:rFonts w:ascii="Arial" w:hAnsi="Arial" w:cs="Arial"/>
          <w:sz w:val="22"/>
          <w:szCs w:val="22"/>
        </w:rPr>
      </w:pPr>
    </w:p>
    <w:p w:rsidR="00047795" w:rsidRPr="00A46484" w:rsidRDefault="00A42DF1">
      <w:pPr>
        <w:rPr>
          <w:rFonts w:ascii="Arial" w:hAnsi="Arial"/>
          <w:sz w:val="22"/>
        </w:rPr>
      </w:pPr>
      <w:r>
        <w:rPr>
          <w:rFonts w:ascii="Arial" w:hAnsi="Arial"/>
          <w:sz w:val="22"/>
        </w:rPr>
        <w:t xml:space="preserve">For further information concerning the above recommendations please contact </w:t>
      </w:r>
      <w:smartTag w:uri="urn:schemas-microsoft-com:office:smarttags" w:element="PersonName">
        <w:r>
          <w:rPr>
            <w:rFonts w:ascii="Arial" w:hAnsi="Arial"/>
            <w:sz w:val="22"/>
          </w:rPr>
          <w:t>Sandra Hinton</w:t>
        </w:r>
      </w:smartTag>
      <w:r>
        <w:rPr>
          <w:rFonts w:ascii="Arial" w:hAnsi="Arial"/>
          <w:sz w:val="22"/>
        </w:rPr>
        <w:t xml:space="preserve">, </w:t>
      </w:r>
      <w:r w:rsidR="00AE67AD">
        <w:rPr>
          <w:rFonts w:ascii="Arial" w:hAnsi="Arial"/>
          <w:sz w:val="22"/>
        </w:rPr>
        <w:t>Academic Services</w:t>
      </w:r>
      <w:r>
        <w:rPr>
          <w:rFonts w:ascii="Arial" w:hAnsi="Arial"/>
          <w:sz w:val="22"/>
        </w:rPr>
        <w:t xml:space="preserve">, </w:t>
      </w:r>
      <w:proofErr w:type="gramStart"/>
      <w:r>
        <w:rPr>
          <w:rFonts w:ascii="Arial" w:hAnsi="Arial"/>
          <w:sz w:val="22"/>
        </w:rPr>
        <w:t>e</w:t>
      </w:r>
      <w:proofErr w:type="gramEnd"/>
      <w:r>
        <w:rPr>
          <w:rFonts w:ascii="Arial" w:hAnsi="Arial"/>
          <w:sz w:val="22"/>
        </w:rPr>
        <w:t xml:space="preserve">-mail: </w:t>
      </w:r>
      <w:hyperlink r:id="rId24" w:history="1">
        <w:r w:rsidRPr="008013B1">
          <w:rPr>
            <w:rStyle w:val="Hyperlink"/>
            <w:rFonts w:ascii="Arial" w:hAnsi="Arial" w:cs="Arial"/>
            <w:sz w:val="20"/>
          </w:rPr>
          <w:t>s.hinton@ucl.ac.uk</w:t>
        </w:r>
      </w:hyperlink>
      <w:r>
        <w:rPr>
          <w:rFonts w:ascii="Arial" w:hAnsi="Arial"/>
          <w:sz w:val="22"/>
        </w:rPr>
        <w:t>, telephone number: 020 7679 8590, internal extension: 28590.</w:t>
      </w:r>
    </w:p>
    <w:sectPr w:rsidR="00047795" w:rsidRPr="00A46484" w:rsidSect="00FF4939">
      <w:footerReference w:type="default" r:id="rId25"/>
      <w:footerReference w:type="first" r:id="rId26"/>
      <w:pgSz w:w="16834" w:h="11909" w:orient="landscape" w:code="9"/>
      <w:pgMar w:top="1191" w:right="1191" w:bottom="1440" w:left="1440" w:header="1440" w:footer="60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14" w:rsidRDefault="00123914">
      <w:r>
        <w:separator/>
      </w:r>
    </w:p>
  </w:endnote>
  <w:endnote w:type="continuationSeparator" w:id="0">
    <w:p w:rsidR="00123914" w:rsidRDefault="0012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82" w:rsidRDefault="00655282">
    <w:pPr>
      <w:pStyle w:val="Footer"/>
      <w:jc w:val="center"/>
    </w:pPr>
    <w:r>
      <w:rPr>
        <w:rStyle w:val="PageNumber"/>
      </w:rPr>
      <w:fldChar w:fldCharType="begin"/>
    </w:r>
    <w:r>
      <w:rPr>
        <w:rStyle w:val="PageNumber"/>
      </w:rPr>
      <w:instrText xml:space="preserve"> PAGE </w:instrText>
    </w:r>
    <w:r>
      <w:rPr>
        <w:rStyle w:val="PageNumber"/>
      </w:rPr>
      <w:fldChar w:fldCharType="separate"/>
    </w:r>
    <w:r w:rsidR="008529F9">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82" w:rsidRDefault="006552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14" w:rsidRDefault="00123914">
      <w:r>
        <w:separator/>
      </w:r>
    </w:p>
  </w:footnote>
  <w:footnote w:type="continuationSeparator" w:id="0">
    <w:p w:rsidR="00123914" w:rsidRDefault="00123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8AF"/>
    <w:multiLevelType w:val="hybridMultilevel"/>
    <w:tmpl w:val="BF8032A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E5048E1"/>
    <w:multiLevelType w:val="hybridMultilevel"/>
    <w:tmpl w:val="43CC34CE"/>
    <w:lvl w:ilvl="0" w:tplc="4B0690D0">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720"/>
        </w:tabs>
        <w:ind w:left="72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2085FE4"/>
    <w:multiLevelType w:val="hybridMultilevel"/>
    <w:tmpl w:val="0FFEE1A4"/>
    <w:lvl w:ilvl="0" w:tplc="4B0690D0">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720"/>
        </w:tabs>
        <w:ind w:left="720" w:hanging="360"/>
      </w:pPr>
      <w:rPr>
        <w:rFonts w:ascii="Wingdings" w:hAnsi="Wingdings" w:hint="default"/>
      </w:rPr>
    </w:lvl>
    <w:lvl w:ilvl="2" w:tplc="4B0690D0">
      <w:start w:val="1"/>
      <w:numFmt w:val="bullet"/>
      <w:lvlText w:val=""/>
      <w:lvlJc w:val="left"/>
      <w:pPr>
        <w:tabs>
          <w:tab w:val="num" w:pos="360"/>
        </w:tabs>
        <w:ind w:left="360" w:hanging="360"/>
      </w:pPr>
      <w:rPr>
        <w:rFonts w:ascii="Symbol" w:hAnsi="Symbol" w:hint="default"/>
      </w:rPr>
    </w:lvl>
    <w:lvl w:ilvl="3" w:tplc="08090005">
      <w:start w:val="1"/>
      <w:numFmt w:val="bullet"/>
      <w:lvlText w:val=""/>
      <w:lvlJc w:val="left"/>
      <w:pPr>
        <w:tabs>
          <w:tab w:val="num" w:pos="720"/>
        </w:tabs>
        <w:ind w:left="720" w:hanging="360"/>
      </w:pPr>
      <w:rPr>
        <w:rFonts w:ascii="Wingdings" w:hAnsi="Wingdings" w:hint="default"/>
      </w:rPr>
    </w:lvl>
    <w:lvl w:ilvl="4" w:tplc="4B0690D0">
      <w:start w:val="1"/>
      <w:numFmt w:val="bullet"/>
      <w:lvlText w:val=""/>
      <w:lvlJc w:val="left"/>
      <w:pPr>
        <w:tabs>
          <w:tab w:val="num" w:pos="360"/>
        </w:tabs>
        <w:ind w:left="360" w:hanging="360"/>
      </w:pPr>
      <w:rPr>
        <w:rFonts w:ascii="Symbol" w:hAnsi="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3E43592"/>
    <w:multiLevelType w:val="hybridMultilevel"/>
    <w:tmpl w:val="071E8718"/>
    <w:lvl w:ilvl="0" w:tplc="4B0690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57344"/>
    <w:multiLevelType w:val="hybridMultilevel"/>
    <w:tmpl w:val="7D92DD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E6D01"/>
    <w:multiLevelType w:val="hybridMultilevel"/>
    <w:tmpl w:val="AD004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6C6B3F"/>
    <w:multiLevelType w:val="hybridMultilevel"/>
    <w:tmpl w:val="59AEEA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C358E"/>
    <w:multiLevelType w:val="hybridMultilevel"/>
    <w:tmpl w:val="531E0358"/>
    <w:lvl w:ilvl="0" w:tplc="4B0690D0">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720"/>
        </w:tabs>
        <w:ind w:left="720" w:hanging="360"/>
      </w:pPr>
      <w:rPr>
        <w:rFonts w:ascii="Wingdings" w:hAnsi="Wingdings" w:hint="default"/>
      </w:rPr>
    </w:lvl>
    <w:lvl w:ilvl="2" w:tplc="4B0690D0">
      <w:start w:val="1"/>
      <w:numFmt w:val="bullet"/>
      <w:lvlText w:val=""/>
      <w:lvlJc w:val="left"/>
      <w:pPr>
        <w:tabs>
          <w:tab w:val="num" w:pos="360"/>
        </w:tabs>
        <w:ind w:left="360" w:hanging="360"/>
      </w:pPr>
      <w:rPr>
        <w:rFonts w:ascii="Symbol" w:hAnsi="Symbol" w:hint="default"/>
      </w:rPr>
    </w:lvl>
    <w:lvl w:ilvl="3" w:tplc="08090005">
      <w:start w:val="1"/>
      <w:numFmt w:val="bullet"/>
      <w:lvlText w:val=""/>
      <w:lvlJc w:val="left"/>
      <w:pPr>
        <w:tabs>
          <w:tab w:val="num" w:pos="720"/>
        </w:tabs>
        <w:ind w:left="720" w:hanging="360"/>
      </w:pPr>
      <w:rPr>
        <w:rFonts w:ascii="Wingdings" w:hAnsi="Wingdings" w:hint="default"/>
      </w:rPr>
    </w:lvl>
    <w:lvl w:ilvl="4" w:tplc="4B0690D0">
      <w:start w:val="1"/>
      <w:numFmt w:val="bullet"/>
      <w:lvlText w:val=""/>
      <w:lvlJc w:val="left"/>
      <w:pPr>
        <w:tabs>
          <w:tab w:val="num" w:pos="360"/>
        </w:tabs>
        <w:ind w:left="360" w:hanging="360"/>
      </w:pPr>
      <w:rPr>
        <w:rFonts w:ascii="Symbol" w:hAnsi="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D156F39"/>
    <w:multiLevelType w:val="hybridMultilevel"/>
    <w:tmpl w:val="DC88DA6A"/>
    <w:lvl w:ilvl="0" w:tplc="67905D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2C335A"/>
    <w:multiLevelType w:val="hybridMultilevel"/>
    <w:tmpl w:val="B676583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93"/>
        </w:tabs>
        <w:ind w:left="393"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406086"/>
    <w:multiLevelType w:val="hybridMultilevel"/>
    <w:tmpl w:val="62F4C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980438"/>
    <w:multiLevelType w:val="hybridMultilevel"/>
    <w:tmpl w:val="36D03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72F30"/>
    <w:multiLevelType w:val="hybridMultilevel"/>
    <w:tmpl w:val="01346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F40BC9"/>
    <w:multiLevelType w:val="hybridMultilevel"/>
    <w:tmpl w:val="6FCE8986"/>
    <w:lvl w:ilvl="0" w:tplc="BC3CEC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448F61E7"/>
    <w:multiLevelType w:val="hybridMultilevel"/>
    <w:tmpl w:val="4242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762ECA"/>
    <w:multiLevelType w:val="hybridMultilevel"/>
    <w:tmpl w:val="0D8AAE58"/>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595D00"/>
    <w:multiLevelType w:val="hybridMultilevel"/>
    <w:tmpl w:val="F8542F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9204A7"/>
    <w:multiLevelType w:val="hybridMultilevel"/>
    <w:tmpl w:val="58B23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987CE9"/>
    <w:multiLevelType w:val="hybridMultilevel"/>
    <w:tmpl w:val="7A30F4B8"/>
    <w:lvl w:ilvl="0" w:tplc="4B0690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C24F0A"/>
    <w:multiLevelType w:val="hybridMultilevel"/>
    <w:tmpl w:val="E7BEF1F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0">
    <w:nsid w:val="65A4158C"/>
    <w:multiLevelType w:val="hybridMultilevel"/>
    <w:tmpl w:val="E2F21692"/>
    <w:lvl w:ilvl="0" w:tplc="08090005">
      <w:start w:val="1"/>
      <w:numFmt w:val="bullet"/>
      <w:lvlText w:val=""/>
      <w:lvlJc w:val="left"/>
      <w:pPr>
        <w:tabs>
          <w:tab w:val="num" w:pos="782"/>
        </w:tabs>
        <w:ind w:left="782" w:hanging="360"/>
      </w:pPr>
      <w:rPr>
        <w:rFonts w:ascii="Wingdings" w:hAnsi="Wingdings" w:hint="default"/>
      </w:rPr>
    </w:lvl>
    <w:lvl w:ilvl="1" w:tplc="4B0690D0">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2222"/>
        </w:tabs>
        <w:ind w:left="2222" w:hanging="360"/>
      </w:pPr>
      <w:rPr>
        <w:rFonts w:ascii="Symbol" w:hAnsi="Symbol"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cs="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cs="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21">
    <w:nsid w:val="6C012DA7"/>
    <w:multiLevelType w:val="hybridMultilevel"/>
    <w:tmpl w:val="AD96CEF0"/>
    <w:lvl w:ilvl="0" w:tplc="4B0690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3622E6"/>
    <w:multiLevelType w:val="hybridMultilevel"/>
    <w:tmpl w:val="1D269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4627B6"/>
    <w:multiLevelType w:val="hybridMultilevel"/>
    <w:tmpl w:val="226CCE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7D44222"/>
    <w:multiLevelType w:val="hybridMultilevel"/>
    <w:tmpl w:val="D0E443B4"/>
    <w:lvl w:ilvl="0" w:tplc="4B0690D0">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720"/>
        </w:tabs>
        <w:ind w:left="720" w:hanging="360"/>
      </w:pPr>
      <w:rPr>
        <w:rFonts w:ascii="Wingdings" w:hAnsi="Wingdings" w:hint="default"/>
      </w:rPr>
    </w:lvl>
    <w:lvl w:ilvl="2" w:tplc="4B0690D0">
      <w:start w:val="1"/>
      <w:numFmt w:val="bullet"/>
      <w:lvlText w:val=""/>
      <w:lvlJc w:val="left"/>
      <w:pPr>
        <w:tabs>
          <w:tab w:val="num" w:pos="360"/>
        </w:tabs>
        <w:ind w:left="360" w:hanging="360"/>
      </w:pPr>
      <w:rPr>
        <w:rFonts w:ascii="Symbol" w:hAnsi="Symbol" w:hint="default"/>
      </w:rPr>
    </w:lvl>
    <w:lvl w:ilvl="3" w:tplc="08090005">
      <w:start w:val="1"/>
      <w:numFmt w:val="bullet"/>
      <w:lvlText w:val=""/>
      <w:lvlJc w:val="left"/>
      <w:pPr>
        <w:tabs>
          <w:tab w:val="num" w:pos="720"/>
        </w:tabs>
        <w:ind w:left="720" w:hanging="360"/>
      </w:pPr>
      <w:rPr>
        <w:rFonts w:ascii="Wingdings" w:hAnsi="Wingdings"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9243564"/>
    <w:multiLevelType w:val="hybridMultilevel"/>
    <w:tmpl w:val="E882683E"/>
    <w:lvl w:ilvl="0" w:tplc="4B0690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1"/>
  </w:num>
  <w:num w:numId="4">
    <w:abstractNumId w:val="24"/>
  </w:num>
  <w:num w:numId="5">
    <w:abstractNumId w:val="7"/>
  </w:num>
  <w:num w:numId="6">
    <w:abstractNumId w:val="20"/>
  </w:num>
  <w:num w:numId="7">
    <w:abstractNumId w:val="15"/>
  </w:num>
  <w:num w:numId="8">
    <w:abstractNumId w:val="9"/>
  </w:num>
  <w:num w:numId="9">
    <w:abstractNumId w:val="23"/>
  </w:num>
  <w:num w:numId="10">
    <w:abstractNumId w:val="11"/>
  </w:num>
  <w:num w:numId="11">
    <w:abstractNumId w:val="17"/>
  </w:num>
  <w:num w:numId="12">
    <w:abstractNumId w:val="14"/>
  </w:num>
  <w:num w:numId="13">
    <w:abstractNumId w:val="0"/>
  </w:num>
  <w:num w:numId="14">
    <w:abstractNumId w:val="12"/>
  </w:num>
  <w:num w:numId="15">
    <w:abstractNumId w:val="6"/>
  </w:num>
  <w:num w:numId="16">
    <w:abstractNumId w:val="10"/>
  </w:num>
  <w:num w:numId="17">
    <w:abstractNumId w:val="5"/>
  </w:num>
  <w:num w:numId="18">
    <w:abstractNumId w:val="8"/>
  </w:num>
  <w:num w:numId="19">
    <w:abstractNumId w:val="4"/>
  </w:num>
  <w:num w:numId="20">
    <w:abstractNumId w:val="22"/>
  </w:num>
  <w:num w:numId="21">
    <w:abstractNumId w:val="25"/>
  </w:num>
  <w:num w:numId="22">
    <w:abstractNumId w:val="13"/>
  </w:num>
  <w:num w:numId="23">
    <w:abstractNumId w:val="3"/>
  </w:num>
  <w:num w:numId="24">
    <w:abstractNumId w:val="18"/>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F1"/>
    <w:rsid w:val="0000147D"/>
    <w:rsid w:val="0002426E"/>
    <w:rsid w:val="00025DA5"/>
    <w:rsid w:val="0003104D"/>
    <w:rsid w:val="000355F5"/>
    <w:rsid w:val="00042FB2"/>
    <w:rsid w:val="0004758F"/>
    <w:rsid w:val="00047795"/>
    <w:rsid w:val="00047F7D"/>
    <w:rsid w:val="00070BA2"/>
    <w:rsid w:val="00074FDE"/>
    <w:rsid w:val="00080549"/>
    <w:rsid w:val="00090A62"/>
    <w:rsid w:val="000A2083"/>
    <w:rsid w:val="000A4F59"/>
    <w:rsid w:val="000A6546"/>
    <w:rsid w:val="000B5147"/>
    <w:rsid w:val="000D5D03"/>
    <w:rsid w:val="000D6BFA"/>
    <w:rsid w:val="000E341B"/>
    <w:rsid w:val="000F020C"/>
    <w:rsid w:val="001011CD"/>
    <w:rsid w:val="00122472"/>
    <w:rsid w:val="00123914"/>
    <w:rsid w:val="001610D6"/>
    <w:rsid w:val="001642A5"/>
    <w:rsid w:val="00165262"/>
    <w:rsid w:val="00174D32"/>
    <w:rsid w:val="00176DB9"/>
    <w:rsid w:val="00190BC3"/>
    <w:rsid w:val="00190BE7"/>
    <w:rsid w:val="0019260F"/>
    <w:rsid w:val="0019482E"/>
    <w:rsid w:val="001B36C5"/>
    <w:rsid w:val="001D3111"/>
    <w:rsid w:val="001D4615"/>
    <w:rsid w:val="001D58F6"/>
    <w:rsid w:val="001D7157"/>
    <w:rsid w:val="002148F0"/>
    <w:rsid w:val="00226277"/>
    <w:rsid w:val="00243EF8"/>
    <w:rsid w:val="002528C9"/>
    <w:rsid w:val="0029186A"/>
    <w:rsid w:val="00292EC5"/>
    <w:rsid w:val="002C0F33"/>
    <w:rsid w:val="002D0CC8"/>
    <w:rsid w:val="002E0631"/>
    <w:rsid w:val="00327C56"/>
    <w:rsid w:val="00355F2D"/>
    <w:rsid w:val="003606A0"/>
    <w:rsid w:val="0036183C"/>
    <w:rsid w:val="00363B50"/>
    <w:rsid w:val="00374019"/>
    <w:rsid w:val="003A04DD"/>
    <w:rsid w:val="003A7859"/>
    <w:rsid w:val="003B1AF3"/>
    <w:rsid w:val="003B5D0D"/>
    <w:rsid w:val="003C136A"/>
    <w:rsid w:val="003C1AF4"/>
    <w:rsid w:val="003C1F55"/>
    <w:rsid w:val="003D281E"/>
    <w:rsid w:val="003D36AF"/>
    <w:rsid w:val="003E19D3"/>
    <w:rsid w:val="003F34EF"/>
    <w:rsid w:val="0040679C"/>
    <w:rsid w:val="00407733"/>
    <w:rsid w:val="00417D63"/>
    <w:rsid w:val="00450B1C"/>
    <w:rsid w:val="00457F5A"/>
    <w:rsid w:val="004660CE"/>
    <w:rsid w:val="00483315"/>
    <w:rsid w:val="00483771"/>
    <w:rsid w:val="004957CC"/>
    <w:rsid w:val="004A7A37"/>
    <w:rsid w:val="004B2CA3"/>
    <w:rsid w:val="004F2E05"/>
    <w:rsid w:val="0050207D"/>
    <w:rsid w:val="005042DF"/>
    <w:rsid w:val="005116B7"/>
    <w:rsid w:val="00516873"/>
    <w:rsid w:val="00534BA1"/>
    <w:rsid w:val="00557A7F"/>
    <w:rsid w:val="00564A59"/>
    <w:rsid w:val="0056573B"/>
    <w:rsid w:val="00582A95"/>
    <w:rsid w:val="005B2152"/>
    <w:rsid w:val="005B2EBE"/>
    <w:rsid w:val="005C22DF"/>
    <w:rsid w:val="005D2C19"/>
    <w:rsid w:val="005E09AE"/>
    <w:rsid w:val="005E3535"/>
    <w:rsid w:val="005F2E49"/>
    <w:rsid w:val="005F5F78"/>
    <w:rsid w:val="00622A54"/>
    <w:rsid w:val="00631830"/>
    <w:rsid w:val="00633819"/>
    <w:rsid w:val="0065260C"/>
    <w:rsid w:val="00655282"/>
    <w:rsid w:val="006559CD"/>
    <w:rsid w:val="0065656D"/>
    <w:rsid w:val="00684520"/>
    <w:rsid w:val="00694CAA"/>
    <w:rsid w:val="006961F2"/>
    <w:rsid w:val="006A0EA8"/>
    <w:rsid w:val="006A7604"/>
    <w:rsid w:val="006B371C"/>
    <w:rsid w:val="006F6AC4"/>
    <w:rsid w:val="006F7569"/>
    <w:rsid w:val="007104BE"/>
    <w:rsid w:val="00736257"/>
    <w:rsid w:val="00742D15"/>
    <w:rsid w:val="00745ECB"/>
    <w:rsid w:val="0075534A"/>
    <w:rsid w:val="00762D67"/>
    <w:rsid w:val="00767656"/>
    <w:rsid w:val="00776F20"/>
    <w:rsid w:val="0079432E"/>
    <w:rsid w:val="007B2691"/>
    <w:rsid w:val="007B36AC"/>
    <w:rsid w:val="007C3FF3"/>
    <w:rsid w:val="007D0C4C"/>
    <w:rsid w:val="007D0D08"/>
    <w:rsid w:val="00806A33"/>
    <w:rsid w:val="0081021A"/>
    <w:rsid w:val="00811C57"/>
    <w:rsid w:val="00813032"/>
    <w:rsid w:val="0081352C"/>
    <w:rsid w:val="008144C8"/>
    <w:rsid w:val="0082193D"/>
    <w:rsid w:val="00824654"/>
    <w:rsid w:val="00847AF8"/>
    <w:rsid w:val="008529F9"/>
    <w:rsid w:val="00854E83"/>
    <w:rsid w:val="008631F1"/>
    <w:rsid w:val="00867D10"/>
    <w:rsid w:val="00874BE8"/>
    <w:rsid w:val="00885962"/>
    <w:rsid w:val="0089517B"/>
    <w:rsid w:val="008A15E8"/>
    <w:rsid w:val="008A2876"/>
    <w:rsid w:val="008A2A07"/>
    <w:rsid w:val="008A6A23"/>
    <w:rsid w:val="008A71AC"/>
    <w:rsid w:val="008B118D"/>
    <w:rsid w:val="008B26BC"/>
    <w:rsid w:val="008B6085"/>
    <w:rsid w:val="008C0785"/>
    <w:rsid w:val="008C5C75"/>
    <w:rsid w:val="008C6871"/>
    <w:rsid w:val="008D68B3"/>
    <w:rsid w:val="008E21B6"/>
    <w:rsid w:val="008F0AF9"/>
    <w:rsid w:val="008F1A03"/>
    <w:rsid w:val="0090501D"/>
    <w:rsid w:val="00923986"/>
    <w:rsid w:val="0093734A"/>
    <w:rsid w:val="009469D4"/>
    <w:rsid w:val="009638F2"/>
    <w:rsid w:val="009665EC"/>
    <w:rsid w:val="00970A04"/>
    <w:rsid w:val="0097584F"/>
    <w:rsid w:val="0098204A"/>
    <w:rsid w:val="00990285"/>
    <w:rsid w:val="0099327E"/>
    <w:rsid w:val="00994DED"/>
    <w:rsid w:val="009971C0"/>
    <w:rsid w:val="009A58B1"/>
    <w:rsid w:val="009A7BCA"/>
    <w:rsid w:val="009B1304"/>
    <w:rsid w:val="009D3EBB"/>
    <w:rsid w:val="009E32BD"/>
    <w:rsid w:val="009F1B52"/>
    <w:rsid w:val="009F6CC1"/>
    <w:rsid w:val="00A025FA"/>
    <w:rsid w:val="00A228F2"/>
    <w:rsid w:val="00A25400"/>
    <w:rsid w:val="00A275A2"/>
    <w:rsid w:val="00A27734"/>
    <w:rsid w:val="00A32498"/>
    <w:rsid w:val="00A4241D"/>
    <w:rsid w:val="00A42DF1"/>
    <w:rsid w:val="00A46484"/>
    <w:rsid w:val="00A55E79"/>
    <w:rsid w:val="00A60528"/>
    <w:rsid w:val="00A65E08"/>
    <w:rsid w:val="00A75369"/>
    <w:rsid w:val="00A76700"/>
    <w:rsid w:val="00A80771"/>
    <w:rsid w:val="00A80CFD"/>
    <w:rsid w:val="00A83986"/>
    <w:rsid w:val="00A85927"/>
    <w:rsid w:val="00AA6433"/>
    <w:rsid w:val="00AA6A0C"/>
    <w:rsid w:val="00AB3F0A"/>
    <w:rsid w:val="00AB5693"/>
    <w:rsid w:val="00AC1FA7"/>
    <w:rsid w:val="00AC3A2F"/>
    <w:rsid w:val="00AC3D8A"/>
    <w:rsid w:val="00AE67AD"/>
    <w:rsid w:val="00AF3BB7"/>
    <w:rsid w:val="00AF7948"/>
    <w:rsid w:val="00B31D01"/>
    <w:rsid w:val="00B4489D"/>
    <w:rsid w:val="00B44E56"/>
    <w:rsid w:val="00B51D16"/>
    <w:rsid w:val="00B6043B"/>
    <w:rsid w:val="00B63813"/>
    <w:rsid w:val="00B716D6"/>
    <w:rsid w:val="00B732E5"/>
    <w:rsid w:val="00B747B4"/>
    <w:rsid w:val="00B8154A"/>
    <w:rsid w:val="00B84412"/>
    <w:rsid w:val="00B873EF"/>
    <w:rsid w:val="00B876FC"/>
    <w:rsid w:val="00B95410"/>
    <w:rsid w:val="00BA34B8"/>
    <w:rsid w:val="00BA37DF"/>
    <w:rsid w:val="00BA7CDC"/>
    <w:rsid w:val="00BB59FE"/>
    <w:rsid w:val="00BB5A8F"/>
    <w:rsid w:val="00BC4881"/>
    <w:rsid w:val="00BD25E6"/>
    <w:rsid w:val="00BD4DD8"/>
    <w:rsid w:val="00BD70E3"/>
    <w:rsid w:val="00BE60F0"/>
    <w:rsid w:val="00C00C10"/>
    <w:rsid w:val="00C11EB0"/>
    <w:rsid w:val="00C15C97"/>
    <w:rsid w:val="00C71DEC"/>
    <w:rsid w:val="00C8661A"/>
    <w:rsid w:val="00C9320D"/>
    <w:rsid w:val="00C93F64"/>
    <w:rsid w:val="00CA07C2"/>
    <w:rsid w:val="00CC1F5C"/>
    <w:rsid w:val="00CC3364"/>
    <w:rsid w:val="00CD0DF3"/>
    <w:rsid w:val="00CD6B7B"/>
    <w:rsid w:val="00CE3E03"/>
    <w:rsid w:val="00D07036"/>
    <w:rsid w:val="00D21735"/>
    <w:rsid w:val="00D47D6A"/>
    <w:rsid w:val="00D60BC7"/>
    <w:rsid w:val="00D66D97"/>
    <w:rsid w:val="00D8149A"/>
    <w:rsid w:val="00D873AA"/>
    <w:rsid w:val="00D95C45"/>
    <w:rsid w:val="00DA6278"/>
    <w:rsid w:val="00DB3FC9"/>
    <w:rsid w:val="00DB67B9"/>
    <w:rsid w:val="00DE02DE"/>
    <w:rsid w:val="00DE12B5"/>
    <w:rsid w:val="00DE53EF"/>
    <w:rsid w:val="00DE767E"/>
    <w:rsid w:val="00DF0D61"/>
    <w:rsid w:val="00DF275F"/>
    <w:rsid w:val="00DF2E4B"/>
    <w:rsid w:val="00DF6C1E"/>
    <w:rsid w:val="00E012FD"/>
    <w:rsid w:val="00E03854"/>
    <w:rsid w:val="00E06A07"/>
    <w:rsid w:val="00E108FD"/>
    <w:rsid w:val="00E202E7"/>
    <w:rsid w:val="00E2112D"/>
    <w:rsid w:val="00E317A1"/>
    <w:rsid w:val="00E451A1"/>
    <w:rsid w:val="00E4522C"/>
    <w:rsid w:val="00E6768F"/>
    <w:rsid w:val="00E71EB9"/>
    <w:rsid w:val="00E87715"/>
    <w:rsid w:val="00EB222F"/>
    <w:rsid w:val="00EB4A29"/>
    <w:rsid w:val="00EE37FC"/>
    <w:rsid w:val="00F17C35"/>
    <w:rsid w:val="00F2411D"/>
    <w:rsid w:val="00F34C41"/>
    <w:rsid w:val="00F451A6"/>
    <w:rsid w:val="00F519AD"/>
    <w:rsid w:val="00F52D42"/>
    <w:rsid w:val="00F62A9F"/>
    <w:rsid w:val="00F674F3"/>
    <w:rsid w:val="00F75B7A"/>
    <w:rsid w:val="00F82185"/>
    <w:rsid w:val="00F90123"/>
    <w:rsid w:val="00F96008"/>
    <w:rsid w:val="00FA3B74"/>
    <w:rsid w:val="00FB2A9F"/>
    <w:rsid w:val="00FB5D1D"/>
    <w:rsid w:val="00FE7BEC"/>
    <w:rsid w:val="00FF4939"/>
    <w:rsid w:val="00FF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DF1"/>
    <w:rPr>
      <w:sz w:val="24"/>
    </w:rPr>
  </w:style>
  <w:style w:type="paragraph" w:styleId="Heading1">
    <w:name w:val="heading 1"/>
    <w:basedOn w:val="Normal"/>
    <w:next w:val="Normal"/>
    <w:qFormat/>
    <w:rsid w:val="00A42DF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42DF1"/>
    <w:pPr>
      <w:keepNext/>
      <w:ind w:left="72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2DF1"/>
    <w:pPr>
      <w:tabs>
        <w:tab w:val="center" w:pos="4320"/>
        <w:tab w:val="right" w:pos="8640"/>
      </w:tabs>
    </w:pPr>
    <w:rPr>
      <w:rFonts w:ascii="Arial" w:hAnsi="Arial"/>
      <w:sz w:val="22"/>
    </w:rPr>
  </w:style>
  <w:style w:type="character" w:styleId="PageNumber">
    <w:name w:val="page number"/>
    <w:basedOn w:val="DefaultParagraphFont"/>
    <w:rsid w:val="00A42DF1"/>
  </w:style>
  <w:style w:type="character" w:styleId="Hyperlink">
    <w:name w:val="Hyperlink"/>
    <w:basedOn w:val="DefaultParagraphFont"/>
    <w:rsid w:val="00A42DF1"/>
    <w:rPr>
      <w:color w:val="0000FF"/>
      <w:u w:val="single"/>
    </w:rPr>
  </w:style>
  <w:style w:type="paragraph" w:styleId="BalloonText">
    <w:name w:val="Balloon Text"/>
    <w:basedOn w:val="Normal"/>
    <w:semiHidden/>
    <w:rsid w:val="00631830"/>
    <w:rPr>
      <w:rFonts w:ascii="Tahoma" w:hAnsi="Tahoma" w:cs="Tahoma"/>
      <w:sz w:val="16"/>
      <w:szCs w:val="16"/>
    </w:rPr>
  </w:style>
  <w:style w:type="character" w:styleId="Strong">
    <w:name w:val="Strong"/>
    <w:basedOn w:val="DefaultParagraphFont"/>
    <w:qFormat/>
    <w:rsid w:val="00854E83"/>
    <w:rPr>
      <w:b/>
      <w:bCs/>
    </w:rPr>
  </w:style>
  <w:style w:type="paragraph" w:customStyle="1" w:styleId="Default">
    <w:name w:val="Default"/>
    <w:rsid w:val="00E108FD"/>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rsid w:val="00190BC3"/>
    <w:rPr>
      <w:sz w:val="16"/>
      <w:szCs w:val="16"/>
    </w:rPr>
  </w:style>
  <w:style w:type="paragraph" w:styleId="NormalWeb">
    <w:name w:val="Normal (Web)"/>
    <w:basedOn w:val="Normal"/>
    <w:rsid w:val="003B1AF3"/>
    <w:pPr>
      <w:spacing w:before="100" w:beforeAutospacing="1" w:after="100" w:afterAutospacing="1"/>
    </w:pPr>
    <w:rPr>
      <w:szCs w:val="24"/>
      <w:lang w:val="en-US" w:eastAsia="en-US"/>
    </w:rPr>
  </w:style>
  <w:style w:type="character" w:styleId="FootnoteReference">
    <w:name w:val="footnote reference"/>
    <w:basedOn w:val="DefaultParagraphFont"/>
    <w:semiHidden/>
    <w:rsid w:val="001D4615"/>
    <w:rPr>
      <w:vertAlign w:val="superscript"/>
    </w:rPr>
  </w:style>
  <w:style w:type="paragraph" w:styleId="PlainText">
    <w:name w:val="Plain Text"/>
    <w:basedOn w:val="Normal"/>
    <w:link w:val="PlainTextChar"/>
    <w:unhideWhenUsed/>
    <w:rsid w:val="003D281E"/>
    <w:rPr>
      <w:rFonts w:ascii="Calibri" w:eastAsia="Calibri" w:hAnsi="Calibri" w:cs="Calibri"/>
      <w:sz w:val="22"/>
      <w:szCs w:val="22"/>
      <w:lang w:eastAsia="en-US"/>
    </w:rPr>
  </w:style>
  <w:style w:type="character" w:customStyle="1" w:styleId="PlainTextChar">
    <w:name w:val="Plain Text Char"/>
    <w:basedOn w:val="DefaultParagraphFont"/>
    <w:link w:val="PlainText"/>
    <w:rsid w:val="003D281E"/>
    <w:rPr>
      <w:rFonts w:ascii="Calibri" w:eastAsia="Calibri" w:hAnsi="Calibri" w:cs="Calibri"/>
      <w:sz w:val="22"/>
      <w:szCs w:val="22"/>
      <w:lang w:eastAsia="en-US"/>
    </w:rPr>
  </w:style>
  <w:style w:type="paragraph" w:styleId="FootnoteText">
    <w:name w:val="footnote text"/>
    <w:basedOn w:val="Normal"/>
    <w:link w:val="FootnoteTextChar"/>
    <w:rsid w:val="003D281E"/>
    <w:pPr>
      <w:autoSpaceDE w:val="0"/>
      <w:autoSpaceDN w:val="0"/>
    </w:pPr>
    <w:rPr>
      <w:sz w:val="20"/>
      <w:lang w:eastAsia="en-US"/>
    </w:rPr>
  </w:style>
  <w:style w:type="character" w:customStyle="1" w:styleId="FootnoteTextChar">
    <w:name w:val="Footnote Text Char"/>
    <w:basedOn w:val="DefaultParagraphFont"/>
    <w:link w:val="FootnoteText"/>
    <w:rsid w:val="003D281E"/>
    <w:rPr>
      <w:lang w:eastAsia="en-US"/>
    </w:rPr>
  </w:style>
  <w:style w:type="paragraph" w:styleId="ListParagraph">
    <w:name w:val="List Paragraph"/>
    <w:basedOn w:val="Normal"/>
    <w:uiPriority w:val="34"/>
    <w:qFormat/>
    <w:rsid w:val="003D281E"/>
    <w:pPr>
      <w:ind w:left="720"/>
      <w:contextualSpacing/>
    </w:pPr>
  </w:style>
  <w:style w:type="table" w:styleId="TableGrid">
    <w:name w:val="Table Grid"/>
    <w:basedOn w:val="TableNormal"/>
    <w:rsid w:val="00E06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17C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DF1"/>
    <w:rPr>
      <w:sz w:val="24"/>
    </w:rPr>
  </w:style>
  <w:style w:type="paragraph" w:styleId="Heading1">
    <w:name w:val="heading 1"/>
    <w:basedOn w:val="Normal"/>
    <w:next w:val="Normal"/>
    <w:qFormat/>
    <w:rsid w:val="00A42DF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42DF1"/>
    <w:pPr>
      <w:keepNext/>
      <w:ind w:left="72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2DF1"/>
    <w:pPr>
      <w:tabs>
        <w:tab w:val="center" w:pos="4320"/>
        <w:tab w:val="right" w:pos="8640"/>
      </w:tabs>
    </w:pPr>
    <w:rPr>
      <w:rFonts w:ascii="Arial" w:hAnsi="Arial"/>
      <w:sz w:val="22"/>
    </w:rPr>
  </w:style>
  <w:style w:type="character" w:styleId="PageNumber">
    <w:name w:val="page number"/>
    <w:basedOn w:val="DefaultParagraphFont"/>
    <w:rsid w:val="00A42DF1"/>
  </w:style>
  <w:style w:type="character" w:styleId="Hyperlink">
    <w:name w:val="Hyperlink"/>
    <w:basedOn w:val="DefaultParagraphFont"/>
    <w:rsid w:val="00A42DF1"/>
    <w:rPr>
      <w:color w:val="0000FF"/>
      <w:u w:val="single"/>
    </w:rPr>
  </w:style>
  <w:style w:type="paragraph" w:styleId="BalloonText">
    <w:name w:val="Balloon Text"/>
    <w:basedOn w:val="Normal"/>
    <w:semiHidden/>
    <w:rsid w:val="00631830"/>
    <w:rPr>
      <w:rFonts w:ascii="Tahoma" w:hAnsi="Tahoma" w:cs="Tahoma"/>
      <w:sz w:val="16"/>
      <w:szCs w:val="16"/>
    </w:rPr>
  </w:style>
  <w:style w:type="character" w:styleId="Strong">
    <w:name w:val="Strong"/>
    <w:basedOn w:val="DefaultParagraphFont"/>
    <w:qFormat/>
    <w:rsid w:val="00854E83"/>
    <w:rPr>
      <w:b/>
      <w:bCs/>
    </w:rPr>
  </w:style>
  <w:style w:type="paragraph" w:customStyle="1" w:styleId="Default">
    <w:name w:val="Default"/>
    <w:rsid w:val="00E108FD"/>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rsid w:val="00190BC3"/>
    <w:rPr>
      <w:sz w:val="16"/>
      <w:szCs w:val="16"/>
    </w:rPr>
  </w:style>
  <w:style w:type="paragraph" w:styleId="NormalWeb">
    <w:name w:val="Normal (Web)"/>
    <w:basedOn w:val="Normal"/>
    <w:rsid w:val="003B1AF3"/>
    <w:pPr>
      <w:spacing w:before="100" w:beforeAutospacing="1" w:after="100" w:afterAutospacing="1"/>
    </w:pPr>
    <w:rPr>
      <w:szCs w:val="24"/>
      <w:lang w:val="en-US" w:eastAsia="en-US"/>
    </w:rPr>
  </w:style>
  <w:style w:type="character" w:styleId="FootnoteReference">
    <w:name w:val="footnote reference"/>
    <w:basedOn w:val="DefaultParagraphFont"/>
    <w:semiHidden/>
    <w:rsid w:val="001D4615"/>
    <w:rPr>
      <w:vertAlign w:val="superscript"/>
    </w:rPr>
  </w:style>
  <w:style w:type="paragraph" w:styleId="PlainText">
    <w:name w:val="Plain Text"/>
    <w:basedOn w:val="Normal"/>
    <w:link w:val="PlainTextChar"/>
    <w:unhideWhenUsed/>
    <w:rsid w:val="003D281E"/>
    <w:rPr>
      <w:rFonts w:ascii="Calibri" w:eastAsia="Calibri" w:hAnsi="Calibri" w:cs="Calibri"/>
      <w:sz w:val="22"/>
      <w:szCs w:val="22"/>
      <w:lang w:eastAsia="en-US"/>
    </w:rPr>
  </w:style>
  <w:style w:type="character" w:customStyle="1" w:styleId="PlainTextChar">
    <w:name w:val="Plain Text Char"/>
    <w:basedOn w:val="DefaultParagraphFont"/>
    <w:link w:val="PlainText"/>
    <w:rsid w:val="003D281E"/>
    <w:rPr>
      <w:rFonts w:ascii="Calibri" w:eastAsia="Calibri" w:hAnsi="Calibri" w:cs="Calibri"/>
      <w:sz w:val="22"/>
      <w:szCs w:val="22"/>
      <w:lang w:eastAsia="en-US"/>
    </w:rPr>
  </w:style>
  <w:style w:type="paragraph" w:styleId="FootnoteText">
    <w:name w:val="footnote text"/>
    <w:basedOn w:val="Normal"/>
    <w:link w:val="FootnoteTextChar"/>
    <w:rsid w:val="003D281E"/>
    <w:pPr>
      <w:autoSpaceDE w:val="0"/>
      <w:autoSpaceDN w:val="0"/>
    </w:pPr>
    <w:rPr>
      <w:sz w:val="20"/>
      <w:lang w:eastAsia="en-US"/>
    </w:rPr>
  </w:style>
  <w:style w:type="character" w:customStyle="1" w:styleId="FootnoteTextChar">
    <w:name w:val="Footnote Text Char"/>
    <w:basedOn w:val="DefaultParagraphFont"/>
    <w:link w:val="FootnoteText"/>
    <w:rsid w:val="003D281E"/>
    <w:rPr>
      <w:lang w:eastAsia="en-US"/>
    </w:rPr>
  </w:style>
  <w:style w:type="paragraph" w:styleId="ListParagraph">
    <w:name w:val="List Paragraph"/>
    <w:basedOn w:val="Normal"/>
    <w:uiPriority w:val="34"/>
    <w:qFormat/>
    <w:rsid w:val="003D281E"/>
    <w:pPr>
      <w:ind w:left="720"/>
      <w:contextualSpacing/>
    </w:pPr>
  </w:style>
  <w:style w:type="table" w:styleId="TableGrid">
    <w:name w:val="Table Grid"/>
    <w:basedOn w:val="TableNormal"/>
    <w:rsid w:val="00E06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17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8858">
      <w:bodyDiv w:val="1"/>
      <w:marLeft w:val="0"/>
      <w:marRight w:val="0"/>
      <w:marTop w:val="0"/>
      <w:marBottom w:val="0"/>
      <w:divBdr>
        <w:top w:val="none" w:sz="0" w:space="0" w:color="auto"/>
        <w:left w:val="none" w:sz="0" w:space="0" w:color="auto"/>
        <w:bottom w:val="none" w:sz="0" w:space="0" w:color="auto"/>
        <w:right w:val="none" w:sz="0" w:space="0" w:color="auto"/>
      </w:divBdr>
    </w:div>
    <w:div w:id="13396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l.ac.uk/academic-manual/part-5/departmental-tutors" TargetMode="External"/><Relationship Id="rId18" Type="http://schemas.openxmlformats.org/officeDocument/2006/relationships/hyperlink" Target="http://www.ucl.ac.uk/academic-manual/part-7/annual-monitor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grad.ucl.ac.uk/resources/UpgradeGuidelines_Jun2013.pdf" TargetMode="External"/><Relationship Id="rId7" Type="http://schemas.openxmlformats.org/officeDocument/2006/relationships/footnotes" Target="footnotes.xml"/><Relationship Id="rId12" Type="http://schemas.openxmlformats.org/officeDocument/2006/relationships/hyperlink" Target="http://www.ucl.ac.uk/academic-manual/part-5" TargetMode="External"/><Relationship Id="rId17" Type="http://schemas.openxmlformats.org/officeDocument/2006/relationships/hyperlink" Target="http://www.ucl.ac.uk/academic-manual/part-7/annual-monitor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cl.ac.uk/hr/equalities/disability/index.php" TargetMode="External"/><Relationship Id="rId20" Type="http://schemas.openxmlformats.org/officeDocument/2006/relationships/hyperlink" Target="http://uclu.org/representation/student-academic-representatives-st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l.ac.uk/academic-manual/part-3/feedback-to-students-on-assessed-work" TargetMode="External"/><Relationship Id="rId24" Type="http://schemas.openxmlformats.org/officeDocument/2006/relationships/hyperlink" Target="mailto:s.hinton@ucl.ac.uk" TargetMode="External"/><Relationship Id="rId5" Type="http://schemas.openxmlformats.org/officeDocument/2006/relationships/settings" Target="settings.xml"/><Relationship Id="rId15" Type="http://schemas.openxmlformats.org/officeDocument/2006/relationships/hyperlink" Target="http://www.ucl.ac.uk/academic-manual/part-5/careers-service" TargetMode="External"/><Relationship Id="rId23" Type="http://schemas.openxmlformats.org/officeDocument/2006/relationships/hyperlink" Target="http://www.grad.ucl.ac.uk/codes/CoP_Research_1314.pdf" TargetMode="External"/><Relationship Id="rId28" Type="http://schemas.openxmlformats.org/officeDocument/2006/relationships/theme" Target="theme/theme1.xml"/><Relationship Id="rId10" Type="http://schemas.openxmlformats.org/officeDocument/2006/relationships/hyperlink" Target="http://www.ucl.ac.uk/academic-manual/part-3/assessment-strategy" TargetMode="External"/><Relationship Id="rId19" Type="http://schemas.openxmlformats.org/officeDocument/2006/relationships/hyperlink" Target="http://www.ucl.ac.uk/academic-manual/part-7/sscc" TargetMode="External"/><Relationship Id="rId4" Type="http://schemas.microsoft.com/office/2007/relationships/stylesWithEffects" Target="stylesWithEffects.xml"/><Relationship Id="rId9" Type="http://schemas.openxmlformats.org/officeDocument/2006/relationships/hyperlink" Target="http://www.ucl.ac.uk/srs/governance-and-committees/committees/Guidance" TargetMode="External"/><Relationship Id="rId14" Type="http://schemas.openxmlformats.org/officeDocument/2006/relationships/hyperlink" Target="http://www.ucl.ac.uk/academic-manual/part-4/pg-recruitment-admissions" TargetMode="External"/><Relationship Id="rId22" Type="http://schemas.openxmlformats.org/officeDocument/2006/relationships/hyperlink" Target="http://www.ucl.ac.uk/srs/academic-regulations/docs/RD_Section_1_2013-2014_-_FINA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4F21-65C0-4A55-8913-6060302E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3655</Words>
  <Characters>21880</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INTERNAL QUALITY REVIEW (IQR) 2007-08</vt:lpstr>
    </vt:vector>
  </TitlesOfParts>
  <Company>ucl</Company>
  <LinksUpToDate>false</LinksUpToDate>
  <CharactersWithSpaces>25485</CharactersWithSpaces>
  <SharedDoc>false</SharedDoc>
  <HLinks>
    <vt:vector size="18" baseType="variant">
      <vt:variant>
        <vt:i4>6488129</vt:i4>
      </vt:variant>
      <vt:variant>
        <vt:i4>6</vt:i4>
      </vt:variant>
      <vt:variant>
        <vt:i4>0</vt:i4>
      </vt:variant>
      <vt:variant>
        <vt:i4>5</vt:i4>
      </vt:variant>
      <vt:variant>
        <vt:lpwstr>mailto:s.hinton@ucl.ac.uk</vt:lpwstr>
      </vt:variant>
      <vt:variant>
        <vt:lpwstr/>
      </vt:variant>
      <vt:variant>
        <vt:i4>2556028</vt:i4>
      </vt:variant>
      <vt:variant>
        <vt:i4>3</vt:i4>
      </vt:variant>
      <vt:variant>
        <vt:i4>0</vt:i4>
      </vt:variant>
      <vt:variant>
        <vt:i4>5</vt:i4>
      </vt:variant>
      <vt:variant>
        <vt:lpwstr>http://www.ucl.ac.uk/silva/academic-manual/part-1/equalities-and-diversity</vt:lpwstr>
      </vt:variant>
      <vt:variant>
        <vt:lpwstr/>
      </vt:variant>
      <vt:variant>
        <vt:i4>2687099</vt:i4>
      </vt:variant>
      <vt:variant>
        <vt:i4>0</vt:i4>
      </vt:variant>
      <vt:variant>
        <vt:i4>0</vt:i4>
      </vt:variant>
      <vt:variant>
        <vt:i4>5</vt:i4>
      </vt:variant>
      <vt:variant>
        <vt:lpwstr>http://www.ucl.ac.uk/academic-manual/part-5/personal-tutors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QUALITY REVIEW (IQR) 2007-08</dc:title>
  <dc:subject/>
  <dc:creator>ucycrgt</dc:creator>
  <cp:keywords/>
  <dc:description/>
  <cp:lastModifiedBy>ucycsch</cp:lastModifiedBy>
  <cp:revision>21</cp:revision>
  <cp:lastPrinted>2011-06-10T13:35:00Z</cp:lastPrinted>
  <dcterms:created xsi:type="dcterms:W3CDTF">2015-05-07T10:33:00Z</dcterms:created>
  <dcterms:modified xsi:type="dcterms:W3CDTF">2015-05-29T10:18:00Z</dcterms:modified>
</cp:coreProperties>
</file>