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74E5" w14:textId="77777777" w:rsidR="00E57A52" w:rsidRPr="008F5451" w:rsidRDefault="009C7C4B">
      <w:pPr>
        <w:rPr>
          <w:sz w:val="20"/>
          <w:szCs w:val="20"/>
        </w:rPr>
      </w:pPr>
      <w:r w:rsidRPr="008F5451">
        <w:rPr>
          <w:rFonts w:ascii="Arial" w:hAnsi="Arial" w:cs="Arial"/>
          <w:color w:val="393736"/>
          <w:sz w:val="20"/>
          <w:szCs w:val="20"/>
          <w:shd w:val="clear" w:color="auto" w:fill="FFFFFF"/>
        </w:rPr>
        <w:t xml:space="preserve">Please note that this list is continually updated, and that if your programme is not on this list, but falls into of the ineligible categories listed on </w:t>
      </w:r>
      <w:hyperlink r:id="rId4" w:history="1">
        <w:r w:rsidRPr="008F545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https://www.ucl.ac.uk/prospective-students/scholarships/us</w:t>
        </w:r>
      </w:hyperlink>
      <w:r w:rsidRPr="008F5451">
        <w:rPr>
          <w:rFonts w:ascii="Arial" w:hAnsi="Arial" w:cs="Arial"/>
          <w:color w:val="393736"/>
          <w:sz w:val="20"/>
          <w:szCs w:val="20"/>
          <w:shd w:val="clear" w:color="auto" w:fill="FFFFFF"/>
        </w:rPr>
        <w:t>, you will be ineligible for loans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546"/>
        <w:gridCol w:w="3681"/>
      </w:tblGrid>
      <w:tr w:rsidR="001F3F7D" w14:paraId="3A135DC3" w14:textId="77777777" w:rsidTr="006F1090">
        <w:tc>
          <w:tcPr>
            <w:tcW w:w="2909" w:type="dxa"/>
          </w:tcPr>
          <w:p w14:paraId="72E329B7" w14:textId="77777777" w:rsidR="00E57A52" w:rsidRDefault="00E57A52" w:rsidP="00E57A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C437FC" w14:textId="77777777" w:rsidR="001F3F7D" w:rsidRPr="00E57A52" w:rsidRDefault="001F3F7D" w:rsidP="00E57A52">
            <w:pPr>
              <w:jc w:val="center"/>
              <w:rPr>
                <w:b/>
                <w:bCs/>
                <w:sz w:val="28"/>
                <w:szCs w:val="28"/>
              </w:rPr>
            </w:pPr>
            <w:r w:rsidRPr="00E57A52">
              <w:rPr>
                <w:b/>
                <w:bCs/>
                <w:sz w:val="28"/>
                <w:szCs w:val="28"/>
              </w:rPr>
              <w:t>Programme</w:t>
            </w:r>
          </w:p>
        </w:tc>
        <w:tc>
          <w:tcPr>
            <w:tcW w:w="2652" w:type="dxa"/>
          </w:tcPr>
          <w:p w14:paraId="75A4849A" w14:textId="77777777" w:rsidR="00E57A52" w:rsidRDefault="00E57A52" w:rsidP="00E57A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8001C7" w14:textId="77777777" w:rsidR="001F3F7D" w:rsidRPr="00E57A52" w:rsidRDefault="00E57A52" w:rsidP="00E57A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Which P</w:t>
            </w:r>
            <w:r w:rsidR="001F3F7D" w:rsidRPr="00E57A52">
              <w:rPr>
                <w:b/>
                <w:bCs/>
                <w:sz w:val="28"/>
                <w:szCs w:val="28"/>
              </w:rPr>
              <w:t xml:space="preserve">art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1F3F7D" w:rsidRPr="00E57A52">
              <w:rPr>
                <w:b/>
                <w:bCs/>
                <w:sz w:val="28"/>
                <w:szCs w:val="28"/>
              </w:rPr>
              <w:t>neligible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681" w:type="dxa"/>
          </w:tcPr>
          <w:p w14:paraId="20D1169F" w14:textId="77777777" w:rsidR="00E57A52" w:rsidRDefault="00E57A52" w:rsidP="00E57A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5D97BF" w14:textId="77777777" w:rsidR="001F3F7D" w:rsidRDefault="001F3F7D" w:rsidP="00E57A52">
            <w:pPr>
              <w:jc w:val="center"/>
              <w:rPr>
                <w:b/>
                <w:bCs/>
                <w:sz w:val="28"/>
                <w:szCs w:val="28"/>
              </w:rPr>
            </w:pPr>
            <w:r w:rsidRPr="00E57A52">
              <w:rPr>
                <w:b/>
                <w:bCs/>
                <w:sz w:val="28"/>
                <w:szCs w:val="28"/>
              </w:rPr>
              <w:t>Why</w:t>
            </w:r>
            <w:r w:rsidR="00E57A52">
              <w:rPr>
                <w:b/>
                <w:bCs/>
                <w:sz w:val="28"/>
                <w:szCs w:val="28"/>
              </w:rPr>
              <w:t>?</w:t>
            </w:r>
          </w:p>
          <w:p w14:paraId="719346E3" w14:textId="77777777" w:rsidR="00E57A52" w:rsidRPr="00E57A52" w:rsidRDefault="00E57A52" w:rsidP="00E5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3F7D" w14:paraId="56ED015B" w14:textId="77777777" w:rsidTr="006F1090">
        <w:tc>
          <w:tcPr>
            <w:tcW w:w="2909" w:type="dxa"/>
          </w:tcPr>
          <w:p w14:paraId="1400DFE1" w14:textId="77777777" w:rsidR="001F3F7D" w:rsidRPr="00E57A52" w:rsidRDefault="001F3F7D">
            <w:r w:rsidRPr="00E57A52">
              <w:t>Graduate Diploma – various subjects</w:t>
            </w:r>
          </w:p>
        </w:tc>
        <w:tc>
          <w:tcPr>
            <w:tcW w:w="2652" w:type="dxa"/>
          </w:tcPr>
          <w:p w14:paraId="00996CA5" w14:textId="77777777" w:rsidR="001F3F7D" w:rsidRPr="00E57A52" w:rsidRDefault="001F3F7D">
            <w:r w:rsidRPr="00E57A52">
              <w:t xml:space="preserve">All </w:t>
            </w:r>
          </w:p>
        </w:tc>
        <w:tc>
          <w:tcPr>
            <w:tcW w:w="3681" w:type="dxa"/>
          </w:tcPr>
          <w:p w14:paraId="18E9A85F" w14:textId="77777777" w:rsidR="001F3F7D" w:rsidRPr="00E57A52" w:rsidRDefault="003D6073">
            <w:r>
              <w:t>Not a degree level programme</w:t>
            </w:r>
          </w:p>
        </w:tc>
      </w:tr>
      <w:tr w:rsidR="001F3F7D" w14:paraId="53A00471" w14:textId="77777777" w:rsidTr="006F1090">
        <w:tc>
          <w:tcPr>
            <w:tcW w:w="2909" w:type="dxa"/>
          </w:tcPr>
          <w:p w14:paraId="5D59D1EB" w14:textId="77777777" w:rsidR="001F3F7D" w:rsidRPr="00E57A52" w:rsidRDefault="001F3F7D">
            <w:r w:rsidRPr="00E57A52">
              <w:t>PG Diploma – various subjects</w:t>
            </w:r>
          </w:p>
        </w:tc>
        <w:tc>
          <w:tcPr>
            <w:tcW w:w="2652" w:type="dxa"/>
          </w:tcPr>
          <w:p w14:paraId="59D6FC09" w14:textId="77777777" w:rsidR="001F3F7D" w:rsidRPr="00E57A52" w:rsidRDefault="001F3F7D">
            <w:r w:rsidRPr="00E57A52">
              <w:t>All</w:t>
            </w:r>
          </w:p>
        </w:tc>
        <w:tc>
          <w:tcPr>
            <w:tcW w:w="3681" w:type="dxa"/>
          </w:tcPr>
          <w:p w14:paraId="278FD30B" w14:textId="77777777" w:rsidR="001F3F7D" w:rsidRPr="00E57A52" w:rsidRDefault="003D6073">
            <w:r>
              <w:t>Not a degree level programme</w:t>
            </w:r>
          </w:p>
        </w:tc>
      </w:tr>
      <w:tr w:rsidR="007B777D" w14:paraId="4911F70A" w14:textId="77777777" w:rsidTr="006F1090">
        <w:tc>
          <w:tcPr>
            <w:tcW w:w="2909" w:type="dxa"/>
          </w:tcPr>
          <w:p w14:paraId="3CD74CC6" w14:textId="77777777" w:rsidR="007B777D" w:rsidRPr="00E57A52" w:rsidRDefault="007B777D" w:rsidP="007B777D">
            <w:r>
              <w:t>PGCE – various subjects</w:t>
            </w:r>
          </w:p>
        </w:tc>
        <w:tc>
          <w:tcPr>
            <w:tcW w:w="2652" w:type="dxa"/>
          </w:tcPr>
          <w:p w14:paraId="2AA92D16" w14:textId="77777777" w:rsidR="007B777D" w:rsidRPr="00E57A52" w:rsidRDefault="007B777D" w:rsidP="007B777D">
            <w:r w:rsidRPr="00E57A52">
              <w:t>All</w:t>
            </w:r>
          </w:p>
        </w:tc>
        <w:tc>
          <w:tcPr>
            <w:tcW w:w="3681" w:type="dxa"/>
          </w:tcPr>
          <w:p w14:paraId="373360B6" w14:textId="77777777" w:rsidR="007B777D" w:rsidRPr="00E57A52" w:rsidRDefault="007B777D" w:rsidP="007B777D">
            <w:r>
              <w:t>Not a degree level programme</w:t>
            </w:r>
          </w:p>
        </w:tc>
      </w:tr>
      <w:tr w:rsidR="006F1090" w14:paraId="5284F0B5" w14:textId="77777777" w:rsidTr="006F1090">
        <w:tc>
          <w:tcPr>
            <w:tcW w:w="2909" w:type="dxa"/>
          </w:tcPr>
          <w:p w14:paraId="54CEB5E7" w14:textId="7424C935" w:rsidR="006F1090" w:rsidRDefault="006F1090" w:rsidP="006F1090">
            <w:r w:rsidRPr="00E57A52">
              <w:t>UCL Medical School</w:t>
            </w:r>
          </w:p>
        </w:tc>
        <w:tc>
          <w:tcPr>
            <w:tcW w:w="2652" w:type="dxa"/>
          </w:tcPr>
          <w:p w14:paraId="19255322" w14:textId="4247F688" w:rsidR="006F1090" w:rsidRPr="00E57A52" w:rsidRDefault="006F1090" w:rsidP="006F1090">
            <w:r w:rsidRPr="00E57A52">
              <w:t>All courses, all parts</w:t>
            </w:r>
          </w:p>
        </w:tc>
        <w:tc>
          <w:tcPr>
            <w:tcW w:w="3681" w:type="dxa"/>
          </w:tcPr>
          <w:p w14:paraId="47F30EA0" w14:textId="5DC9980C" w:rsidR="006F1090" w:rsidRDefault="006F1090" w:rsidP="006F1090">
            <w:r>
              <w:t>UCL are not licensed to administer loans to medical students</w:t>
            </w:r>
          </w:p>
        </w:tc>
      </w:tr>
      <w:tr w:rsidR="006F1090" w14:paraId="110D62C0" w14:textId="77777777" w:rsidTr="006F1090">
        <w:tc>
          <w:tcPr>
            <w:tcW w:w="2909" w:type="dxa"/>
          </w:tcPr>
          <w:p w14:paraId="2FE56990" w14:textId="19DAD9A1" w:rsidR="006F1090" w:rsidRDefault="006F1090" w:rsidP="006F1090">
            <w:r>
              <w:rPr>
                <w:rFonts w:cs="Arial"/>
              </w:rPr>
              <w:t>Undergraduate programmes with study abroad year at non-Title IV registered institution</w:t>
            </w:r>
          </w:p>
        </w:tc>
        <w:tc>
          <w:tcPr>
            <w:tcW w:w="2652" w:type="dxa"/>
          </w:tcPr>
          <w:p w14:paraId="0F0F7841" w14:textId="7BDBC416" w:rsidR="006F1090" w:rsidRPr="00E57A52" w:rsidRDefault="006F1090" w:rsidP="006F1090">
            <w:r w:rsidRPr="00E57A52">
              <w:t>All</w:t>
            </w:r>
          </w:p>
        </w:tc>
        <w:tc>
          <w:tcPr>
            <w:tcW w:w="3681" w:type="dxa"/>
          </w:tcPr>
          <w:p w14:paraId="5F851F44" w14:textId="38FE6E96" w:rsidR="006F1090" w:rsidRDefault="006F1090" w:rsidP="006F1090">
            <w:r>
              <w:t>Study abroad year must bear no more than 25% of total credits, and UCL must have written arrangement in place for programme to become eligible. Contact UCL Student Funding team to discuss</w:t>
            </w:r>
          </w:p>
        </w:tc>
      </w:tr>
      <w:tr w:rsidR="006F1090" w14:paraId="625DBBE1" w14:textId="77777777" w:rsidTr="006F1090">
        <w:tc>
          <w:tcPr>
            <w:tcW w:w="2909" w:type="dxa"/>
          </w:tcPr>
          <w:p w14:paraId="513F1B11" w14:textId="77777777" w:rsidR="006F1090" w:rsidRDefault="006F1090" w:rsidP="006F1090">
            <w:r>
              <w:t>MSc Brain and Mind Sciences (2 year)</w:t>
            </w:r>
          </w:p>
        </w:tc>
        <w:tc>
          <w:tcPr>
            <w:tcW w:w="2652" w:type="dxa"/>
          </w:tcPr>
          <w:p w14:paraId="7CFE2C3F" w14:textId="77777777" w:rsidR="006F1090" w:rsidRPr="00E57A52" w:rsidRDefault="006F1090" w:rsidP="006F1090">
            <w:r>
              <w:t>All</w:t>
            </w:r>
          </w:p>
        </w:tc>
        <w:tc>
          <w:tcPr>
            <w:tcW w:w="3681" w:type="dxa"/>
          </w:tcPr>
          <w:p w14:paraId="3DF45B42" w14:textId="7DD9314D" w:rsidR="006F1090" w:rsidRDefault="006F1090" w:rsidP="006F1090">
            <w:r>
              <w:t>More than 25% of programme is based at a non-Title IV institution</w:t>
            </w:r>
          </w:p>
        </w:tc>
      </w:tr>
      <w:tr w:rsidR="006F1090" w14:paraId="6CF27AEE" w14:textId="77777777" w:rsidTr="006F1090">
        <w:tc>
          <w:tcPr>
            <w:tcW w:w="2909" w:type="dxa"/>
          </w:tcPr>
          <w:p w14:paraId="40FD9CD3" w14:textId="77777777" w:rsidR="006F1090" w:rsidRPr="003D6073" w:rsidRDefault="006F1090" w:rsidP="006F1090">
            <w:r w:rsidRPr="003D6073">
              <w:t xml:space="preserve">MSc Neuroscience (2 year)  </w:t>
            </w:r>
          </w:p>
        </w:tc>
        <w:tc>
          <w:tcPr>
            <w:tcW w:w="2652" w:type="dxa"/>
          </w:tcPr>
          <w:p w14:paraId="5C762EAE" w14:textId="77777777" w:rsidR="006F1090" w:rsidRPr="003D6073" w:rsidRDefault="006F1090" w:rsidP="006F1090">
            <w:r w:rsidRPr="003D6073">
              <w:t>Year 1 – Prequalification Year</w:t>
            </w:r>
          </w:p>
        </w:tc>
        <w:tc>
          <w:tcPr>
            <w:tcW w:w="3681" w:type="dxa"/>
          </w:tcPr>
          <w:p w14:paraId="3CE9B5DC" w14:textId="77777777" w:rsidR="006F1090" w:rsidRPr="003D6073" w:rsidRDefault="006F1090" w:rsidP="006F1090">
            <w:r w:rsidRPr="003D6073">
              <w:t>Considered to be equivalent to a Graduate Diploma</w:t>
            </w:r>
          </w:p>
        </w:tc>
      </w:tr>
      <w:tr w:rsidR="006F1090" w14:paraId="717F0D8E" w14:textId="77777777" w:rsidTr="006F1090">
        <w:tc>
          <w:tcPr>
            <w:tcW w:w="2909" w:type="dxa"/>
          </w:tcPr>
          <w:p w14:paraId="2D62FDA4" w14:textId="77777777" w:rsidR="006F1090" w:rsidRPr="00E57A52" w:rsidRDefault="006F1090" w:rsidP="006F1090">
            <w:r w:rsidRPr="00E57A52">
              <w:t>MSc in Developmental Psychology and Clinical Practice (2 year)</w:t>
            </w:r>
          </w:p>
        </w:tc>
        <w:tc>
          <w:tcPr>
            <w:tcW w:w="2652" w:type="dxa"/>
          </w:tcPr>
          <w:p w14:paraId="49A935C0" w14:textId="77777777" w:rsidR="006F1090" w:rsidRPr="00E57A52" w:rsidRDefault="006F1090" w:rsidP="006F1090">
            <w:r w:rsidRPr="00E57A52">
              <w:t xml:space="preserve">Year 1  </w:t>
            </w:r>
          </w:p>
        </w:tc>
        <w:tc>
          <w:tcPr>
            <w:tcW w:w="3681" w:type="dxa"/>
          </w:tcPr>
          <w:p w14:paraId="7B7FD0ED" w14:textId="4C79D578" w:rsidR="006F1090" w:rsidRPr="00E57A52" w:rsidRDefault="006F1090" w:rsidP="006F1090">
            <w:r>
              <w:t>More than 25% of programme is based at a non-Title IV institution (</w:t>
            </w:r>
            <w:r w:rsidRPr="00E57A52">
              <w:t>Anna Freud centre</w:t>
            </w:r>
            <w:r>
              <w:t>)</w:t>
            </w:r>
          </w:p>
        </w:tc>
      </w:tr>
      <w:tr w:rsidR="006F1090" w14:paraId="6F65DF71" w14:textId="77777777" w:rsidTr="006F1090">
        <w:tc>
          <w:tcPr>
            <w:tcW w:w="2909" w:type="dxa"/>
          </w:tcPr>
          <w:p w14:paraId="3237EB5C" w14:textId="77777777" w:rsidR="006F1090" w:rsidRPr="00E57A52" w:rsidRDefault="006F1090" w:rsidP="006F1090">
            <w:r w:rsidRPr="00E57A52">
              <w:t>MSc in Psychoanalytic Developmental Psychology (1 year)</w:t>
            </w:r>
          </w:p>
        </w:tc>
        <w:tc>
          <w:tcPr>
            <w:tcW w:w="2652" w:type="dxa"/>
          </w:tcPr>
          <w:p w14:paraId="264CFC1E" w14:textId="77777777" w:rsidR="006F1090" w:rsidRPr="00E57A52" w:rsidRDefault="006F1090" w:rsidP="006F1090">
            <w:r w:rsidRPr="00E57A52">
              <w:t>All</w:t>
            </w:r>
          </w:p>
        </w:tc>
        <w:tc>
          <w:tcPr>
            <w:tcW w:w="3681" w:type="dxa"/>
          </w:tcPr>
          <w:p w14:paraId="7270E09D" w14:textId="6FECE0B5" w:rsidR="006F1090" w:rsidRPr="00E57A52" w:rsidRDefault="006F1090" w:rsidP="006F1090">
            <w:r>
              <w:t>More than 25% of programme is based at a non-Title IV institution (</w:t>
            </w:r>
            <w:r w:rsidRPr="00E57A52">
              <w:t>Anna Freud centre</w:t>
            </w:r>
            <w:r>
              <w:t>)</w:t>
            </w:r>
          </w:p>
        </w:tc>
      </w:tr>
      <w:tr w:rsidR="006F1090" w14:paraId="10EADE5F" w14:textId="77777777" w:rsidTr="006F1090">
        <w:tc>
          <w:tcPr>
            <w:tcW w:w="2909" w:type="dxa"/>
          </w:tcPr>
          <w:p w14:paraId="3239EE5C" w14:textId="77777777" w:rsidR="006F1090" w:rsidRPr="00E57A52" w:rsidRDefault="006F1090" w:rsidP="006F1090">
            <w:r w:rsidRPr="00E57A52">
              <w:t>MSc in Developmental Psychology and Clinical Practice (2 year)</w:t>
            </w:r>
          </w:p>
        </w:tc>
        <w:tc>
          <w:tcPr>
            <w:tcW w:w="2652" w:type="dxa"/>
          </w:tcPr>
          <w:p w14:paraId="737A0015" w14:textId="77777777" w:rsidR="006F1090" w:rsidRPr="00E57A52" w:rsidRDefault="006F1090" w:rsidP="006F1090">
            <w:r w:rsidRPr="00E57A52">
              <w:t xml:space="preserve">Year 1  </w:t>
            </w:r>
          </w:p>
        </w:tc>
        <w:tc>
          <w:tcPr>
            <w:tcW w:w="3681" w:type="dxa"/>
          </w:tcPr>
          <w:p w14:paraId="2A621C78" w14:textId="4C39D41A" w:rsidR="006F1090" w:rsidRPr="00E57A52" w:rsidRDefault="006F1090" w:rsidP="006F1090">
            <w:r>
              <w:t>More than 25% of programme is based at a non-Title IV institution (</w:t>
            </w:r>
            <w:r w:rsidRPr="00E57A52">
              <w:t>Anna Freud centre</w:t>
            </w:r>
            <w:r>
              <w:t>)</w:t>
            </w:r>
          </w:p>
        </w:tc>
      </w:tr>
      <w:tr w:rsidR="006F1090" w14:paraId="7D745310" w14:textId="77777777" w:rsidTr="006F1090">
        <w:tc>
          <w:tcPr>
            <w:tcW w:w="2909" w:type="dxa"/>
          </w:tcPr>
          <w:p w14:paraId="45EB2162" w14:textId="77777777" w:rsidR="006F1090" w:rsidRDefault="006F1090" w:rsidP="006F1090">
            <w:pPr>
              <w:rPr>
                <w:rFonts w:cs="Arial"/>
              </w:rPr>
            </w:pPr>
            <w:r>
              <w:rPr>
                <w:rFonts w:cs="Arial"/>
              </w:rPr>
              <w:t>Int MA</w:t>
            </w:r>
            <w:r w:rsidRPr="00D83D67">
              <w:rPr>
                <w:rFonts w:cs="Arial"/>
              </w:rPr>
              <w:t xml:space="preserve"> in Economy, State &amp; Society</w:t>
            </w:r>
            <w:r>
              <w:rPr>
                <w:rFonts w:cs="Arial"/>
              </w:rPr>
              <w:t xml:space="preserve"> (IMESS)</w:t>
            </w:r>
          </w:p>
        </w:tc>
        <w:tc>
          <w:tcPr>
            <w:tcW w:w="2652" w:type="dxa"/>
          </w:tcPr>
          <w:p w14:paraId="686C877D" w14:textId="77777777" w:rsidR="006F1090" w:rsidRDefault="006F1090" w:rsidP="006F1090">
            <w:r>
              <w:t xml:space="preserve">All </w:t>
            </w:r>
          </w:p>
        </w:tc>
        <w:tc>
          <w:tcPr>
            <w:tcW w:w="3681" w:type="dxa"/>
          </w:tcPr>
          <w:p w14:paraId="2696ACEA" w14:textId="3B44B430" w:rsidR="006F1090" w:rsidRPr="006325CE" w:rsidRDefault="006F1090" w:rsidP="006F1090">
            <w:pPr>
              <w:rPr>
                <w:b/>
              </w:rPr>
            </w:pPr>
            <w:r>
              <w:t xml:space="preserve">The second year is study abroad at a partner institution,  which must be Title IV registered in order for programme to be eligible for loans – check here for list of Title IV schools list: </w:t>
            </w:r>
            <w:hyperlink r:id="rId5" w:history="1">
              <w:r>
                <w:rPr>
                  <w:rStyle w:val="Hyperlink"/>
                </w:rPr>
                <w:t>https://ifap.ed.gov/ilibrary/document-types/federal-school-code-list</w:t>
              </w:r>
            </w:hyperlink>
          </w:p>
        </w:tc>
      </w:tr>
      <w:tr w:rsidR="006F1090" w14:paraId="080F2F19" w14:textId="77777777" w:rsidTr="006F1090">
        <w:tc>
          <w:tcPr>
            <w:tcW w:w="2909" w:type="dxa"/>
          </w:tcPr>
          <w:p w14:paraId="72A386A5" w14:textId="77777777" w:rsidR="006F1090" w:rsidRDefault="006F1090" w:rsidP="006F10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MPlan</w:t>
            </w:r>
            <w:proofErr w:type="spellEnd"/>
            <w:r>
              <w:rPr>
                <w:rFonts w:cs="Arial"/>
              </w:rPr>
              <w:t xml:space="preserve"> City Planning</w:t>
            </w:r>
          </w:p>
        </w:tc>
        <w:tc>
          <w:tcPr>
            <w:tcW w:w="2652" w:type="dxa"/>
          </w:tcPr>
          <w:p w14:paraId="06714F45" w14:textId="77777777" w:rsidR="006F1090" w:rsidRDefault="006F1090" w:rsidP="006F1090">
            <w:r>
              <w:t>All</w:t>
            </w:r>
          </w:p>
        </w:tc>
        <w:tc>
          <w:tcPr>
            <w:tcW w:w="3681" w:type="dxa"/>
          </w:tcPr>
          <w:p w14:paraId="43FAD020" w14:textId="77777777" w:rsidR="006F1090" w:rsidRPr="006325CE" w:rsidRDefault="006F1090" w:rsidP="006F1090">
            <w:pPr>
              <w:rPr>
                <w:b/>
              </w:rPr>
            </w:pPr>
            <w:r>
              <w:t xml:space="preserve">The second year is study abroad at a partner institution,  which must be Title IV registered in order for programme to be eligible for loans – check here for list of Title IV schools list: </w:t>
            </w:r>
            <w:hyperlink r:id="rId6" w:history="1">
              <w:r>
                <w:rPr>
                  <w:rStyle w:val="Hyperlink"/>
                </w:rPr>
                <w:t>https://ifap.ed.gov/ilibrary/document-types/federal-school-code-list</w:t>
              </w:r>
            </w:hyperlink>
          </w:p>
        </w:tc>
      </w:tr>
      <w:tr w:rsidR="006F1090" w14:paraId="323A5390" w14:textId="77777777" w:rsidTr="006F1090">
        <w:tc>
          <w:tcPr>
            <w:tcW w:w="2909" w:type="dxa"/>
          </w:tcPr>
          <w:p w14:paraId="498E92E5" w14:textId="77777777" w:rsidR="006F1090" w:rsidRDefault="006F1090" w:rsidP="006F1090">
            <w:pPr>
              <w:rPr>
                <w:rFonts w:cs="Arial"/>
              </w:rPr>
            </w:pPr>
            <w:r w:rsidRPr="0012409E">
              <w:rPr>
                <w:rFonts w:cs="Arial"/>
              </w:rPr>
              <w:lastRenderedPageBreak/>
              <w:t xml:space="preserve">MSc Global Health and Development: </w:t>
            </w:r>
            <w:proofErr w:type="spellStart"/>
            <w:r w:rsidRPr="0012409E">
              <w:rPr>
                <w:rFonts w:cs="Arial"/>
              </w:rPr>
              <w:t>tropEd</w:t>
            </w:r>
            <w:proofErr w:type="spellEnd"/>
            <w:r w:rsidRPr="0012409E">
              <w:rPr>
                <w:rFonts w:cs="Arial"/>
              </w:rPr>
              <w:t xml:space="preserve"> programme</w:t>
            </w:r>
          </w:p>
        </w:tc>
        <w:tc>
          <w:tcPr>
            <w:tcW w:w="2652" w:type="dxa"/>
          </w:tcPr>
          <w:p w14:paraId="7DA63999" w14:textId="77777777" w:rsidR="006F1090" w:rsidRDefault="006F1090" w:rsidP="006F1090">
            <w:r>
              <w:t>All</w:t>
            </w:r>
          </w:p>
        </w:tc>
        <w:tc>
          <w:tcPr>
            <w:tcW w:w="3681" w:type="dxa"/>
          </w:tcPr>
          <w:p w14:paraId="6CFC9DB0" w14:textId="41752CED" w:rsidR="006F1090" w:rsidRDefault="006F1090" w:rsidP="006F1090">
            <w:proofErr w:type="spellStart"/>
            <w:r>
              <w:t>tropEd</w:t>
            </w:r>
            <w:proofErr w:type="spellEnd"/>
            <w:r>
              <w:t xml:space="preserve"> route ineligible as can study at other non-certified institutions in the </w:t>
            </w:r>
            <w:proofErr w:type="spellStart"/>
            <w:r>
              <w:t>tropEd</w:t>
            </w:r>
            <w:proofErr w:type="spellEnd"/>
            <w:r>
              <w:t xml:space="preserve"> network. If study is at Title IV certified institution and this has been agreed in advance of the programme starting, contact UCL Student Funding team to discuss</w:t>
            </w:r>
          </w:p>
        </w:tc>
      </w:tr>
      <w:tr w:rsidR="006F1090" w14:paraId="472BBE06" w14:textId="77777777" w:rsidTr="006F1090">
        <w:tc>
          <w:tcPr>
            <w:tcW w:w="2909" w:type="dxa"/>
          </w:tcPr>
          <w:p w14:paraId="02A48113" w14:textId="77777777" w:rsidR="006F1090" w:rsidRPr="0012409E" w:rsidRDefault="006F1090" w:rsidP="006F1090">
            <w:pPr>
              <w:rPr>
                <w:rFonts w:cs="Arial"/>
              </w:rPr>
            </w:pPr>
            <w:r>
              <w:rPr>
                <w:rFonts w:cs="Arial"/>
              </w:rPr>
              <w:t xml:space="preserve">MBA </w:t>
            </w:r>
            <w:r w:rsidRPr="009C7C4B">
              <w:rPr>
                <w:rFonts w:cs="Arial"/>
              </w:rPr>
              <w:t>Educational Leadership (International)</w:t>
            </w:r>
          </w:p>
        </w:tc>
        <w:tc>
          <w:tcPr>
            <w:tcW w:w="2652" w:type="dxa"/>
          </w:tcPr>
          <w:p w14:paraId="7BF86D7F" w14:textId="77777777" w:rsidR="006F1090" w:rsidRDefault="006F1090" w:rsidP="006F1090">
            <w:r>
              <w:t>All</w:t>
            </w:r>
          </w:p>
        </w:tc>
        <w:tc>
          <w:tcPr>
            <w:tcW w:w="3681" w:type="dxa"/>
          </w:tcPr>
          <w:p w14:paraId="048D98CE" w14:textId="55C17066" w:rsidR="006F1090" w:rsidRDefault="006F1090" w:rsidP="006F1090">
            <w:r>
              <w:t xml:space="preserve">This course is offered primarily as a distance learning course. However, if you attend the course on a 2 Year Part-time basis without any distance learning, you will be eligible. </w:t>
            </w:r>
          </w:p>
        </w:tc>
      </w:tr>
      <w:tr w:rsidR="006F1090" w14:paraId="0C73915F" w14:textId="77777777" w:rsidTr="006F1090">
        <w:tc>
          <w:tcPr>
            <w:tcW w:w="2909" w:type="dxa"/>
          </w:tcPr>
          <w:p w14:paraId="7425C5F1" w14:textId="77777777" w:rsidR="006F1090" w:rsidRDefault="006F1090" w:rsidP="006F1090">
            <w:pPr>
              <w:rPr>
                <w:rFonts w:cs="Arial"/>
              </w:rPr>
            </w:pPr>
            <w:r>
              <w:rPr>
                <w:rFonts w:cs="Arial"/>
              </w:rPr>
              <w:t>Any programme studied on Modular/Flexible basis</w:t>
            </w:r>
          </w:p>
        </w:tc>
        <w:tc>
          <w:tcPr>
            <w:tcW w:w="2652" w:type="dxa"/>
          </w:tcPr>
          <w:p w14:paraId="68279F9E" w14:textId="77777777" w:rsidR="006F1090" w:rsidRDefault="006F1090" w:rsidP="006F1090">
            <w:r>
              <w:t>All</w:t>
            </w:r>
          </w:p>
        </w:tc>
        <w:tc>
          <w:tcPr>
            <w:tcW w:w="3681" w:type="dxa"/>
          </w:tcPr>
          <w:p w14:paraId="53234DFC" w14:textId="77777777" w:rsidR="006F1090" w:rsidRDefault="006F1090" w:rsidP="006F1090">
            <w:r>
              <w:t>Modular-Flexible study mode allows study over 5 years, which does not meet the requirement for at least half-time study for every year of the course</w:t>
            </w:r>
          </w:p>
        </w:tc>
      </w:tr>
      <w:tr w:rsidR="006F1090" w14:paraId="55FB8CCC" w14:textId="77777777" w:rsidTr="006F1090">
        <w:tc>
          <w:tcPr>
            <w:tcW w:w="2909" w:type="dxa"/>
          </w:tcPr>
          <w:p w14:paraId="489C8E4D" w14:textId="77777777" w:rsidR="006F1090" w:rsidRDefault="006F1090" w:rsidP="006F1090">
            <w:pPr>
              <w:rPr>
                <w:rFonts w:cs="Arial"/>
              </w:rPr>
            </w:pPr>
            <w:r>
              <w:rPr>
                <w:rFonts w:cs="Arial"/>
              </w:rPr>
              <w:t>Any programme studies on ‘Mixed Mode’ basis</w:t>
            </w:r>
          </w:p>
        </w:tc>
        <w:tc>
          <w:tcPr>
            <w:tcW w:w="2652" w:type="dxa"/>
          </w:tcPr>
          <w:p w14:paraId="390C00EE" w14:textId="77777777" w:rsidR="006F1090" w:rsidRDefault="006F1090" w:rsidP="006F1090">
            <w:r>
              <w:t>All</w:t>
            </w:r>
          </w:p>
        </w:tc>
        <w:tc>
          <w:tcPr>
            <w:tcW w:w="3681" w:type="dxa"/>
          </w:tcPr>
          <w:p w14:paraId="1C8C85F3" w14:textId="77777777" w:rsidR="006F1090" w:rsidRDefault="006F1090" w:rsidP="006F1090">
            <w:r>
              <w:t>As this study mode involves elements of distance learning, the entire programme becomes ineligible for loans</w:t>
            </w:r>
          </w:p>
        </w:tc>
      </w:tr>
      <w:tr w:rsidR="003B7169" w14:paraId="45F7FEF5" w14:textId="77777777" w:rsidTr="006F1090">
        <w:tc>
          <w:tcPr>
            <w:tcW w:w="2909" w:type="dxa"/>
          </w:tcPr>
          <w:p w14:paraId="0AEF26A1" w14:textId="61E755D3" w:rsidR="003B7169" w:rsidRDefault="003B7169" w:rsidP="006F1090">
            <w:pPr>
              <w:rPr>
                <w:rFonts w:cs="Arial"/>
              </w:rPr>
            </w:pPr>
            <w:r w:rsidRPr="003B7169">
              <w:rPr>
                <w:rFonts w:cs="Arial"/>
              </w:rPr>
              <w:t>Research Degree:  Neuroscience NIMH (4 years)</w:t>
            </w:r>
          </w:p>
        </w:tc>
        <w:tc>
          <w:tcPr>
            <w:tcW w:w="2652" w:type="dxa"/>
          </w:tcPr>
          <w:p w14:paraId="13A9B66C" w14:textId="734EC66A" w:rsidR="003B7169" w:rsidRDefault="003B7169" w:rsidP="006F1090">
            <w:r>
              <w:t>All</w:t>
            </w:r>
          </w:p>
        </w:tc>
        <w:tc>
          <w:tcPr>
            <w:tcW w:w="3681" w:type="dxa"/>
          </w:tcPr>
          <w:p w14:paraId="70C80F18" w14:textId="0736C8B0" w:rsidR="003B7169" w:rsidRDefault="003B7169" w:rsidP="006F1090">
            <w:r>
              <w:t xml:space="preserve">The course has a substantial study proportion that takes place in the USA. </w:t>
            </w:r>
          </w:p>
        </w:tc>
      </w:tr>
    </w:tbl>
    <w:p w14:paraId="2E555FED" w14:textId="77777777" w:rsidR="001F3F7D" w:rsidRDefault="001F3F7D"/>
    <w:sectPr w:rsidR="001F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14"/>
    <w:rsid w:val="00001B90"/>
    <w:rsid w:val="00003B48"/>
    <w:rsid w:val="000143B4"/>
    <w:rsid w:val="00014E06"/>
    <w:rsid w:val="000266CE"/>
    <w:rsid w:val="00027F63"/>
    <w:rsid w:val="000333B5"/>
    <w:rsid w:val="0004060D"/>
    <w:rsid w:val="00041982"/>
    <w:rsid w:val="0004725C"/>
    <w:rsid w:val="000534D6"/>
    <w:rsid w:val="00053686"/>
    <w:rsid w:val="0005648B"/>
    <w:rsid w:val="00057734"/>
    <w:rsid w:val="0006049A"/>
    <w:rsid w:val="00061F80"/>
    <w:rsid w:val="00062D69"/>
    <w:rsid w:val="00065C0E"/>
    <w:rsid w:val="00077F08"/>
    <w:rsid w:val="00086C4B"/>
    <w:rsid w:val="00090360"/>
    <w:rsid w:val="000905B8"/>
    <w:rsid w:val="00090936"/>
    <w:rsid w:val="000926E5"/>
    <w:rsid w:val="000957ED"/>
    <w:rsid w:val="00097102"/>
    <w:rsid w:val="000A06C3"/>
    <w:rsid w:val="000B3998"/>
    <w:rsid w:val="000B6DC2"/>
    <w:rsid w:val="000B706A"/>
    <w:rsid w:val="000C6B79"/>
    <w:rsid w:val="000D3BC6"/>
    <w:rsid w:val="000E2977"/>
    <w:rsid w:val="000E3C96"/>
    <w:rsid w:val="001052A2"/>
    <w:rsid w:val="00115C1E"/>
    <w:rsid w:val="0012299A"/>
    <w:rsid w:val="0012409E"/>
    <w:rsid w:val="00127B32"/>
    <w:rsid w:val="001336FC"/>
    <w:rsid w:val="00136773"/>
    <w:rsid w:val="001416E1"/>
    <w:rsid w:val="00143B2C"/>
    <w:rsid w:val="00145E1B"/>
    <w:rsid w:val="001559C6"/>
    <w:rsid w:val="00164BBD"/>
    <w:rsid w:val="0016761E"/>
    <w:rsid w:val="00177320"/>
    <w:rsid w:val="00181175"/>
    <w:rsid w:val="0018378E"/>
    <w:rsid w:val="00192A20"/>
    <w:rsid w:val="001931E6"/>
    <w:rsid w:val="00193E04"/>
    <w:rsid w:val="001973C0"/>
    <w:rsid w:val="001A36C8"/>
    <w:rsid w:val="001A4B72"/>
    <w:rsid w:val="001A4EE7"/>
    <w:rsid w:val="001B013A"/>
    <w:rsid w:val="001B0279"/>
    <w:rsid w:val="001B7540"/>
    <w:rsid w:val="001E05B3"/>
    <w:rsid w:val="001E0AFA"/>
    <w:rsid w:val="001F1113"/>
    <w:rsid w:val="001F2005"/>
    <w:rsid w:val="001F2D2B"/>
    <w:rsid w:val="001F3F7D"/>
    <w:rsid w:val="001F5DB1"/>
    <w:rsid w:val="00205400"/>
    <w:rsid w:val="00213929"/>
    <w:rsid w:val="00214AD7"/>
    <w:rsid w:val="00214FCE"/>
    <w:rsid w:val="00216988"/>
    <w:rsid w:val="0022193B"/>
    <w:rsid w:val="00225FCC"/>
    <w:rsid w:val="002306CD"/>
    <w:rsid w:val="00242E6C"/>
    <w:rsid w:val="00247E0C"/>
    <w:rsid w:val="002750B4"/>
    <w:rsid w:val="00275404"/>
    <w:rsid w:val="00280775"/>
    <w:rsid w:val="00281037"/>
    <w:rsid w:val="00284DF3"/>
    <w:rsid w:val="002903B1"/>
    <w:rsid w:val="00290D4E"/>
    <w:rsid w:val="002A3391"/>
    <w:rsid w:val="002A521A"/>
    <w:rsid w:val="002A7321"/>
    <w:rsid w:val="002B5010"/>
    <w:rsid w:val="002B7101"/>
    <w:rsid w:val="002C155E"/>
    <w:rsid w:val="002C3188"/>
    <w:rsid w:val="002C3A35"/>
    <w:rsid w:val="002D2FB8"/>
    <w:rsid w:val="002D5B07"/>
    <w:rsid w:val="002E5114"/>
    <w:rsid w:val="002E6878"/>
    <w:rsid w:val="002F1BBA"/>
    <w:rsid w:val="002F712B"/>
    <w:rsid w:val="0030309B"/>
    <w:rsid w:val="00307A43"/>
    <w:rsid w:val="0031122D"/>
    <w:rsid w:val="00320683"/>
    <w:rsid w:val="00336688"/>
    <w:rsid w:val="0036005F"/>
    <w:rsid w:val="00381CE8"/>
    <w:rsid w:val="00393412"/>
    <w:rsid w:val="0039424E"/>
    <w:rsid w:val="00395072"/>
    <w:rsid w:val="00397686"/>
    <w:rsid w:val="003A16A5"/>
    <w:rsid w:val="003A5BA5"/>
    <w:rsid w:val="003B7169"/>
    <w:rsid w:val="003C06CA"/>
    <w:rsid w:val="003C0E16"/>
    <w:rsid w:val="003C1B03"/>
    <w:rsid w:val="003D5CD4"/>
    <w:rsid w:val="003D6073"/>
    <w:rsid w:val="003D6902"/>
    <w:rsid w:val="003D76E8"/>
    <w:rsid w:val="003E6A98"/>
    <w:rsid w:val="003F02E8"/>
    <w:rsid w:val="003F2937"/>
    <w:rsid w:val="00411A28"/>
    <w:rsid w:val="004230E1"/>
    <w:rsid w:val="00423D43"/>
    <w:rsid w:val="00436228"/>
    <w:rsid w:val="00436E37"/>
    <w:rsid w:val="0044625C"/>
    <w:rsid w:val="0045393C"/>
    <w:rsid w:val="00456067"/>
    <w:rsid w:val="004572C5"/>
    <w:rsid w:val="00460B38"/>
    <w:rsid w:val="00470838"/>
    <w:rsid w:val="004720D4"/>
    <w:rsid w:val="004808F0"/>
    <w:rsid w:val="00480969"/>
    <w:rsid w:val="004B52D4"/>
    <w:rsid w:val="004B5850"/>
    <w:rsid w:val="004C0A82"/>
    <w:rsid w:val="004C419D"/>
    <w:rsid w:val="004C68A1"/>
    <w:rsid w:val="004F3E68"/>
    <w:rsid w:val="004F6093"/>
    <w:rsid w:val="00507EB5"/>
    <w:rsid w:val="00513A55"/>
    <w:rsid w:val="00513C76"/>
    <w:rsid w:val="00513DCC"/>
    <w:rsid w:val="00525B05"/>
    <w:rsid w:val="00525C3A"/>
    <w:rsid w:val="00535A81"/>
    <w:rsid w:val="00540785"/>
    <w:rsid w:val="00541C99"/>
    <w:rsid w:val="00545E8F"/>
    <w:rsid w:val="0054794B"/>
    <w:rsid w:val="0056196A"/>
    <w:rsid w:val="00566BF6"/>
    <w:rsid w:val="00581A01"/>
    <w:rsid w:val="00587469"/>
    <w:rsid w:val="00592689"/>
    <w:rsid w:val="005A04D6"/>
    <w:rsid w:val="005A1214"/>
    <w:rsid w:val="005A1B7C"/>
    <w:rsid w:val="005A1C55"/>
    <w:rsid w:val="005A4505"/>
    <w:rsid w:val="005C6B1E"/>
    <w:rsid w:val="005D061F"/>
    <w:rsid w:val="005D4090"/>
    <w:rsid w:val="005D4A96"/>
    <w:rsid w:val="005D62E0"/>
    <w:rsid w:val="005D67C2"/>
    <w:rsid w:val="005E4CD8"/>
    <w:rsid w:val="005F5060"/>
    <w:rsid w:val="005F5672"/>
    <w:rsid w:val="005F6633"/>
    <w:rsid w:val="00601C94"/>
    <w:rsid w:val="00603603"/>
    <w:rsid w:val="00603A8D"/>
    <w:rsid w:val="0060677B"/>
    <w:rsid w:val="00606A69"/>
    <w:rsid w:val="00613A90"/>
    <w:rsid w:val="00621466"/>
    <w:rsid w:val="00622185"/>
    <w:rsid w:val="006325CE"/>
    <w:rsid w:val="0063428B"/>
    <w:rsid w:val="0064636C"/>
    <w:rsid w:val="00647976"/>
    <w:rsid w:val="00647EE3"/>
    <w:rsid w:val="006503AE"/>
    <w:rsid w:val="00651BC7"/>
    <w:rsid w:val="00651D41"/>
    <w:rsid w:val="006831BE"/>
    <w:rsid w:val="006942C3"/>
    <w:rsid w:val="006954A5"/>
    <w:rsid w:val="006A02B9"/>
    <w:rsid w:val="006A1DB4"/>
    <w:rsid w:val="006B1BB2"/>
    <w:rsid w:val="006C0817"/>
    <w:rsid w:val="006C55FF"/>
    <w:rsid w:val="006C5814"/>
    <w:rsid w:val="006D543C"/>
    <w:rsid w:val="006D6349"/>
    <w:rsid w:val="006E0A4C"/>
    <w:rsid w:val="006E154E"/>
    <w:rsid w:val="006E729E"/>
    <w:rsid w:val="006F0AB5"/>
    <w:rsid w:val="006F1090"/>
    <w:rsid w:val="006F4481"/>
    <w:rsid w:val="006F6999"/>
    <w:rsid w:val="006F758C"/>
    <w:rsid w:val="006F78F9"/>
    <w:rsid w:val="00706B89"/>
    <w:rsid w:val="007071C0"/>
    <w:rsid w:val="0070763D"/>
    <w:rsid w:val="007104A0"/>
    <w:rsid w:val="00714569"/>
    <w:rsid w:val="00717473"/>
    <w:rsid w:val="00717836"/>
    <w:rsid w:val="00721A9A"/>
    <w:rsid w:val="00726E7A"/>
    <w:rsid w:val="0074169D"/>
    <w:rsid w:val="00750E96"/>
    <w:rsid w:val="0075492D"/>
    <w:rsid w:val="00763631"/>
    <w:rsid w:val="00763F16"/>
    <w:rsid w:val="0076472A"/>
    <w:rsid w:val="00770180"/>
    <w:rsid w:val="0077684D"/>
    <w:rsid w:val="00777B45"/>
    <w:rsid w:val="007832AE"/>
    <w:rsid w:val="0078522E"/>
    <w:rsid w:val="00785710"/>
    <w:rsid w:val="00787339"/>
    <w:rsid w:val="007942C8"/>
    <w:rsid w:val="007B1AB3"/>
    <w:rsid w:val="007B22DE"/>
    <w:rsid w:val="007B45E0"/>
    <w:rsid w:val="007B777D"/>
    <w:rsid w:val="007D714D"/>
    <w:rsid w:val="007E02A0"/>
    <w:rsid w:val="007E050C"/>
    <w:rsid w:val="007E14B3"/>
    <w:rsid w:val="007E4BB1"/>
    <w:rsid w:val="007E58A5"/>
    <w:rsid w:val="00802B31"/>
    <w:rsid w:val="008033DB"/>
    <w:rsid w:val="00815BEE"/>
    <w:rsid w:val="008170B2"/>
    <w:rsid w:val="00820349"/>
    <w:rsid w:val="00820A3D"/>
    <w:rsid w:val="00826CD3"/>
    <w:rsid w:val="008274D4"/>
    <w:rsid w:val="00835A85"/>
    <w:rsid w:val="008402FF"/>
    <w:rsid w:val="0084417C"/>
    <w:rsid w:val="0084564C"/>
    <w:rsid w:val="0085022D"/>
    <w:rsid w:val="0085618B"/>
    <w:rsid w:val="00863777"/>
    <w:rsid w:val="00871C62"/>
    <w:rsid w:val="00874DF9"/>
    <w:rsid w:val="00877450"/>
    <w:rsid w:val="00877596"/>
    <w:rsid w:val="008A3570"/>
    <w:rsid w:val="008A6145"/>
    <w:rsid w:val="008A6B82"/>
    <w:rsid w:val="008C4B1A"/>
    <w:rsid w:val="008C52E9"/>
    <w:rsid w:val="008D096D"/>
    <w:rsid w:val="008D61F2"/>
    <w:rsid w:val="008E24E8"/>
    <w:rsid w:val="008E79C9"/>
    <w:rsid w:val="008E7B1F"/>
    <w:rsid w:val="008F16D3"/>
    <w:rsid w:val="008F4A43"/>
    <w:rsid w:val="008F5451"/>
    <w:rsid w:val="008F7356"/>
    <w:rsid w:val="00900FA0"/>
    <w:rsid w:val="00901396"/>
    <w:rsid w:val="00910DDF"/>
    <w:rsid w:val="00920A7A"/>
    <w:rsid w:val="00924B95"/>
    <w:rsid w:val="00933FD9"/>
    <w:rsid w:val="009355E2"/>
    <w:rsid w:val="00945702"/>
    <w:rsid w:val="0094695F"/>
    <w:rsid w:val="00952673"/>
    <w:rsid w:val="00957A72"/>
    <w:rsid w:val="009623A7"/>
    <w:rsid w:val="00971572"/>
    <w:rsid w:val="00975147"/>
    <w:rsid w:val="0097595E"/>
    <w:rsid w:val="009763C4"/>
    <w:rsid w:val="00983C77"/>
    <w:rsid w:val="0099091C"/>
    <w:rsid w:val="00992ADD"/>
    <w:rsid w:val="0099660B"/>
    <w:rsid w:val="0099719C"/>
    <w:rsid w:val="009A0664"/>
    <w:rsid w:val="009A216F"/>
    <w:rsid w:val="009A66FA"/>
    <w:rsid w:val="009B2D40"/>
    <w:rsid w:val="009C2F66"/>
    <w:rsid w:val="009C7C4B"/>
    <w:rsid w:val="009C7F8B"/>
    <w:rsid w:val="009D4367"/>
    <w:rsid w:val="009E1704"/>
    <w:rsid w:val="009F6C4B"/>
    <w:rsid w:val="009F7F5E"/>
    <w:rsid w:val="00A00AA3"/>
    <w:rsid w:val="00A11EB6"/>
    <w:rsid w:val="00A23CD1"/>
    <w:rsid w:val="00A25E69"/>
    <w:rsid w:val="00A33C1C"/>
    <w:rsid w:val="00A6246D"/>
    <w:rsid w:val="00A65C45"/>
    <w:rsid w:val="00A7232E"/>
    <w:rsid w:val="00A72B39"/>
    <w:rsid w:val="00A74733"/>
    <w:rsid w:val="00A80D5D"/>
    <w:rsid w:val="00A82DA1"/>
    <w:rsid w:val="00A96383"/>
    <w:rsid w:val="00AA1BF0"/>
    <w:rsid w:val="00AA4607"/>
    <w:rsid w:val="00AA46FF"/>
    <w:rsid w:val="00AA61D9"/>
    <w:rsid w:val="00AB0829"/>
    <w:rsid w:val="00AB72BA"/>
    <w:rsid w:val="00AC0025"/>
    <w:rsid w:val="00AC10D8"/>
    <w:rsid w:val="00AE2CA1"/>
    <w:rsid w:val="00AE3173"/>
    <w:rsid w:val="00AE4E5B"/>
    <w:rsid w:val="00B123A5"/>
    <w:rsid w:val="00B15CFF"/>
    <w:rsid w:val="00B2511F"/>
    <w:rsid w:val="00B300D3"/>
    <w:rsid w:val="00B303F7"/>
    <w:rsid w:val="00B33211"/>
    <w:rsid w:val="00B346C9"/>
    <w:rsid w:val="00B35F4F"/>
    <w:rsid w:val="00B37A1F"/>
    <w:rsid w:val="00B508CE"/>
    <w:rsid w:val="00B60CD8"/>
    <w:rsid w:val="00B60EB0"/>
    <w:rsid w:val="00B70A20"/>
    <w:rsid w:val="00B71383"/>
    <w:rsid w:val="00B728D3"/>
    <w:rsid w:val="00B75A1A"/>
    <w:rsid w:val="00B80146"/>
    <w:rsid w:val="00B81631"/>
    <w:rsid w:val="00B832B1"/>
    <w:rsid w:val="00B855AA"/>
    <w:rsid w:val="00B96879"/>
    <w:rsid w:val="00BA16E1"/>
    <w:rsid w:val="00BA6EA0"/>
    <w:rsid w:val="00BA7EA1"/>
    <w:rsid w:val="00BB1280"/>
    <w:rsid w:val="00BB12C6"/>
    <w:rsid w:val="00BB71E3"/>
    <w:rsid w:val="00BC42D0"/>
    <w:rsid w:val="00BC42FD"/>
    <w:rsid w:val="00BD52B4"/>
    <w:rsid w:val="00BE3A43"/>
    <w:rsid w:val="00C001B0"/>
    <w:rsid w:val="00C01025"/>
    <w:rsid w:val="00C22C9C"/>
    <w:rsid w:val="00C32AE6"/>
    <w:rsid w:val="00C34DE0"/>
    <w:rsid w:val="00C35579"/>
    <w:rsid w:val="00C35960"/>
    <w:rsid w:val="00C36389"/>
    <w:rsid w:val="00C47F68"/>
    <w:rsid w:val="00C52BAD"/>
    <w:rsid w:val="00C5695F"/>
    <w:rsid w:val="00C5748E"/>
    <w:rsid w:val="00C64DEE"/>
    <w:rsid w:val="00C74392"/>
    <w:rsid w:val="00C84F3D"/>
    <w:rsid w:val="00C87EF6"/>
    <w:rsid w:val="00C92AE4"/>
    <w:rsid w:val="00C96857"/>
    <w:rsid w:val="00C96999"/>
    <w:rsid w:val="00CA2B31"/>
    <w:rsid w:val="00CA55EA"/>
    <w:rsid w:val="00CB23A2"/>
    <w:rsid w:val="00CB5F14"/>
    <w:rsid w:val="00CB6CF0"/>
    <w:rsid w:val="00CB6FB9"/>
    <w:rsid w:val="00CC1B5A"/>
    <w:rsid w:val="00CC1BBE"/>
    <w:rsid w:val="00CC315C"/>
    <w:rsid w:val="00CC5088"/>
    <w:rsid w:val="00CD2240"/>
    <w:rsid w:val="00CE5F88"/>
    <w:rsid w:val="00CF0AFC"/>
    <w:rsid w:val="00D05FCB"/>
    <w:rsid w:val="00D13E93"/>
    <w:rsid w:val="00D16AAC"/>
    <w:rsid w:val="00D21EB2"/>
    <w:rsid w:val="00D24130"/>
    <w:rsid w:val="00D3021F"/>
    <w:rsid w:val="00D32766"/>
    <w:rsid w:val="00D34A9C"/>
    <w:rsid w:val="00D36DE1"/>
    <w:rsid w:val="00D376CD"/>
    <w:rsid w:val="00D40D21"/>
    <w:rsid w:val="00D448A9"/>
    <w:rsid w:val="00D506C9"/>
    <w:rsid w:val="00D564AC"/>
    <w:rsid w:val="00D56837"/>
    <w:rsid w:val="00D56CC1"/>
    <w:rsid w:val="00D66769"/>
    <w:rsid w:val="00D6784A"/>
    <w:rsid w:val="00D734CB"/>
    <w:rsid w:val="00D740D4"/>
    <w:rsid w:val="00D756D0"/>
    <w:rsid w:val="00D83D67"/>
    <w:rsid w:val="00D84EFA"/>
    <w:rsid w:val="00D87F76"/>
    <w:rsid w:val="00D923BB"/>
    <w:rsid w:val="00D97CAD"/>
    <w:rsid w:val="00DA574B"/>
    <w:rsid w:val="00DC6B03"/>
    <w:rsid w:val="00DD1F2F"/>
    <w:rsid w:val="00DD7265"/>
    <w:rsid w:val="00DD7F4A"/>
    <w:rsid w:val="00DE0676"/>
    <w:rsid w:val="00DE0B22"/>
    <w:rsid w:val="00DF3606"/>
    <w:rsid w:val="00E04ED5"/>
    <w:rsid w:val="00E05DDA"/>
    <w:rsid w:val="00E06033"/>
    <w:rsid w:val="00E07059"/>
    <w:rsid w:val="00E13A83"/>
    <w:rsid w:val="00E15FD5"/>
    <w:rsid w:val="00E22DD1"/>
    <w:rsid w:val="00E302F1"/>
    <w:rsid w:val="00E37880"/>
    <w:rsid w:val="00E57A52"/>
    <w:rsid w:val="00E66E6A"/>
    <w:rsid w:val="00E712D8"/>
    <w:rsid w:val="00E72B0D"/>
    <w:rsid w:val="00E81B49"/>
    <w:rsid w:val="00E82932"/>
    <w:rsid w:val="00E864C6"/>
    <w:rsid w:val="00E9013B"/>
    <w:rsid w:val="00E901F1"/>
    <w:rsid w:val="00E9380E"/>
    <w:rsid w:val="00E964B5"/>
    <w:rsid w:val="00EA3E72"/>
    <w:rsid w:val="00EB7248"/>
    <w:rsid w:val="00EB7779"/>
    <w:rsid w:val="00EC0062"/>
    <w:rsid w:val="00EC1304"/>
    <w:rsid w:val="00EC3D08"/>
    <w:rsid w:val="00EC3EE2"/>
    <w:rsid w:val="00EC4560"/>
    <w:rsid w:val="00EC5279"/>
    <w:rsid w:val="00ED02BE"/>
    <w:rsid w:val="00EE089A"/>
    <w:rsid w:val="00EE1F0E"/>
    <w:rsid w:val="00EE6105"/>
    <w:rsid w:val="00EE6D47"/>
    <w:rsid w:val="00EE71EE"/>
    <w:rsid w:val="00EF1B59"/>
    <w:rsid w:val="00F045C1"/>
    <w:rsid w:val="00F0479E"/>
    <w:rsid w:val="00F06610"/>
    <w:rsid w:val="00F128AA"/>
    <w:rsid w:val="00F1406C"/>
    <w:rsid w:val="00F2385D"/>
    <w:rsid w:val="00F31456"/>
    <w:rsid w:val="00F3195B"/>
    <w:rsid w:val="00F32031"/>
    <w:rsid w:val="00F32ECE"/>
    <w:rsid w:val="00F34C67"/>
    <w:rsid w:val="00F41887"/>
    <w:rsid w:val="00F43D8C"/>
    <w:rsid w:val="00F563B2"/>
    <w:rsid w:val="00F5748C"/>
    <w:rsid w:val="00F70567"/>
    <w:rsid w:val="00F8321D"/>
    <w:rsid w:val="00F87302"/>
    <w:rsid w:val="00F90086"/>
    <w:rsid w:val="00F9367C"/>
    <w:rsid w:val="00FA0383"/>
    <w:rsid w:val="00FB1D22"/>
    <w:rsid w:val="00FB1F39"/>
    <w:rsid w:val="00FB4E07"/>
    <w:rsid w:val="00FB63E3"/>
    <w:rsid w:val="00FB7D20"/>
    <w:rsid w:val="00FC05DE"/>
    <w:rsid w:val="00FC1402"/>
    <w:rsid w:val="00FC2B1D"/>
    <w:rsid w:val="00FD5E29"/>
    <w:rsid w:val="00FD77AA"/>
    <w:rsid w:val="00FF2A7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CEAD"/>
  <w15:docId w15:val="{7C5F6F89-3142-4501-9854-8F5034C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ap.ed.gov/ilibrary/document-types/federal-school-code-list" TargetMode="External"/><Relationship Id="rId5" Type="http://schemas.openxmlformats.org/officeDocument/2006/relationships/hyperlink" Target="https://ifap.ed.gov/ilibrary/document-types/federal-school-code-list" TargetMode="External"/><Relationship Id="rId4" Type="http://schemas.openxmlformats.org/officeDocument/2006/relationships/hyperlink" Target="https://www.ucl.ac.uk/prospective-students/scholarships/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Shanaz Begum</dc:creator>
  <cp:keywords/>
  <dc:description/>
  <cp:lastModifiedBy>Du Sautoy, Josh</cp:lastModifiedBy>
  <cp:revision>3</cp:revision>
  <dcterms:created xsi:type="dcterms:W3CDTF">2023-07-24T10:44:00Z</dcterms:created>
  <dcterms:modified xsi:type="dcterms:W3CDTF">2023-07-24T10:44:00Z</dcterms:modified>
</cp:coreProperties>
</file>