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0808E" w14:textId="77777777" w:rsidR="00322741" w:rsidRDefault="00322741" w:rsidP="00322741">
      <w:pPr>
        <w:pStyle w:val="Title"/>
        <w:rPr>
          <w:b/>
        </w:rPr>
      </w:pPr>
    </w:p>
    <w:p w14:paraId="746974FC" w14:textId="2E77D483" w:rsidR="00BB12BF" w:rsidRDefault="00322741" w:rsidP="00322741">
      <w:pPr>
        <w:pStyle w:val="Title"/>
        <w:rPr>
          <w:b/>
        </w:rPr>
      </w:pPr>
      <w:r w:rsidRPr="00322741">
        <w:rPr>
          <w:b/>
        </w:rPr>
        <w:t xml:space="preserve">UCL </w:t>
      </w:r>
      <w:r w:rsidR="00A21880" w:rsidRPr="00322741">
        <w:rPr>
          <w:b/>
        </w:rPr>
        <w:t>Standard</w:t>
      </w:r>
      <w:r w:rsidRPr="00322741">
        <w:rPr>
          <w:b/>
        </w:rPr>
        <w:t xml:space="preserve"> for Risk Assessment</w:t>
      </w:r>
    </w:p>
    <w:p w14:paraId="28034257" w14:textId="77777777" w:rsidR="00322741" w:rsidRPr="00322741" w:rsidRDefault="00322741" w:rsidP="00322741"/>
    <w:p w14:paraId="628B08A7" w14:textId="1397433F" w:rsidR="003333DB" w:rsidRPr="00322741" w:rsidRDefault="00A21880" w:rsidP="00322741">
      <w:pPr>
        <w:pStyle w:val="Heading1"/>
      </w:pPr>
      <w:r w:rsidRPr="00322741">
        <w:t>Scope</w:t>
      </w:r>
    </w:p>
    <w:p w14:paraId="06683C30" w14:textId="6057A96B" w:rsidR="00A21880" w:rsidRPr="00322741" w:rsidRDefault="003B5801" w:rsidP="00322741">
      <w:pPr>
        <w:pStyle w:val="Heading2"/>
      </w:pPr>
      <w:r>
        <w:t>This S</w:t>
      </w:r>
      <w:r w:rsidR="00A21880" w:rsidRPr="00322741">
        <w:t>tandard applies to risk assessment of work activities undertaken by UCL employees i.e. staff and post-graduate students. Specifically, it details the arrangements Departments must ha</w:t>
      </w:r>
      <w:r w:rsidR="00322741" w:rsidRPr="00322741">
        <w:t>ve in place to ensure that both t</w:t>
      </w:r>
      <w:r w:rsidR="00A21880" w:rsidRPr="00322741">
        <w:t xml:space="preserve">he process of assessment and the assessments themselves are suitable and sufficient. </w:t>
      </w:r>
    </w:p>
    <w:p w14:paraId="404C2B80" w14:textId="6E2AB7B8" w:rsidR="00411396" w:rsidRDefault="00A21880" w:rsidP="00322741">
      <w:pPr>
        <w:pStyle w:val="Heading2"/>
      </w:pPr>
      <w:r w:rsidRPr="00A21880">
        <w:t>It does not cover the process of assessment itself – guid</w:t>
      </w:r>
      <w:r w:rsidR="007F780F">
        <w:t xml:space="preserve">ance on this can be found </w:t>
      </w:r>
      <w:r w:rsidR="00322741">
        <w:t xml:space="preserve">at the following link </w:t>
      </w:r>
      <w:hyperlink r:id="rId7" w:history="1">
        <w:r w:rsidR="00322741" w:rsidRPr="00D464CD">
          <w:rPr>
            <w:rStyle w:val="Hyperlink"/>
          </w:rPr>
          <w:t>https://www.ucl.ac.uk/safety-services/a-z/risk-assessment</w:t>
        </w:r>
      </w:hyperlink>
      <w:r w:rsidR="00322741">
        <w:t xml:space="preserve">. </w:t>
      </w:r>
      <w:r w:rsidRPr="00A21880">
        <w:t xml:space="preserve"> </w:t>
      </w:r>
    </w:p>
    <w:p w14:paraId="18EF4323" w14:textId="56F727BB" w:rsidR="00A21880" w:rsidRPr="003333DB" w:rsidRDefault="00A21880" w:rsidP="00322741">
      <w:pPr>
        <w:pStyle w:val="Heading1"/>
      </w:pPr>
      <w:r>
        <w:t xml:space="preserve">Legal </w:t>
      </w:r>
      <w:r w:rsidR="00322741">
        <w:t>R</w:t>
      </w:r>
      <w:r>
        <w:t>equirements</w:t>
      </w:r>
    </w:p>
    <w:p w14:paraId="7DD6F22E" w14:textId="59825870" w:rsidR="00A21880" w:rsidRPr="00A21880" w:rsidRDefault="00A21880" w:rsidP="00322741">
      <w:pPr>
        <w:pStyle w:val="Heading2"/>
      </w:pPr>
      <w:r w:rsidRPr="00A21880">
        <w:t>The Management of Health and Safety at Work Reg</w:t>
      </w:r>
      <w:r w:rsidR="003B5801">
        <w:t>ulations require UCL to assess r</w:t>
      </w:r>
      <w:r w:rsidRPr="00A21880">
        <w:t xml:space="preserve">isks to the health and safety of anyone that may be affected by our activities – staff, students and others (e.g. visitors, contractors) so as to identify the measures needed to prevent and/or control harm. </w:t>
      </w:r>
    </w:p>
    <w:p w14:paraId="65AE63A2" w14:textId="21FC969E" w:rsidR="00A21880" w:rsidRDefault="00A21880" w:rsidP="00322741">
      <w:pPr>
        <w:pStyle w:val="Heading2"/>
        <w:rPr>
          <w:b/>
        </w:rPr>
      </w:pPr>
      <w:r w:rsidRPr="00A21880">
        <w:t>Other health and safety regulations also require assessment of specific risks and/or types of work. These may vary in detail required but the essentially the process of assessment is the same. In addition, an assessment does not necessarily have to be carried out more than once for the purpose of different regulations. The Management of Health and Safety at Work Regulations are broad in scope and cover all risks, with the more specific regulations setting out in more detail what needs to be considered as part of the assessment.</w:t>
      </w:r>
    </w:p>
    <w:p w14:paraId="61F991EE" w14:textId="4C93FB28" w:rsidR="00A21880" w:rsidRDefault="00A21880" w:rsidP="00322741">
      <w:pPr>
        <w:pStyle w:val="Heading1"/>
      </w:pPr>
      <w:r>
        <w:t>Definitions</w:t>
      </w:r>
    </w:p>
    <w:p w14:paraId="41D64F58" w14:textId="3928123A" w:rsidR="00DD5F06" w:rsidRPr="00322741" w:rsidRDefault="00322741" w:rsidP="00322741">
      <w:pPr>
        <w:pStyle w:val="Heading2"/>
      </w:pPr>
      <w:r>
        <w:rPr>
          <w:b/>
        </w:rPr>
        <w:t>“</w:t>
      </w:r>
      <w:r w:rsidR="00DD5F06" w:rsidRPr="00322741">
        <w:rPr>
          <w:b/>
        </w:rPr>
        <w:t>Department</w:t>
      </w:r>
      <w:r>
        <w:rPr>
          <w:b/>
        </w:rPr>
        <w:t>”</w:t>
      </w:r>
      <w:r w:rsidR="00DD5F06" w:rsidRPr="00322741">
        <w:t xml:space="preserve"> in the context of this </w:t>
      </w:r>
      <w:r w:rsidR="005D308F">
        <w:t>S</w:t>
      </w:r>
      <w:r w:rsidR="00DD5F06" w:rsidRPr="00322741">
        <w:t>tandard applies to UCL organisa</w:t>
      </w:r>
      <w:r w:rsidR="005D308F">
        <w:t>tional units immediately below f</w:t>
      </w:r>
      <w:r w:rsidR="00DD5F06" w:rsidRPr="00322741">
        <w:t xml:space="preserve">aculty level and therefore includes groups known as </w:t>
      </w:r>
      <w:r w:rsidR="005D308F">
        <w:t>d</w:t>
      </w:r>
      <w:r w:rsidR="00DD5F06" w:rsidRPr="00322741">
        <w:t xml:space="preserve">ivision, </w:t>
      </w:r>
      <w:r w:rsidR="005D308F">
        <w:t>i</w:t>
      </w:r>
      <w:r w:rsidR="00DD5F06" w:rsidRPr="00322741">
        <w:t>nstitute etc.</w:t>
      </w:r>
    </w:p>
    <w:p w14:paraId="439A1B7F" w14:textId="6E7637BC" w:rsidR="00806FD0" w:rsidRPr="00806FD0" w:rsidRDefault="00322741" w:rsidP="00322741">
      <w:pPr>
        <w:pStyle w:val="Heading2"/>
      </w:pPr>
      <w:r>
        <w:rPr>
          <w:b/>
        </w:rPr>
        <w:t>“</w:t>
      </w:r>
      <w:r w:rsidR="00806FD0" w:rsidRPr="00322741">
        <w:rPr>
          <w:b/>
        </w:rPr>
        <w:t>Hazard</w:t>
      </w:r>
      <w:r>
        <w:rPr>
          <w:b/>
        </w:rPr>
        <w:t>”</w:t>
      </w:r>
      <w:r w:rsidR="00806FD0" w:rsidRPr="00806FD0">
        <w:t xml:space="preserve"> is anything that has the potential to cause harm.  </w:t>
      </w:r>
    </w:p>
    <w:p w14:paraId="0A1DA537" w14:textId="42CC149A" w:rsidR="00806FD0" w:rsidRPr="00806FD0" w:rsidRDefault="00322741" w:rsidP="00322741">
      <w:pPr>
        <w:pStyle w:val="Heading2"/>
      </w:pPr>
      <w:r>
        <w:rPr>
          <w:b/>
        </w:rPr>
        <w:t>“</w:t>
      </w:r>
      <w:r w:rsidR="00806FD0" w:rsidRPr="00806FD0">
        <w:rPr>
          <w:b/>
        </w:rPr>
        <w:t>Harm</w:t>
      </w:r>
      <w:r>
        <w:rPr>
          <w:b/>
        </w:rPr>
        <w:t>”</w:t>
      </w:r>
      <w:r w:rsidR="00806FD0" w:rsidRPr="00806FD0">
        <w:t xml:space="preserve"> is usually considered to be injury or ill-health but it could also include damage to property, equipment or the environment. It could also include damage to reputation; personally, to the group you work with or to UCL in general.</w:t>
      </w:r>
    </w:p>
    <w:p w14:paraId="641715FB" w14:textId="614CCDA1" w:rsidR="00806FD0" w:rsidRPr="00806FD0" w:rsidRDefault="00322741" w:rsidP="00322741">
      <w:pPr>
        <w:pStyle w:val="Heading2"/>
      </w:pPr>
      <w:r>
        <w:rPr>
          <w:b/>
        </w:rPr>
        <w:t>“</w:t>
      </w:r>
      <w:r w:rsidR="00806FD0" w:rsidRPr="00DD5F06">
        <w:rPr>
          <w:b/>
        </w:rPr>
        <w:t>Risk</w:t>
      </w:r>
      <w:r>
        <w:rPr>
          <w:b/>
        </w:rPr>
        <w:t>”</w:t>
      </w:r>
      <w:r w:rsidR="00806FD0" w:rsidRPr="00806FD0">
        <w:t xml:space="preserve"> is the probability that harm could be caused by hazards, together with an indication of how serious the harm could be.</w:t>
      </w:r>
    </w:p>
    <w:p w14:paraId="5EA7E8A6" w14:textId="77777777" w:rsidR="005D308F" w:rsidRDefault="005D308F">
      <w:pPr>
        <w:spacing w:before="0" w:after="0"/>
        <w:rPr>
          <w:rFonts w:eastAsiaTheme="majorEastAsia" w:cstheme="majorBidi"/>
          <w:b/>
          <w:color w:val="000000" w:themeColor="text1"/>
          <w:sz w:val="28"/>
          <w:szCs w:val="32"/>
          <w:lang w:val="en-GB"/>
        </w:rPr>
      </w:pPr>
      <w:r>
        <w:br w:type="page"/>
      </w:r>
    </w:p>
    <w:p w14:paraId="0ECEFD6C" w14:textId="490EFA5F" w:rsidR="00A21880" w:rsidRDefault="005D308F" w:rsidP="005D308F">
      <w:pPr>
        <w:pStyle w:val="Heading1"/>
      </w:pPr>
      <w:r>
        <w:lastRenderedPageBreak/>
        <w:t>Departmental A</w:t>
      </w:r>
      <w:r w:rsidR="00A21880">
        <w:t>rrangements</w:t>
      </w:r>
    </w:p>
    <w:p w14:paraId="70B73756" w14:textId="3AB7E813" w:rsidR="00DD5F06" w:rsidRPr="00DD5F06" w:rsidRDefault="00DD5F06" w:rsidP="005D308F">
      <w:pPr>
        <w:pStyle w:val="Heading2"/>
      </w:pPr>
      <w:r w:rsidRPr="00DD5F06">
        <w:t>All work acti</w:t>
      </w:r>
      <w:r w:rsidR="005D308F">
        <w:t>vities that pose a significant R</w:t>
      </w:r>
      <w:r w:rsidRPr="00DD5F06">
        <w:t>isk must be assessed. Risks associated with life in general do not need to be considered, unless the work activity compounds</w:t>
      </w:r>
      <w:r w:rsidR="0053363C">
        <w:t xml:space="preserve"> or significantly alters those R</w:t>
      </w:r>
      <w:r w:rsidRPr="00DD5F06">
        <w:t xml:space="preserve">isks. Assessments should be clear as to what is covered but also clear as to any exclusions.   </w:t>
      </w:r>
    </w:p>
    <w:p w14:paraId="3FD2E4D0" w14:textId="0141B053" w:rsidR="00DD5F06" w:rsidRPr="00DD5F06" w:rsidRDefault="00DD5F06" w:rsidP="005D308F">
      <w:pPr>
        <w:pStyle w:val="Heading2"/>
      </w:pPr>
      <w:r w:rsidRPr="00DD5F06">
        <w:t xml:space="preserve">Assessments can be broad in scope </w:t>
      </w:r>
      <w:r w:rsidR="005D308F">
        <w:t>or address a particular H</w:t>
      </w:r>
      <w:r w:rsidRPr="00DD5F06">
        <w:t>azard arising from a work activity. This is par</w:t>
      </w:r>
      <w:r w:rsidR="005D308F">
        <w:t>ticularly the case for certain H</w:t>
      </w:r>
      <w:r w:rsidRPr="00DD5F06">
        <w:t xml:space="preserve">azards that require a specific approach to assessment and/or detailed information not relevant in more routine activity assessments. </w:t>
      </w:r>
    </w:p>
    <w:p w14:paraId="18A0E219" w14:textId="6110D383" w:rsidR="00DD5F06" w:rsidRPr="00DD5F06" w:rsidRDefault="005D308F" w:rsidP="005D308F">
      <w:pPr>
        <w:pStyle w:val="Heading2"/>
      </w:pPr>
      <w:r>
        <w:t>The use of the r</w:t>
      </w:r>
      <w:r w:rsidR="00DD5F06" w:rsidRPr="00DD5F06">
        <w:t xml:space="preserve">iskNET risk assessment </w:t>
      </w:r>
      <w:r w:rsidR="00DD5F06" w:rsidRPr="005D308F">
        <w:t xml:space="preserve">module is mandatory at UCL. </w:t>
      </w:r>
      <w:r>
        <w:t>Use of r</w:t>
      </w:r>
      <w:r w:rsidR="00DD5F06" w:rsidRPr="00DD5F06">
        <w:t>iskNET allows for recording of different types of activity assessment under one overarching title</w:t>
      </w:r>
      <w:r w:rsidR="00DD5F06">
        <w:t>, for example</w:t>
      </w:r>
      <w:r w:rsidR="00DD5F06" w:rsidRPr="00DD5F06">
        <w:t xml:space="preserve"> covering a whole research project.  </w:t>
      </w:r>
    </w:p>
    <w:p w14:paraId="6F0E8716" w14:textId="677F7136" w:rsidR="00DD5F06" w:rsidRPr="00DD5F06" w:rsidRDefault="00DD5F06" w:rsidP="005D308F">
      <w:pPr>
        <w:pStyle w:val="Heading2"/>
      </w:pPr>
      <w:r w:rsidRPr="00DD5F06">
        <w:t xml:space="preserve">The level of detail needed in any assessment </w:t>
      </w:r>
      <w:r w:rsidR="005D308F">
        <w:t>should be in proportion to the R</w:t>
      </w:r>
      <w:r w:rsidRPr="00DD5F06">
        <w:t>isk associate</w:t>
      </w:r>
      <w:r w:rsidR="005D308F">
        <w:t>d with the work activity. More H</w:t>
      </w:r>
      <w:r w:rsidRPr="00DD5F06">
        <w:t xml:space="preserve">azardous activities may require more detail and/or more sophisticated approaches to assessment.  </w:t>
      </w:r>
    </w:p>
    <w:p w14:paraId="4D93D5F8" w14:textId="3BE6E774" w:rsidR="00DD5F06" w:rsidRPr="00DD5F06" w:rsidRDefault="00DD5F06" w:rsidP="005D308F">
      <w:pPr>
        <w:pStyle w:val="Heading2"/>
      </w:pPr>
      <w:r w:rsidRPr="00DD5F06">
        <w:t>Local arrangements for assessment must be documented and approved by the Head of Department and must address the matters outlined in the table below.</w:t>
      </w:r>
    </w:p>
    <w:tbl>
      <w:tblPr>
        <w:tblStyle w:val="TableGrid"/>
        <w:tblW w:w="0" w:type="auto"/>
        <w:tblInd w:w="562" w:type="dxa"/>
        <w:tblLook w:val="04A0" w:firstRow="1" w:lastRow="0" w:firstColumn="1" w:lastColumn="0" w:noHBand="0" w:noVBand="1"/>
      </w:tblPr>
      <w:tblGrid>
        <w:gridCol w:w="1879"/>
        <w:gridCol w:w="7181"/>
      </w:tblGrid>
      <w:tr w:rsidR="005D308F" w:rsidRPr="005D308F" w14:paraId="41A84160" w14:textId="77777777" w:rsidTr="005D308F">
        <w:trPr>
          <w:cantSplit/>
          <w:tblHeader/>
        </w:trPr>
        <w:tc>
          <w:tcPr>
            <w:tcW w:w="1560" w:type="dxa"/>
            <w:shd w:val="clear" w:color="auto" w:fill="808080" w:themeFill="background1" w:themeFillShade="80"/>
            <w:vAlign w:val="center"/>
          </w:tcPr>
          <w:p w14:paraId="00BE2432" w14:textId="0EA5E5E4" w:rsidR="00DD5F06" w:rsidRPr="005D308F" w:rsidRDefault="00DD5F06" w:rsidP="00DD5F06">
            <w:pPr>
              <w:rPr>
                <w:b/>
                <w:color w:val="000000" w:themeColor="text1"/>
                <w:lang w:val="en-GB"/>
              </w:rPr>
            </w:pPr>
            <w:r w:rsidRPr="005D308F">
              <w:rPr>
                <w:b/>
                <w:color w:val="000000" w:themeColor="text1"/>
                <w:lang w:val="en-GB"/>
              </w:rPr>
              <w:t>Item</w:t>
            </w:r>
          </w:p>
        </w:tc>
        <w:tc>
          <w:tcPr>
            <w:tcW w:w="7500" w:type="dxa"/>
            <w:shd w:val="clear" w:color="auto" w:fill="808080" w:themeFill="background1" w:themeFillShade="80"/>
            <w:vAlign w:val="center"/>
          </w:tcPr>
          <w:p w14:paraId="197F3F33" w14:textId="2F1233E2" w:rsidR="00DD5F06" w:rsidRPr="005D308F" w:rsidRDefault="00DD5F06" w:rsidP="00DD5F06">
            <w:pPr>
              <w:rPr>
                <w:b/>
                <w:color w:val="000000" w:themeColor="text1"/>
                <w:lang w:val="en-GB"/>
              </w:rPr>
            </w:pPr>
            <w:r w:rsidRPr="005D308F">
              <w:rPr>
                <w:b/>
                <w:color w:val="000000" w:themeColor="text1"/>
                <w:lang w:val="en-GB"/>
              </w:rPr>
              <w:t>Considerations</w:t>
            </w:r>
          </w:p>
        </w:tc>
      </w:tr>
      <w:tr w:rsidR="00DD5F06" w14:paraId="71F2BA27" w14:textId="77777777" w:rsidTr="005D308F">
        <w:trPr>
          <w:cantSplit/>
        </w:trPr>
        <w:tc>
          <w:tcPr>
            <w:tcW w:w="1560" w:type="dxa"/>
            <w:shd w:val="clear" w:color="auto" w:fill="808080" w:themeFill="background1" w:themeFillShade="80"/>
            <w:vAlign w:val="center"/>
          </w:tcPr>
          <w:p w14:paraId="6EE0C78B" w14:textId="51024025" w:rsidR="00DD5F06" w:rsidRPr="005D308F" w:rsidRDefault="00DD5F06" w:rsidP="00DD5F06">
            <w:pPr>
              <w:rPr>
                <w:b/>
                <w:color w:val="000000" w:themeColor="text1"/>
                <w:lang w:val="en-GB"/>
              </w:rPr>
            </w:pPr>
            <w:r w:rsidRPr="005D308F">
              <w:rPr>
                <w:b/>
                <w:color w:val="000000" w:themeColor="text1"/>
              </w:rPr>
              <w:t>Who can carry out assessments</w:t>
            </w:r>
          </w:p>
        </w:tc>
        <w:tc>
          <w:tcPr>
            <w:tcW w:w="7500" w:type="dxa"/>
            <w:vAlign w:val="center"/>
          </w:tcPr>
          <w:p w14:paraId="6F456843" w14:textId="77777777" w:rsidR="005D308F" w:rsidRDefault="00DD5F06" w:rsidP="005D308F">
            <w:pPr>
              <w:pStyle w:val="ListParagraph"/>
              <w:numPr>
                <w:ilvl w:val="0"/>
                <w:numId w:val="10"/>
              </w:numPr>
              <w:spacing w:before="120" w:after="120"/>
              <w:ind w:left="427" w:hanging="425"/>
              <w:outlineLvl w:val="0"/>
            </w:pPr>
            <w:r w:rsidRPr="00254748">
              <w:t xml:space="preserve">Those carrying out assessments should be competent </w:t>
            </w:r>
            <w:r w:rsidR="004369E5" w:rsidRPr="00254748">
              <w:t>i.e.</w:t>
            </w:r>
            <w:r w:rsidRPr="00254748">
              <w:t xml:space="preserve"> have sufficient knowledge, skills and experience to undertake the assessment</w:t>
            </w:r>
            <w:r w:rsidR="004369E5">
              <w:t>.</w:t>
            </w:r>
          </w:p>
          <w:p w14:paraId="5C127F93" w14:textId="77777777" w:rsidR="005D308F" w:rsidRDefault="00DD5F06" w:rsidP="005D308F">
            <w:pPr>
              <w:pStyle w:val="ListParagraph"/>
              <w:numPr>
                <w:ilvl w:val="0"/>
                <w:numId w:val="10"/>
              </w:numPr>
              <w:spacing w:before="120" w:after="120"/>
              <w:ind w:left="427" w:hanging="425"/>
              <w:outlineLvl w:val="0"/>
            </w:pPr>
            <w:r w:rsidRPr="00254748">
              <w:t>If they are not directly involved in the activity being assessed, they must involve/consult those carrying out the work.</w:t>
            </w:r>
            <w:r w:rsidR="004369E5">
              <w:t xml:space="preserve"> </w:t>
            </w:r>
          </w:p>
          <w:p w14:paraId="4054028D" w14:textId="16CE5B35" w:rsidR="00DD5F06" w:rsidRPr="004369E5" w:rsidRDefault="00DD5F06" w:rsidP="005D308F">
            <w:pPr>
              <w:pStyle w:val="ListParagraph"/>
              <w:numPr>
                <w:ilvl w:val="0"/>
                <w:numId w:val="10"/>
              </w:numPr>
              <w:spacing w:before="120" w:after="120"/>
              <w:ind w:left="427" w:hanging="425"/>
              <w:outlineLvl w:val="0"/>
            </w:pPr>
            <w:r w:rsidRPr="00254748">
              <w:t xml:space="preserve">The ability to carry out </w:t>
            </w:r>
            <w:r w:rsidR="0053363C">
              <w:t>a r</w:t>
            </w:r>
            <w:r w:rsidR="004369E5">
              <w:t xml:space="preserve">isk </w:t>
            </w:r>
            <w:r w:rsidRPr="00254748">
              <w:t>assessment may require specific train</w:t>
            </w:r>
            <w:r w:rsidR="004369E5">
              <w:t xml:space="preserve">ing and/or specialist input; </w:t>
            </w:r>
            <w:r w:rsidRPr="00254748">
              <w:t>see section below</w:t>
            </w:r>
            <w:r w:rsidR="004369E5">
              <w:t xml:space="preserve"> on training</w:t>
            </w:r>
            <w:r w:rsidRPr="00254748">
              <w:t>.</w:t>
            </w:r>
          </w:p>
        </w:tc>
      </w:tr>
      <w:tr w:rsidR="00DD5F06" w14:paraId="09DA5272" w14:textId="77777777" w:rsidTr="005D308F">
        <w:trPr>
          <w:cantSplit/>
        </w:trPr>
        <w:tc>
          <w:tcPr>
            <w:tcW w:w="1560" w:type="dxa"/>
            <w:shd w:val="clear" w:color="auto" w:fill="808080" w:themeFill="background1" w:themeFillShade="80"/>
            <w:vAlign w:val="center"/>
          </w:tcPr>
          <w:p w14:paraId="07DC6FB2" w14:textId="5E63A893" w:rsidR="00DD5F06" w:rsidRPr="005D308F" w:rsidRDefault="00DD5F06" w:rsidP="00DD5F06">
            <w:pPr>
              <w:rPr>
                <w:b/>
                <w:color w:val="000000" w:themeColor="text1"/>
                <w:lang w:val="en-GB"/>
              </w:rPr>
            </w:pPr>
            <w:r w:rsidRPr="005D308F">
              <w:rPr>
                <w:b/>
                <w:color w:val="000000" w:themeColor="text1"/>
              </w:rPr>
              <w:t>Peer review</w:t>
            </w:r>
          </w:p>
        </w:tc>
        <w:tc>
          <w:tcPr>
            <w:tcW w:w="7500" w:type="dxa"/>
            <w:vAlign w:val="center"/>
          </w:tcPr>
          <w:p w14:paraId="5A3335AB" w14:textId="676F6D1D" w:rsidR="004369E5" w:rsidRDefault="00DD5F06" w:rsidP="003B5801">
            <w:pPr>
              <w:pStyle w:val="ListParagraph"/>
              <w:numPr>
                <w:ilvl w:val="0"/>
                <w:numId w:val="10"/>
              </w:numPr>
              <w:spacing w:before="120" w:after="120"/>
              <w:ind w:left="427" w:hanging="425"/>
              <w:outlineLvl w:val="0"/>
            </w:pPr>
            <w:r w:rsidRPr="00254748">
              <w:t xml:space="preserve">Preparation of assessments </w:t>
            </w:r>
            <w:r w:rsidR="00B85A70">
              <w:t>should</w:t>
            </w:r>
            <w:r w:rsidRPr="00254748">
              <w:t xml:space="preserve"> always involve those carrying out th</w:t>
            </w:r>
            <w:r w:rsidR="004369E5">
              <w:t>e work but certain assessments, for example</w:t>
            </w:r>
            <w:r w:rsidRPr="00254748">
              <w:t xml:space="preserve"> high risk, complex and/or novel work may also need additional scrutiny by a com</w:t>
            </w:r>
            <w:r w:rsidR="004369E5">
              <w:t xml:space="preserve">petent independent individual. </w:t>
            </w:r>
          </w:p>
          <w:p w14:paraId="12299464" w14:textId="57959040" w:rsidR="00DD5F06" w:rsidRPr="00254748" w:rsidRDefault="004369E5" w:rsidP="003B5801">
            <w:pPr>
              <w:pStyle w:val="ListParagraph"/>
              <w:numPr>
                <w:ilvl w:val="0"/>
                <w:numId w:val="10"/>
              </w:numPr>
              <w:spacing w:before="120" w:after="120"/>
              <w:ind w:left="427" w:hanging="425"/>
              <w:outlineLvl w:val="0"/>
            </w:pPr>
            <w:r>
              <w:t>T</w:t>
            </w:r>
            <w:r w:rsidR="00DD5F06" w:rsidRPr="00254748">
              <w:t>here are specific requirements for scrutiny of assessments for work with</w:t>
            </w:r>
            <w:r w:rsidR="005D308F" w:rsidRPr="00443BB6">
              <w:t xml:space="preserve"> </w:t>
            </w:r>
            <w:r w:rsidR="005D308F" w:rsidRPr="005D308F">
              <w:t>g</w:t>
            </w:r>
            <w:r w:rsidR="005D308F" w:rsidRPr="005D308F">
              <w:rPr>
                <w:rStyle w:val="Hyperlink"/>
                <w:color w:val="auto"/>
                <w:u w:val="none"/>
              </w:rPr>
              <w:t>enetically modified organisms</w:t>
            </w:r>
            <w:r w:rsidR="005D308F">
              <w:rPr>
                <w:rStyle w:val="Hyperlink"/>
                <w:color w:val="auto"/>
                <w:u w:val="none"/>
              </w:rPr>
              <w:t>. See following link for further information</w:t>
            </w:r>
            <w:r w:rsidR="005D308F">
              <w:t xml:space="preserve"> </w:t>
            </w:r>
            <w:hyperlink r:id="rId8" w:history="1">
              <w:r w:rsidR="005D308F" w:rsidRPr="005D308F">
                <w:rPr>
                  <w:rStyle w:val="Hyperlink"/>
                  <w:rFonts w:eastAsiaTheme="majorEastAsia" w:cstheme="majorBidi"/>
                  <w:szCs w:val="22"/>
                  <w:lang w:val="en-GB"/>
                </w:rPr>
                <w:t>https://www.ucl.ac.uk/safety-services/a-z/genetic-modification</w:t>
              </w:r>
            </w:hyperlink>
            <w:r>
              <w:t>.</w:t>
            </w:r>
          </w:p>
          <w:p w14:paraId="2EB5A727" w14:textId="1C742C64" w:rsidR="00DD5F06" w:rsidRPr="005D308F" w:rsidRDefault="00DD5F06" w:rsidP="003B5801">
            <w:pPr>
              <w:pStyle w:val="ListParagraph"/>
              <w:numPr>
                <w:ilvl w:val="0"/>
                <w:numId w:val="10"/>
              </w:numPr>
              <w:ind w:left="427" w:hanging="425"/>
            </w:pPr>
            <w:r w:rsidRPr="00254748">
              <w:t>Departmental Safety Officer</w:t>
            </w:r>
            <w:r w:rsidR="004369E5">
              <w:t xml:space="preserve">s </w:t>
            </w:r>
            <w:r w:rsidRPr="00254748">
              <w:t xml:space="preserve">may be involved in </w:t>
            </w:r>
            <w:r w:rsidR="005D308F">
              <w:t xml:space="preserve">the </w:t>
            </w:r>
            <w:r w:rsidR="004369E5">
              <w:t xml:space="preserve">risk assessment </w:t>
            </w:r>
            <w:r w:rsidRPr="00254748">
              <w:t xml:space="preserve">review process as a means of checking </w:t>
            </w:r>
            <w:r w:rsidR="005D308F">
              <w:t xml:space="preserve">the </w:t>
            </w:r>
            <w:r w:rsidRPr="00254748">
              <w:t xml:space="preserve">impact of the work on other activities in the </w:t>
            </w:r>
            <w:r w:rsidR="005D308F">
              <w:t>D</w:t>
            </w:r>
            <w:r w:rsidRPr="00254748">
              <w:t>epartment</w:t>
            </w:r>
            <w:r w:rsidR="004369E5">
              <w:t xml:space="preserve"> </w:t>
            </w:r>
            <w:r w:rsidRPr="00254748">
              <w:t xml:space="preserve">or </w:t>
            </w:r>
            <w:r w:rsidR="004369E5">
              <w:t xml:space="preserve">if new </w:t>
            </w:r>
            <w:r w:rsidR="005D308F">
              <w:t>H</w:t>
            </w:r>
            <w:r w:rsidRPr="00254748">
              <w:t>azards</w:t>
            </w:r>
            <w:r w:rsidR="005D308F">
              <w:t xml:space="preserve"> are being introduced into the D</w:t>
            </w:r>
            <w:r w:rsidRPr="00254748">
              <w:t>epartment.</w:t>
            </w:r>
          </w:p>
        </w:tc>
      </w:tr>
      <w:tr w:rsidR="00DD5F06" w14:paraId="0FB8700D" w14:textId="77777777" w:rsidTr="005D308F">
        <w:trPr>
          <w:cantSplit/>
        </w:trPr>
        <w:tc>
          <w:tcPr>
            <w:tcW w:w="1560" w:type="dxa"/>
            <w:shd w:val="clear" w:color="auto" w:fill="808080" w:themeFill="background1" w:themeFillShade="80"/>
            <w:vAlign w:val="center"/>
          </w:tcPr>
          <w:p w14:paraId="179999A3" w14:textId="17DBCAF1" w:rsidR="00DD5F06" w:rsidRPr="005D308F" w:rsidRDefault="004369E5" w:rsidP="00DD5F06">
            <w:pPr>
              <w:rPr>
                <w:b/>
                <w:color w:val="000000" w:themeColor="text1"/>
                <w:lang w:val="en-GB"/>
              </w:rPr>
            </w:pPr>
            <w:r w:rsidRPr="005D308F">
              <w:rPr>
                <w:b/>
                <w:color w:val="000000" w:themeColor="text1"/>
              </w:rPr>
              <w:t>Approval</w:t>
            </w:r>
            <w:r w:rsidR="00DD5F06" w:rsidRPr="005D308F">
              <w:rPr>
                <w:b/>
                <w:color w:val="000000" w:themeColor="text1"/>
              </w:rPr>
              <w:t xml:space="preserve"> </w:t>
            </w:r>
          </w:p>
        </w:tc>
        <w:tc>
          <w:tcPr>
            <w:tcW w:w="7500" w:type="dxa"/>
            <w:vAlign w:val="center"/>
          </w:tcPr>
          <w:p w14:paraId="6FFB2491" w14:textId="50891929" w:rsidR="00DD5F06" w:rsidRPr="00254748" w:rsidRDefault="00DD5F06" w:rsidP="003B5801">
            <w:pPr>
              <w:pStyle w:val="ListParagraph"/>
              <w:numPr>
                <w:ilvl w:val="0"/>
                <w:numId w:val="10"/>
              </w:numPr>
              <w:spacing w:before="120" w:after="120"/>
              <w:ind w:left="427" w:hanging="425"/>
              <w:outlineLvl w:val="0"/>
            </w:pPr>
            <w:r w:rsidRPr="00254748">
              <w:t xml:space="preserve">Assessments should be </w:t>
            </w:r>
            <w:r w:rsidR="004369E5">
              <w:t>approved</w:t>
            </w:r>
            <w:r w:rsidRPr="00254748">
              <w:t xml:space="preserve"> by the person in m</w:t>
            </w:r>
            <w:r w:rsidR="004369E5">
              <w:t>anagement control of the work</w:t>
            </w:r>
            <w:r w:rsidR="00B85A70">
              <w:t xml:space="preserve"> with suitable experience and knowledge for the work being assessed</w:t>
            </w:r>
            <w:r w:rsidR="004369E5">
              <w:t>, for example the Principle Investigator. C</w:t>
            </w:r>
            <w:r w:rsidRPr="00254748">
              <w:t xml:space="preserve">ertain activities may require a higher level of </w:t>
            </w:r>
            <w:r w:rsidR="004369E5">
              <w:t>approval</w:t>
            </w:r>
            <w:r w:rsidRPr="00254748">
              <w:t xml:space="preserve"> because of the </w:t>
            </w:r>
            <w:r w:rsidR="005D308F">
              <w:t>R</w:t>
            </w:r>
            <w:r w:rsidRPr="00254748">
              <w:t>isk posed by the work, even with identified controls in place.</w:t>
            </w:r>
          </w:p>
          <w:p w14:paraId="7AA7BADB" w14:textId="5BD46E25" w:rsidR="00DD5F06" w:rsidRPr="005D308F" w:rsidRDefault="004369E5" w:rsidP="003B5801">
            <w:pPr>
              <w:pStyle w:val="ListParagraph"/>
              <w:numPr>
                <w:ilvl w:val="0"/>
                <w:numId w:val="10"/>
              </w:numPr>
              <w:spacing w:before="120" w:after="120"/>
              <w:ind w:left="427" w:hanging="425"/>
              <w:outlineLvl w:val="0"/>
            </w:pPr>
            <w:r>
              <w:t xml:space="preserve">A Departmental Safety Officer </w:t>
            </w:r>
            <w:r w:rsidR="00DD5F06" w:rsidRPr="00254748">
              <w:t>should not be solely responsi</w:t>
            </w:r>
            <w:r>
              <w:t xml:space="preserve">ble for approving assessments </w:t>
            </w:r>
            <w:r w:rsidR="00DD5F06" w:rsidRPr="00254748">
              <w:t xml:space="preserve">but may be a </w:t>
            </w:r>
            <w:r>
              <w:t>joint approver for assurance purposes.</w:t>
            </w:r>
          </w:p>
        </w:tc>
      </w:tr>
      <w:tr w:rsidR="00DD5F06" w14:paraId="1B9A518E" w14:textId="77777777" w:rsidTr="005D308F">
        <w:trPr>
          <w:cantSplit/>
        </w:trPr>
        <w:tc>
          <w:tcPr>
            <w:tcW w:w="1560" w:type="dxa"/>
            <w:shd w:val="clear" w:color="auto" w:fill="808080" w:themeFill="background1" w:themeFillShade="80"/>
            <w:vAlign w:val="center"/>
          </w:tcPr>
          <w:p w14:paraId="31AF6C61" w14:textId="2FE9AD98" w:rsidR="00DD5F06" w:rsidRPr="005D308F" w:rsidRDefault="00DD5F06" w:rsidP="00DD5F06">
            <w:pPr>
              <w:rPr>
                <w:b/>
                <w:color w:val="000000" w:themeColor="text1"/>
                <w:lang w:val="en-GB"/>
              </w:rPr>
            </w:pPr>
            <w:r w:rsidRPr="005D308F">
              <w:rPr>
                <w:b/>
                <w:color w:val="000000" w:themeColor="text1"/>
              </w:rPr>
              <w:t xml:space="preserve">Recording </w:t>
            </w:r>
          </w:p>
        </w:tc>
        <w:tc>
          <w:tcPr>
            <w:tcW w:w="7500" w:type="dxa"/>
            <w:vAlign w:val="center"/>
          </w:tcPr>
          <w:p w14:paraId="31DD8DEB" w14:textId="7D4BEE82" w:rsidR="00DD5F06" w:rsidRPr="003B5801" w:rsidRDefault="004369E5" w:rsidP="003B5801">
            <w:pPr>
              <w:pStyle w:val="ListParagraph"/>
              <w:numPr>
                <w:ilvl w:val="0"/>
                <w:numId w:val="10"/>
              </w:numPr>
              <w:ind w:left="427" w:hanging="425"/>
              <w:rPr>
                <w:lang w:val="en-GB"/>
              </w:rPr>
            </w:pPr>
            <w:r w:rsidRPr="003B5801">
              <w:rPr>
                <w:color w:val="000000" w:themeColor="text1"/>
              </w:rPr>
              <w:t xml:space="preserve">Risk assessments must be recorded online using the </w:t>
            </w:r>
            <w:r w:rsidR="003B5801" w:rsidRPr="003B5801">
              <w:rPr>
                <w:color w:val="000000" w:themeColor="text1"/>
              </w:rPr>
              <w:t>r</w:t>
            </w:r>
            <w:r w:rsidR="00DD5F06" w:rsidRPr="003B5801">
              <w:rPr>
                <w:color w:val="000000" w:themeColor="text1"/>
              </w:rPr>
              <w:t xml:space="preserve">iskNET </w:t>
            </w:r>
            <w:r w:rsidRPr="003B5801">
              <w:rPr>
                <w:color w:val="000000" w:themeColor="text1"/>
              </w:rPr>
              <w:t xml:space="preserve">database. </w:t>
            </w:r>
            <w:proofErr w:type="gramStart"/>
            <w:r w:rsidR="003B5801">
              <w:rPr>
                <w:color w:val="000000" w:themeColor="text1"/>
              </w:rPr>
              <w:t>r</w:t>
            </w:r>
            <w:r w:rsidRPr="003B5801">
              <w:rPr>
                <w:color w:val="000000" w:themeColor="text1"/>
              </w:rPr>
              <w:t>iskNET</w:t>
            </w:r>
            <w:proofErr w:type="gramEnd"/>
            <w:r w:rsidRPr="003B5801">
              <w:rPr>
                <w:color w:val="000000" w:themeColor="text1"/>
              </w:rPr>
              <w:t xml:space="preserve"> </w:t>
            </w:r>
            <w:r w:rsidR="00DD5F06" w:rsidRPr="003B5801">
              <w:rPr>
                <w:color w:val="000000" w:themeColor="text1"/>
              </w:rPr>
              <w:t>provides a central, searchable datab</w:t>
            </w:r>
            <w:r w:rsidRPr="003B5801">
              <w:rPr>
                <w:color w:val="000000" w:themeColor="text1"/>
              </w:rPr>
              <w:t>ase of departmental assessments and helps ensure they are suitable and sufficient.</w:t>
            </w:r>
          </w:p>
        </w:tc>
      </w:tr>
      <w:tr w:rsidR="00DD5F06" w14:paraId="5FE39286" w14:textId="77777777" w:rsidTr="005D308F">
        <w:trPr>
          <w:cantSplit/>
        </w:trPr>
        <w:tc>
          <w:tcPr>
            <w:tcW w:w="1560" w:type="dxa"/>
            <w:shd w:val="clear" w:color="auto" w:fill="808080" w:themeFill="background1" w:themeFillShade="80"/>
            <w:vAlign w:val="center"/>
          </w:tcPr>
          <w:p w14:paraId="0A377E9E" w14:textId="32B57EEE" w:rsidR="00DD5F06" w:rsidRPr="005D308F" w:rsidRDefault="00DD5F06" w:rsidP="00DD5F06">
            <w:pPr>
              <w:rPr>
                <w:b/>
                <w:color w:val="000000" w:themeColor="text1"/>
                <w:lang w:val="en-GB"/>
              </w:rPr>
            </w:pPr>
            <w:r w:rsidRPr="005D308F">
              <w:rPr>
                <w:b/>
                <w:color w:val="000000" w:themeColor="text1"/>
              </w:rPr>
              <w:t>Communication</w:t>
            </w:r>
          </w:p>
        </w:tc>
        <w:tc>
          <w:tcPr>
            <w:tcW w:w="7500" w:type="dxa"/>
          </w:tcPr>
          <w:p w14:paraId="203C83FD" w14:textId="77777777" w:rsidR="003B5801" w:rsidRDefault="00DD5F06" w:rsidP="003B5801">
            <w:pPr>
              <w:pStyle w:val="ListParagraph"/>
              <w:numPr>
                <w:ilvl w:val="0"/>
                <w:numId w:val="10"/>
              </w:numPr>
              <w:spacing w:before="120" w:after="120"/>
              <w:ind w:left="427" w:hanging="425"/>
              <w:outlineLvl w:val="0"/>
            </w:pPr>
            <w:r w:rsidRPr="00254748">
              <w:t xml:space="preserve">The findings of </w:t>
            </w:r>
            <w:r w:rsidR="004369E5">
              <w:t xml:space="preserve">risk </w:t>
            </w:r>
            <w:r w:rsidRPr="00254748">
              <w:t>assessment</w:t>
            </w:r>
            <w:r w:rsidR="004369E5">
              <w:t xml:space="preserve">s, </w:t>
            </w:r>
            <w:r w:rsidRPr="00254748">
              <w:t xml:space="preserve">in particular </w:t>
            </w:r>
            <w:r w:rsidR="004369E5">
              <w:t xml:space="preserve">the control measures identified, </w:t>
            </w:r>
            <w:r w:rsidRPr="00254748">
              <w:t>must be communicated to all tho</w:t>
            </w:r>
            <w:r w:rsidR="004369E5">
              <w:t>se carrying out, or affected by the work. T</w:t>
            </w:r>
            <w:r w:rsidRPr="00254748">
              <w:t xml:space="preserve">his can be achieved by use of the distribution list </w:t>
            </w:r>
            <w:r w:rsidR="003B5801">
              <w:t>in r</w:t>
            </w:r>
            <w:r w:rsidR="004369E5">
              <w:t xml:space="preserve">iskNET </w:t>
            </w:r>
            <w:r w:rsidRPr="00254748">
              <w:t xml:space="preserve">which automatically informs an individual when </w:t>
            </w:r>
            <w:r w:rsidR="004369E5">
              <w:t xml:space="preserve">a risk assessment is approved. </w:t>
            </w:r>
          </w:p>
          <w:p w14:paraId="65C2947F" w14:textId="7E3DB458" w:rsidR="00DD5F06" w:rsidRPr="00254748" w:rsidRDefault="00DD5F06" w:rsidP="003B5801">
            <w:pPr>
              <w:pStyle w:val="ListParagraph"/>
              <w:numPr>
                <w:ilvl w:val="0"/>
                <w:numId w:val="10"/>
              </w:numPr>
              <w:spacing w:before="120" w:after="120"/>
              <w:ind w:left="427" w:hanging="425"/>
              <w:outlineLvl w:val="0"/>
            </w:pPr>
            <w:r w:rsidRPr="00254748">
              <w:t xml:space="preserve">Other means of communication </w:t>
            </w:r>
            <w:r w:rsidR="004369E5">
              <w:t>should be considered, including use of ‘</w:t>
            </w:r>
            <w:r w:rsidRPr="00254748">
              <w:t>tool-box talks</w:t>
            </w:r>
            <w:r w:rsidR="004369E5">
              <w:t>’ (presentations)</w:t>
            </w:r>
            <w:r w:rsidRPr="00254748">
              <w:t xml:space="preserve"> </w:t>
            </w:r>
            <w:r w:rsidR="004369E5">
              <w:t xml:space="preserve">which may be more appropriate for groups without regular computer access such as cleaners and </w:t>
            </w:r>
            <w:r w:rsidRPr="00254748">
              <w:t xml:space="preserve">security staff.  </w:t>
            </w:r>
          </w:p>
          <w:p w14:paraId="0E013890" w14:textId="2DDA425D" w:rsidR="00DD5F06" w:rsidRPr="003B5801" w:rsidRDefault="00DD5F06" w:rsidP="003B5801">
            <w:pPr>
              <w:pStyle w:val="ListParagraph"/>
              <w:numPr>
                <w:ilvl w:val="0"/>
                <w:numId w:val="10"/>
              </w:numPr>
              <w:ind w:left="427" w:hanging="425"/>
              <w:rPr>
                <w:lang w:val="en-GB"/>
              </w:rPr>
            </w:pPr>
            <w:r w:rsidRPr="00254748">
              <w:t>Departmental Codes of Practice</w:t>
            </w:r>
            <w:r w:rsidR="004369E5">
              <w:t xml:space="preserve"> or </w:t>
            </w:r>
            <w:r w:rsidRPr="00254748">
              <w:t xml:space="preserve">Standard Operating Procedures </w:t>
            </w:r>
            <w:r w:rsidR="003B5801">
              <w:t xml:space="preserve">(“SOP”) </w:t>
            </w:r>
            <w:r w:rsidRPr="00254748">
              <w:t xml:space="preserve">may also be used to communicate findings of assessments and in particular the controls </w:t>
            </w:r>
            <w:r w:rsidR="006F360E">
              <w:t>measures identified.</w:t>
            </w:r>
          </w:p>
        </w:tc>
      </w:tr>
      <w:tr w:rsidR="00DD5F06" w14:paraId="6E2FB6A7" w14:textId="77777777" w:rsidTr="005D308F">
        <w:trPr>
          <w:cantSplit/>
        </w:trPr>
        <w:tc>
          <w:tcPr>
            <w:tcW w:w="1560" w:type="dxa"/>
            <w:shd w:val="clear" w:color="auto" w:fill="808080" w:themeFill="background1" w:themeFillShade="80"/>
            <w:vAlign w:val="center"/>
          </w:tcPr>
          <w:p w14:paraId="387910F2" w14:textId="77D33AB6" w:rsidR="00DD5F06" w:rsidRPr="005D308F" w:rsidRDefault="00DD5F06" w:rsidP="00DD5F06">
            <w:pPr>
              <w:rPr>
                <w:b/>
                <w:color w:val="000000" w:themeColor="text1"/>
                <w:lang w:val="en-GB"/>
              </w:rPr>
            </w:pPr>
            <w:r w:rsidRPr="005D308F">
              <w:rPr>
                <w:b/>
                <w:color w:val="000000" w:themeColor="text1"/>
              </w:rPr>
              <w:t>Training requirements</w:t>
            </w:r>
          </w:p>
        </w:tc>
        <w:tc>
          <w:tcPr>
            <w:tcW w:w="7500" w:type="dxa"/>
          </w:tcPr>
          <w:p w14:paraId="2E1F8C7D" w14:textId="54AAE50B" w:rsidR="00DD5F06" w:rsidRPr="003B5801" w:rsidRDefault="00DD5F06" w:rsidP="003B5801">
            <w:pPr>
              <w:pStyle w:val="ListParagraph"/>
              <w:numPr>
                <w:ilvl w:val="0"/>
                <w:numId w:val="10"/>
              </w:numPr>
              <w:spacing w:before="120" w:after="120"/>
              <w:ind w:left="427" w:hanging="425"/>
              <w:outlineLvl w:val="0"/>
              <w:rPr>
                <w:color w:val="000000" w:themeColor="text1"/>
              </w:rPr>
            </w:pPr>
            <w:r w:rsidRPr="003B5801">
              <w:rPr>
                <w:color w:val="000000" w:themeColor="text1"/>
              </w:rPr>
              <w:t>There is no specific requirement for training</w:t>
            </w:r>
            <w:r w:rsidR="006F360E" w:rsidRPr="003B5801">
              <w:rPr>
                <w:color w:val="000000" w:themeColor="text1"/>
              </w:rPr>
              <w:t xml:space="preserve"> before carrying out a risk assessment,</w:t>
            </w:r>
            <w:r w:rsidRPr="003B5801">
              <w:rPr>
                <w:color w:val="000000" w:themeColor="text1"/>
              </w:rPr>
              <w:t xml:space="preserve"> although assessments </w:t>
            </w:r>
            <w:r w:rsidR="006F360E" w:rsidRPr="003B5801">
              <w:rPr>
                <w:color w:val="000000" w:themeColor="text1"/>
              </w:rPr>
              <w:t>should be</w:t>
            </w:r>
            <w:bookmarkStart w:id="0" w:name="_GoBack"/>
            <w:bookmarkEnd w:id="0"/>
            <w:r w:rsidR="006F360E" w:rsidRPr="003B5801">
              <w:rPr>
                <w:color w:val="000000" w:themeColor="text1"/>
              </w:rPr>
              <w:t xml:space="preserve"> created with </w:t>
            </w:r>
            <w:r w:rsidRPr="003B5801">
              <w:rPr>
                <w:color w:val="000000" w:themeColor="text1"/>
              </w:rPr>
              <w:t xml:space="preserve">input/advice </w:t>
            </w:r>
            <w:r w:rsidR="006F360E" w:rsidRPr="003B5801">
              <w:rPr>
                <w:color w:val="000000" w:themeColor="text1"/>
              </w:rPr>
              <w:t xml:space="preserve">from </w:t>
            </w:r>
            <w:r w:rsidRPr="003B5801">
              <w:rPr>
                <w:color w:val="000000" w:themeColor="text1"/>
              </w:rPr>
              <w:t>others to ensure that they are fit for purpose</w:t>
            </w:r>
            <w:r w:rsidR="006F360E" w:rsidRPr="003B5801">
              <w:rPr>
                <w:color w:val="000000" w:themeColor="text1"/>
              </w:rPr>
              <w:t xml:space="preserve">. </w:t>
            </w:r>
          </w:p>
          <w:p w14:paraId="178BEDD5" w14:textId="0B0D9557" w:rsidR="00DD5F06" w:rsidRPr="003B5801" w:rsidRDefault="006F360E" w:rsidP="003B5801">
            <w:pPr>
              <w:pStyle w:val="ListParagraph"/>
              <w:numPr>
                <w:ilvl w:val="0"/>
                <w:numId w:val="10"/>
              </w:numPr>
              <w:ind w:left="427" w:hanging="425"/>
              <w:rPr>
                <w:lang w:val="en-GB"/>
              </w:rPr>
            </w:pPr>
            <w:r w:rsidRPr="003B5801">
              <w:rPr>
                <w:color w:val="000000" w:themeColor="text1"/>
              </w:rPr>
              <w:t xml:space="preserve">Safety Services does provide </w:t>
            </w:r>
            <w:r w:rsidR="00DD5F06" w:rsidRPr="003B5801">
              <w:rPr>
                <w:color w:val="000000" w:themeColor="text1"/>
              </w:rPr>
              <w:t xml:space="preserve">training on the principles of </w:t>
            </w:r>
            <w:r w:rsidRPr="003B5801">
              <w:rPr>
                <w:color w:val="000000" w:themeColor="text1"/>
              </w:rPr>
              <w:t xml:space="preserve">risk assessment, </w:t>
            </w:r>
            <w:r w:rsidR="00DD5F06" w:rsidRPr="003B5801">
              <w:rPr>
                <w:color w:val="000000" w:themeColor="text1"/>
              </w:rPr>
              <w:t>for sta</w:t>
            </w:r>
            <w:r w:rsidRPr="003B5801">
              <w:rPr>
                <w:color w:val="000000" w:themeColor="text1"/>
              </w:rPr>
              <w:t>ff and post-graduate students. This takes the form of an eLearning module and a classroom session. More information can be found on our website</w:t>
            </w:r>
            <w:r w:rsidR="003B5801" w:rsidRPr="003B5801">
              <w:rPr>
                <w:rStyle w:val="Hyperlink"/>
                <w:color w:val="000000" w:themeColor="text1"/>
                <w:u w:val="none"/>
              </w:rPr>
              <w:t xml:space="preserve"> at the following link </w:t>
            </w:r>
            <w:hyperlink r:id="rId9" w:history="1">
              <w:r w:rsidR="003B5801" w:rsidRPr="00D464CD">
                <w:rPr>
                  <w:rStyle w:val="Hyperlink"/>
                </w:rPr>
                <w:t>https://www.ucl.ac.uk/safety-services/learning/scheduled</w:t>
              </w:r>
            </w:hyperlink>
            <w:r w:rsidRPr="003B5801">
              <w:rPr>
                <w:color w:val="000000" w:themeColor="text1"/>
              </w:rPr>
              <w:t xml:space="preserve">. </w:t>
            </w:r>
          </w:p>
        </w:tc>
      </w:tr>
      <w:tr w:rsidR="00DD5F06" w14:paraId="5D80A760" w14:textId="77777777" w:rsidTr="005D308F">
        <w:trPr>
          <w:cantSplit/>
        </w:trPr>
        <w:tc>
          <w:tcPr>
            <w:tcW w:w="1560" w:type="dxa"/>
            <w:shd w:val="clear" w:color="auto" w:fill="808080" w:themeFill="background1" w:themeFillShade="80"/>
            <w:vAlign w:val="center"/>
          </w:tcPr>
          <w:p w14:paraId="377F204D" w14:textId="7D80588A" w:rsidR="00DD5F06" w:rsidRPr="005D308F" w:rsidRDefault="00DD5F06" w:rsidP="00DD5F06">
            <w:pPr>
              <w:rPr>
                <w:b/>
                <w:color w:val="000000" w:themeColor="text1"/>
                <w:lang w:val="en-GB"/>
              </w:rPr>
            </w:pPr>
            <w:r w:rsidRPr="005D308F">
              <w:rPr>
                <w:b/>
                <w:color w:val="000000" w:themeColor="text1"/>
              </w:rPr>
              <w:t>Review and revision</w:t>
            </w:r>
          </w:p>
        </w:tc>
        <w:tc>
          <w:tcPr>
            <w:tcW w:w="7500" w:type="dxa"/>
          </w:tcPr>
          <w:p w14:paraId="7B92FEE2" w14:textId="77777777" w:rsidR="003B5801" w:rsidRDefault="00DD5F06" w:rsidP="003B5801">
            <w:pPr>
              <w:pStyle w:val="ListParagraph"/>
              <w:numPr>
                <w:ilvl w:val="0"/>
                <w:numId w:val="10"/>
              </w:numPr>
              <w:spacing w:before="120" w:after="120"/>
              <w:ind w:left="427"/>
              <w:outlineLvl w:val="0"/>
              <w:rPr>
                <w:color w:val="000000" w:themeColor="text1"/>
              </w:rPr>
            </w:pPr>
            <w:r w:rsidRPr="003B5801">
              <w:rPr>
                <w:color w:val="000000" w:themeColor="text1"/>
              </w:rPr>
              <w:t>All assessments must be reviewed if there is any reason to s</w:t>
            </w:r>
            <w:r w:rsidR="006F360E" w:rsidRPr="003B5801">
              <w:rPr>
                <w:color w:val="000000" w:themeColor="text1"/>
              </w:rPr>
              <w:t xml:space="preserve">uspect they are no longer valid, for example </w:t>
            </w:r>
            <w:r w:rsidRPr="003B5801">
              <w:rPr>
                <w:color w:val="000000" w:themeColor="text1"/>
              </w:rPr>
              <w:t>if there has been a</w:t>
            </w:r>
            <w:r w:rsidR="006F360E" w:rsidRPr="003B5801">
              <w:rPr>
                <w:color w:val="000000" w:themeColor="text1"/>
              </w:rPr>
              <w:t xml:space="preserve"> significant change to the work. </w:t>
            </w:r>
          </w:p>
          <w:p w14:paraId="188F8FCA" w14:textId="2279E178" w:rsidR="00DD5F06" w:rsidRPr="003B5801" w:rsidRDefault="006F360E" w:rsidP="003B5801">
            <w:pPr>
              <w:pStyle w:val="ListParagraph"/>
              <w:numPr>
                <w:ilvl w:val="0"/>
                <w:numId w:val="10"/>
              </w:numPr>
              <w:spacing w:before="120" w:after="120"/>
              <w:ind w:left="427"/>
              <w:outlineLvl w:val="0"/>
              <w:rPr>
                <w:color w:val="000000" w:themeColor="text1"/>
              </w:rPr>
            </w:pPr>
            <w:r w:rsidRPr="003B5801">
              <w:rPr>
                <w:color w:val="000000" w:themeColor="text1"/>
              </w:rPr>
              <w:t xml:space="preserve">Risk assessments in </w:t>
            </w:r>
            <w:r w:rsidR="003B5801">
              <w:rPr>
                <w:color w:val="000000" w:themeColor="text1"/>
              </w:rPr>
              <w:t>r</w:t>
            </w:r>
            <w:r w:rsidRPr="003B5801">
              <w:rPr>
                <w:color w:val="000000" w:themeColor="text1"/>
              </w:rPr>
              <w:t xml:space="preserve">iskNET will be valid for </w:t>
            </w:r>
            <w:r w:rsidR="003B5801">
              <w:rPr>
                <w:color w:val="000000" w:themeColor="text1"/>
              </w:rPr>
              <w:t>one (</w:t>
            </w:r>
            <w:r w:rsidRPr="003B5801">
              <w:rPr>
                <w:color w:val="000000" w:themeColor="text1"/>
              </w:rPr>
              <w:t>1</w:t>
            </w:r>
            <w:r w:rsidR="003B5801">
              <w:rPr>
                <w:color w:val="000000" w:themeColor="text1"/>
              </w:rPr>
              <w:t>)</w:t>
            </w:r>
            <w:r w:rsidRPr="003B5801">
              <w:rPr>
                <w:color w:val="000000" w:themeColor="text1"/>
              </w:rPr>
              <w:t xml:space="preserve"> year and so must be reviewed in any case after this period of time.</w:t>
            </w:r>
          </w:p>
          <w:p w14:paraId="2306F8B9" w14:textId="76FA500E" w:rsidR="00DD5F06" w:rsidRPr="003B5801" w:rsidRDefault="006F360E" w:rsidP="003B5801">
            <w:pPr>
              <w:pStyle w:val="ListParagraph"/>
              <w:numPr>
                <w:ilvl w:val="0"/>
                <w:numId w:val="10"/>
              </w:numPr>
              <w:ind w:left="427"/>
              <w:rPr>
                <w:lang w:val="en-GB"/>
              </w:rPr>
            </w:pPr>
            <w:r w:rsidRPr="003B5801">
              <w:rPr>
                <w:color w:val="000000" w:themeColor="text1"/>
              </w:rPr>
              <w:t>Whe</w:t>
            </w:r>
            <w:r w:rsidR="003B5801">
              <w:rPr>
                <w:color w:val="000000" w:themeColor="text1"/>
              </w:rPr>
              <w:t>n reviewing a risk assessment, ri</w:t>
            </w:r>
            <w:r w:rsidRPr="003B5801">
              <w:rPr>
                <w:color w:val="000000" w:themeColor="text1"/>
              </w:rPr>
              <w:t>skNET will also ask for the reason for revision to be entered, allowing formal recording of this information.</w:t>
            </w:r>
          </w:p>
        </w:tc>
      </w:tr>
      <w:tr w:rsidR="00DD5F06" w14:paraId="746B6B56" w14:textId="77777777" w:rsidTr="005D308F">
        <w:trPr>
          <w:cantSplit/>
        </w:trPr>
        <w:tc>
          <w:tcPr>
            <w:tcW w:w="1560" w:type="dxa"/>
            <w:shd w:val="clear" w:color="auto" w:fill="808080" w:themeFill="background1" w:themeFillShade="80"/>
            <w:vAlign w:val="center"/>
          </w:tcPr>
          <w:p w14:paraId="1C6CFD5D" w14:textId="3FD1B339" w:rsidR="00DD5F06" w:rsidRPr="005D308F" w:rsidRDefault="00DD5F06" w:rsidP="00DD5F06">
            <w:pPr>
              <w:rPr>
                <w:b/>
                <w:color w:val="000000" w:themeColor="text1"/>
                <w:lang w:val="en-GB"/>
              </w:rPr>
            </w:pPr>
            <w:r w:rsidRPr="005D308F">
              <w:rPr>
                <w:b/>
                <w:color w:val="000000" w:themeColor="text1"/>
              </w:rPr>
              <w:t>Assurance and monitoring</w:t>
            </w:r>
          </w:p>
        </w:tc>
        <w:tc>
          <w:tcPr>
            <w:tcW w:w="7500" w:type="dxa"/>
          </w:tcPr>
          <w:p w14:paraId="1C40939B" w14:textId="1602CD22" w:rsidR="00DD5F06" w:rsidRPr="003B5801" w:rsidRDefault="00DD5F06" w:rsidP="003B5801">
            <w:pPr>
              <w:pStyle w:val="ListParagraph"/>
              <w:numPr>
                <w:ilvl w:val="0"/>
                <w:numId w:val="10"/>
              </w:numPr>
              <w:spacing w:before="120" w:after="120"/>
              <w:ind w:left="427"/>
              <w:outlineLvl w:val="0"/>
              <w:rPr>
                <w:lang w:val="en-GB"/>
              </w:rPr>
            </w:pPr>
            <w:r w:rsidRPr="003B5801">
              <w:rPr>
                <w:color w:val="000000" w:themeColor="text1"/>
              </w:rPr>
              <w:t xml:space="preserve">The means by which </w:t>
            </w:r>
            <w:r w:rsidR="003B5801" w:rsidRPr="003B5801">
              <w:rPr>
                <w:color w:val="000000" w:themeColor="text1"/>
              </w:rPr>
              <w:t>D</w:t>
            </w:r>
            <w:r w:rsidRPr="003B5801">
              <w:rPr>
                <w:color w:val="000000" w:themeColor="text1"/>
              </w:rPr>
              <w:t>epartments ensure that there are suitable and sufficient assessments in place for all departmental ac</w:t>
            </w:r>
            <w:r w:rsidR="006F360E" w:rsidRPr="003B5801">
              <w:rPr>
                <w:color w:val="000000" w:themeColor="text1"/>
              </w:rPr>
              <w:t xml:space="preserve">tivities should be identified. </w:t>
            </w:r>
            <w:r w:rsidRPr="003B5801">
              <w:rPr>
                <w:color w:val="000000" w:themeColor="text1"/>
              </w:rPr>
              <w:t xml:space="preserve">This could range from a simple check of presence/absence of assessments for </w:t>
            </w:r>
            <w:r w:rsidR="006F360E" w:rsidRPr="003B5801">
              <w:rPr>
                <w:color w:val="000000" w:themeColor="text1"/>
              </w:rPr>
              <w:t xml:space="preserve">a </w:t>
            </w:r>
            <w:r w:rsidRPr="003B5801">
              <w:rPr>
                <w:color w:val="000000" w:themeColor="text1"/>
              </w:rPr>
              <w:t xml:space="preserve">sample </w:t>
            </w:r>
            <w:r w:rsidR="006F360E" w:rsidRPr="003B5801">
              <w:rPr>
                <w:color w:val="000000" w:themeColor="text1"/>
              </w:rPr>
              <w:t xml:space="preserve">of activities, </w:t>
            </w:r>
            <w:r w:rsidRPr="003B5801">
              <w:rPr>
                <w:color w:val="000000" w:themeColor="text1"/>
              </w:rPr>
              <w:t>to a more detailed check on the quality of assessments and whether controls identified have been implemented.</w:t>
            </w:r>
          </w:p>
        </w:tc>
      </w:tr>
    </w:tbl>
    <w:p w14:paraId="79161CF8" w14:textId="03D647C4" w:rsidR="003333DB" w:rsidRPr="00B37466" w:rsidRDefault="003333DB" w:rsidP="003B5801">
      <w:pPr>
        <w:pStyle w:val="Heading1"/>
      </w:pPr>
      <w:r w:rsidRPr="00EA05C2">
        <w:t xml:space="preserve">Document </w:t>
      </w:r>
      <w:r w:rsidR="003B5801">
        <w:t>C</w:t>
      </w:r>
      <w:r w:rsidRPr="00EA05C2">
        <w:t>ontrol</w:t>
      </w:r>
    </w:p>
    <w:tbl>
      <w:tblPr>
        <w:tblStyle w:val="TableGrid"/>
        <w:tblW w:w="0" w:type="auto"/>
        <w:tblInd w:w="607" w:type="dxa"/>
        <w:tblLook w:val="04A0" w:firstRow="1" w:lastRow="0" w:firstColumn="1" w:lastColumn="0" w:noHBand="0" w:noVBand="1"/>
      </w:tblPr>
      <w:tblGrid>
        <w:gridCol w:w="3119"/>
        <w:gridCol w:w="3719"/>
      </w:tblGrid>
      <w:tr w:rsidR="003333DB" w14:paraId="0CCB2B45" w14:textId="77777777" w:rsidTr="003B5801">
        <w:tc>
          <w:tcPr>
            <w:tcW w:w="3119" w:type="dxa"/>
          </w:tcPr>
          <w:p w14:paraId="330FCE91" w14:textId="77777777" w:rsidR="003333DB" w:rsidRDefault="003333DB" w:rsidP="00037929">
            <w:pPr>
              <w:pStyle w:val="NoSpacing"/>
            </w:pPr>
            <w:r w:rsidRPr="00E36C7A">
              <w:t>Author (name and position)</w:t>
            </w:r>
          </w:p>
        </w:tc>
        <w:tc>
          <w:tcPr>
            <w:tcW w:w="3719" w:type="dxa"/>
          </w:tcPr>
          <w:p w14:paraId="0074681F" w14:textId="1C9EB221" w:rsidR="003333DB" w:rsidRPr="00A0786C" w:rsidRDefault="00806FD0" w:rsidP="00037929">
            <w:pPr>
              <w:pStyle w:val="NoSpacing"/>
            </w:pPr>
            <w:r>
              <w:t>Andy Minnis, Safety Adviser</w:t>
            </w:r>
          </w:p>
        </w:tc>
      </w:tr>
      <w:tr w:rsidR="003333DB" w14:paraId="309AC7EE" w14:textId="77777777" w:rsidTr="003B5801">
        <w:tc>
          <w:tcPr>
            <w:tcW w:w="3119" w:type="dxa"/>
          </w:tcPr>
          <w:p w14:paraId="6947A229" w14:textId="3BC1BC50" w:rsidR="003333DB" w:rsidRDefault="00806FD0" w:rsidP="00037929">
            <w:pPr>
              <w:pStyle w:val="NoSpacing"/>
            </w:pPr>
            <w:r>
              <w:t>Version 1 published</w:t>
            </w:r>
          </w:p>
        </w:tc>
        <w:tc>
          <w:tcPr>
            <w:tcW w:w="3719" w:type="dxa"/>
          </w:tcPr>
          <w:p w14:paraId="7C24F368" w14:textId="434F50C6" w:rsidR="003333DB" w:rsidRPr="00A0786C" w:rsidRDefault="00806FD0" w:rsidP="00037929">
            <w:pPr>
              <w:pStyle w:val="NoSpacing"/>
            </w:pPr>
            <w:r>
              <w:t>February 2016</w:t>
            </w:r>
          </w:p>
        </w:tc>
      </w:tr>
      <w:tr w:rsidR="00806FD0" w14:paraId="6E45B099" w14:textId="77777777" w:rsidTr="003B5801">
        <w:tc>
          <w:tcPr>
            <w:tcW w:w="3119" w:type="dxa"/>
          </w:tcPr>
          <w:p w14:paraId="57907D28" w14:textId="2762E6EF" w:rsidR="00806FD0" w:rsidRPr="00EA05C2" w:rsidRDefault="00806FD0" w:rsidP="00806FD0">
            <w:pPr>
              <w:pStyle w:val="NoSpacing"/>
            </w:pPr>
            <w:r>
              <w:t>Version 2 published</w:t>
            </w:r>
          </w:p>
        </w:tc>
        <w:tc>
          <w:tcPr>
            <w:tcW w:w="3719" w:type="dxa"/>
          </w:tcPr>
          <w:p w14:paraId="5D1E4B90" w14:textId="305CF37A" w:rsidR="00806FD0" w:rsidRDefault="00806FD0" w:rsidP="00806FD0">
            <w:pPr>
              <w:pStyle w:val="NoSpacing"/>
            </w:pPr>
            <w:r>
              <w:t>September 2018</w:t>
            </w:r>
          </w:p>
        </w:tc>
      </w:tr>
      <w:tr w:rsidR="00806FD0" w14:paraId="6A817C2D" w14:textId="77777777" w:rsidTr="003B5801">
        <w:tc>
          <w:tcPr>
            <w:tcW w:w="3119" w:type="dxa"/>
          </w:tcPr>
          <w:p w14:paraId="1A0CEC17" w14:textId="28245104" w:rsidR="00806FD0" w:rsidRDefault="00806FD0" w:rsidP="00806FD0">
            <w:pPr>
              <w:pStyle w:val="NoSpacing"/>
            </w:pPr>
            <w:r>
              <w:t>Version 3 published</w:t>
            </w:r>
          </w:p>
        </w:tc>
        <w:tc>
          <w:tcPr>
            <w:tcW w:w="3719" w:type="dxa"/>
          </w:tcPr>
          <w:p w14:paraId="7CC9F323" w14:textId="2DC5AD39" w:rsidR="00806FD0" w:rsidRDefault="00806FD0" w:rsidP="00806FD0">
            <w:pPr>
              <w:pStyle w:val="NoSpacing"/>
            </w:pPr>
            <w:r>
              <w:t>February 2020</w:t>
            </w:r>
          </w:p>
        </w:tc>
      </w:tr>
    </w:tbl>
    <w:p w14:paraId="1B385627" w14:textId="7B38F578" w:rsidR="003333DB" w:rsidRDefault="003333DB" w:rsidP="00806FD0"/>
    <w:sectPr w:rsidR="003333DB" w:rsidSect="00B37466">
      <w:headerReference w:type="default" r:id="rId10"/>
      <w:footerReference w:type="default" r:id="rId11"/>
      <w:headerReference w:type="first" r:id="rId12"/>
      <w:footerReference w:type="first" r:id="rId13"/>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60F7B" w14:textId="77777777" w:rsidR="00A21880" w:rsidRDefault="00A21880" w:rsidP="00036543">
      <w:r>
        <w:separator/>
      </w:r>
    </w:p>
  </w:endnote>
  <w:endnote w:type="continuationSeparator" w:id="0">
    <w:p w14:paraId="4531AB02" w14:textId="77777777" w:rsidR="00A21880" w:rsidRDefault="00A21880" w:rsidP="0003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E3B6" w14:textId="079D4A4D" w:rsidR="00A21880" w:rsidRPr="00124A3E" w:rsidRDefault="00A21880" w:rsidP="003333DB">
    <w:pPr>
      <w:pStyle w:val="Footer"/>
      <w:ind w:firstLine="79"/>
      <w:rPr>
        <w:rFonts w:cs="Arial"/>
        <w:sz w:val="20"/>
        <w:szCs w:val="20"/>
      </w:rPr>
    </w:pPr>
    <w:r w:rsidRPr="001F77BF">
      <w:rPr>
        <w:rFonts w:cs="Arial"/>
        <w:sz w:val="20"/>
        <w:szCs w:val="20"/>
      </w:rPr>
      <w:t xml:space="preserve">Page </w:t>
    </w:r>
    <w:r w:rsidRPr="001F77BF">
      <w:rPr>
        <w:rFonts w:cs="Arial"/>
        <w:b/>
        <w:bCs/>
        <w:sz w:val="20"/>
        <w:szCs w:val="20"/>
      </w:rPr>
      <w:fldChar w:fldCharType="begin"/>
    </w:r>
    <w:r w:rsidRPr="001F77BF">
      <w:rPr>
        <w:rFonts w:cs="Arial"/>
        <w:b/>
        <w:bCs/>
        <w:sz w:val="20"/>
        <w:szCs w:val="20"/>
      </w:rPr>
      <w:instrText xml:space="preserve"> PAGE  \* Arabic  \* MERGEFORMAT </w:instrText>
    </w:r>
    <w:r w:rsidRPr="001F77BF">
      <w:rPr>
        <w:rFonts w:cs="Arial"/>
        <w:b/>
        <w:bCs/>
        <w:sz w:val="20"/>
        <w:szCs w:val="20"/>
      </w:rPr>
      <w:fldChar w:fldCharType="separate"/>
    </w:r>
    <w:r w:rsidR="00B85A70">
      <w:rPr>
        <w:rFonts w:cs="Arial"/>
        <w:b/>
        <w:bCs/>
        <w:noProof/>
        <w:sz w:val="20"/>
        <w:szCs w:val="20"/>
      </w:rPr>
      <w:t>4</w:t>
    </w:r>
    <w:r w:rsidRPr="001F77BF">
      <w:rPr>
        <w:rFonts w:cs="Arial"/>
        <w:b/>
        <w:bCs/>
        <w:sz w:val="20"/>
        <w:szCs w:val="20"/>
      </w:rPr>
      <w:fldChar w:fldCharType="end"/>
    </w:r>
    <w:r w:rsidRPr="001F77BF">
      <w:rPr>
        <w:rFonts w:cs="Arial"/>
        <w:sz w:val="20"/>
        <w:szCs w:val="20"/>
      </w:rPr>
      <w:t xml:space="preserve"> of </w:t>
    </w:r>
    <w:r w:rsidRPr="001F77BF">
      <w:rPr>
        <w:rFonts w:cs="Arial"/>
        <w:b/>
        <w:bCs/>
        <w:sz w:val="20"/>
        <w:szCs w:val="20"/>
      </w:rPr>
      <w:fldChar w:fldCharType="begin"/>
    </w:r>
    <w:r w:rsidRPr="001F77BF">
      <w:rPr>
        <w:rFonts w:cs="Arial"/>
        <w:b/>
        <w:bCs/>
        <w:sz w:val="20"/>
        <w:szCs w:val="20"/>
      </w:rPr>
      <w:instrText xml:space="preserve"> NUMPAGES  \* Arabic  \* MERGEFORMAT </w:instrText>
    </w:r>
    <w:r w:rsidRPr="001F77BF">
      <w:rPr>
        <w:rFonts w:cs="Arial"/>
        <w:b/>
        <w:bCs/>
        <w:sz w:val="20"/>
        <w:szCs w:val="20"/>
      </w:rPr>
      <w:fldChar w:fldCharType="separate"/>
    </w:r>
    <w:r w:rsidR="00B85A70">
      <w:rPr>
        <w:rFonts w:cs="Arial"/>
        <w:b/>
        <w:bCs/>
        <w:noProof/>
        <w:sz w:val="20"/>
        <w:szCs w:val="20"/>
      </w:rPr>
      <w:t>4</w:t>
    </w:r>
    <w:r w:rsidRPr="001F77BF">
      <w:rPr>
        <w:rFonts w:cs="Arial"/>
        <w:b/>
        <w:bCs/>
        <w:sz w:val="20"/>
        <w:szCs w:val="20"/>
      </w:rPr>
      <w:fldChar w:fldCharType="end"/>
    </w:r>
  </w:p>
  <w:p w14:paraId="18E24FCF" w14:textId="77777777" w:rsidR="00A21880" w:rsidRDefault="00A21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20C35" w14:textId="485878DA" w:rsidR="00A21880" w:rsidRPr="00B37466" w:rsidRDefault="00A21880" w:rsidP="00B37466">
    <w:pPr>
      <w:pStyle w:val="Footer"/>
      <w:ind w:firstLine="79"/>
      <w:rPr>
        <w:rFonts w:cs="Arial"/>
        <w:sz w:val="20"/>
        <w:szCs w:val="20"/>
      </w:rPr>
    </w:pPr>
    <w:r w:rsidRPr="001F77BF">
      <w:rPr>
        <w:rFonts w:cs="Arial"/>
        <w:sz w:val="20"/>
        <w:szCs w:val="20"/>
      </w:rPr>
      <w:t xml:space="preserve">Page </w:t>
    </w:r>
    <w:r w:rsidRPr="001F77BF">
      <w:rPr>
        <w:rFonts w:cs="Arial"/>
        <w:b/>
        <w:bCs/>
        <w:sz w:val="20"/>
        <w:szCs w:val="20"/>
      </w:rPr>
      <w:fldChar w:fldCharType="begin"/>
    </w:r>
    <w:r w:rsidRPr="001F77BF">
      <w:rPr>
        <w:rFonts w:cs="Arial"/>
        <w:b/>
        <w:bCs/>
        <w:sz w:val="20"/>
        <w:szCs w:val="20"/>
      </w:rPr>
      <w:instrText xml:space="preserve"> PAGE  \* Arabic  \* MERGEFORMAT </w:instrText>
    </w:r>
    <w:r w:rsidRPr="001F77BF">
      <w:rPr>
        <w:rFonts w:cs="Arial"/>
        <w:b/>
        <w:bCs/>
        <w:sz w:val="20"/>
        <w:szCs w:val="20"/>
      </w:rPr>
      <w:fldChar w:fldCharType="separate"/>
    </w:r>
    <w:r w:rsidR="00B85A70">
      <w:rPr>
        <w:rFonts w:cs="Arial"/>
        <w:b/>
        <w:bCs/>
        <w:noProof/>
        <w:sz w:val="20"/>
        <w:szCs w:val="20"/>
      </w:rPr>
      <w:t>1</w:t>
    </w:r>
    <w:r w:rsidRPr="001F77BF">
      <w:rPr>
        <w:rFonts w:cs="Arial"/>
        <w:b/>
        <w:bCs/>
        <w:sz w:val="20"/>
        <w:szCs w:val="20"/>
      </w:rPr>
      <w:fldChar w:fldCharType="end"/>
    </w:r>
    <w:r w:rsidRPr="001F77BF">
      <w:rPr>
        <w:rFonts w:cs="Arial"/>
        <w:sz w:val="20"/>
        <w:szCs w:val="20"/>
      </w:rPr>
      <w:t xml:space="preserve"> of </w:t>
    </w:r>
    <w:r w:rsidRPr="001F77BF">
      <w:rPr>
        <w:rFonts w:cs="Arial"/>
        <w:b/>
        <w:bCs/>
        <w:sz w:val="20"/>
        <w:szCs w:val="20"/>
      </w:rPr>
      <w:fldChar w:fldCharType="begin"/>
    </w:r>
    <w:r w:rsidRPr="001F77BF">
      <w:rPr>
        <w:rFonts w:cs="Arial"/>
        <w:b/>
        <w:bCs/>
        <w:sz w:val="20"/>
        <w:szCs w:val="20"/>
      </w:rPr>
      <w:instrText xml:space="preserve"> NUMPAGES  \* Arabic  \* MERGEFORMAT </w:instrText>
    </w:r>
    <w:r w:rsidRPr="001F77BF">
      <w:rPr>
        <w:rFonts w:cs="Arial"/>
        <w:b/>
        <w:bCs/>
        <w:sz w:val="20"/>
        <w:szCs w:val="20"/>
      </w:rPr>
      <w:fldChar w:fldCharType="separate"/>
    </w:r>
    <w:r w:rsidR="00B85A70">
      <w:rPr>
        <w:rFonts w:cs="Arial"/>
        <w:b/>
        <w:bCs/>
        <w:noProof/>
        <w:sz w:val="20"/>
        <w:szCs w:val="20"/>
      </w:rPr>
      <w:t>4</w:t>
    </w:r>
    <w:r w:rsidRPr="001F77BF">
      <w:rPr>
        <w:rFonts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07F78" w14:textId="77777777" w:rsidR="00A21880" w:rsidRDefault="00A21880" w:rsidP="00036543">
      <w:r>
        <w:separator/>
      </w:r>
    </w:p>
  </w:footnote>
  <w:footnote w:type="continuationSeparator" w:id="0">
    <w:p w14:paraId="527BF7E0" w14:textId="77777777" w:rsidR="00A21880" w:rsidRDefault="00A21880" w:rsidP="0003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74CDE" w14:textId="77777777" w:rsidR="003B5801" w:rsidRDefault="003B5801" w:rsidP="003B5801">
    <w:pPr>
      <w:pStyle w:val="NoSpacing"/>
    </w:pPr>
    <w:r>
      <w:rPr>
        <w:noProof/>
        <w:lang w:val="en-GB" w:eastAsia="en-GB"/>
      </w:rPr>
      <mc:AlternateContent>
        <mc:Choice Requires="wps">
          <w:drawing>
            <wp:anchor distT="0" distB="0" distL="114300" distR="114300" simplePos="0" relativeHeight="251664384" behindDoc="0" locked="0" layoutInCell="1" allowOverlap="1" wp14:anchorId="738CBA8F" wp14:editId="78DDFEF3">
              <wp:simplePos x="0" y="0"/>
              <wp:positionH relativeFrom="page">
                <wp:posOffset>360045</wp:posOffset>
              </wp:positionH>
              <wp:positionV relativeFrom="page">
                <wp:posOffset>360045</wp:posOffset>
              </wp:positionV>
              <wp:extent cx="2790000" cy="435600"/>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2790000" cy="43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211B1A" w14:textId="77777777" w:rsidR="003B5801" w:rsidRPr="0084319C" w:rsidRDefault="003B5801" w:rsidP="003B5801">
                          <w:pPr>
                            <w:pStyle w:val="NoSpacing"/>
                            <w:rPr>
                              <w:b/>
                            </w:rPr>
                          </w:pPr>
                          <w:r w:rsidRPr="0084319C">
                            <w:rPr>
                              <w:b/>
                            </w:rPr>
                            <w:t>UCL SAFETY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CBA8F" id="_x0000_t202" coordsize="21600,21600" o:spt="202" path="m,l,21600r21600,l21600,xe">
              <v:stroke joinstyle="miter"/>
              <v:path gradientshapeok="t" o:connecttype="rect"/>
            </v:shapetype>
            <v:shape id="Text Box 2" o:spid="_x0000_s1026" type="#_x0000_t202" style="position:absolute;margin-left:28.35pt;margin-top:28.35pt;width:219.7pt;height:34.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" filled="f" stroked="f">
              <v:textbox>
                <w:txbxContent>
                  <w:p w14:paraId="63211B1A" w14:textId="77777777" w:rsidR="003B5801" w:rsidRPr="0084319C" w:rsidRDefault="003B5801" w:rsidP="003B5801">
                    <w:pPr>
                      <w:pStyle w:val="NoSpacing"/>
                      <w:rPr>
                        <w:b/>
                      </w:rPr>
                    </w:pPr>
                    <w:r w:rsidRPr="0084319C">
                      <w:rPr>
                        <w:b/>
                      </w:rPr>
                      <w:t>UCL SAFETY SERVICES</w:t>
                    </w:r>
                  </w:p>
                </w:txbxContent>
              </v:textbox>
              <w10:wrap anchorx="page" anchory="page"/>
            </v:shape>
          </w:pict>
        </mc:Fallback>
      </mc:AlternateContent>
    </w:r>
    <w:r>
      <w:rPr>
        <w:noProof/>
        <w:lang w:val="en-GB" w:eastAsia="en-GB"/>
      </w:rPr>
      <w:drawing>
        <wp:anchor distT="0" distB="0" distL="114300" distR="114300" simplePos="0" relativeHeight="251663360" behindDoc="1" locked="0" layoutInCell="1" allowOverlap="1" wp14:anchorId="778AABFB" wp14:editId="1DF4B831">
          <wp:simplePos x="0" y="0"/>
          <wp:positionH relativeFrom="page">
            <wp:align>left</wp:align>
          </wp:positionH>
          <wp:positionV relativeFrom="paragraph">
            <wp:posOffset>-448310</wp:posOffset>
          </wp:positionV>
          <wp:extent cx="7556500" cy="1445895"/>
          <wp:effectExtent l="0" t="0" r="6350" b="1905"/>
          <wp:wrapSquare wrapText="bothSides"/>
          <wp:docPr id="5" name="Picture 5" descr="Macintosh HD:Users:janineshalan:Dropbox:Logo:UCL-BANNERS:a4 _coated_eps_reformatted:a4_portrait_eps_coated:LightBlue55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LightBlue550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5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68420" w14:textId="77777777" w:rsidR="003B5801" w:rsidRDefault="003B5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5119A" w14:textId="1DA2EF67" w:rsidR="00A21880" w:rsidRDefault="00A21880" w:rsidP="00037929">
    <w:pPr>
      <w:pStyle w:val="NoSpacing"/>
    </w:pPr>
    <w:r>
      <w:rPr>
        <w:noProof/>
        <w:lang w:val="en-GB" w:eastAsia="en-GB"/>
      </w:rPr>
      <mc:AlternateContent>
        <mc:Choice Requires="wps">
          <w:drawing>
            <wp:anchor distT="0" distB="0" distL="114300" distR="114300" simplePos="0" relativeHeight="251661312" behindDoc="0" locked="0" layoutInCell="1" allowOverlap="1" wp14:anchorId="0EC6F3B9" wp14:editId="34756BDC">
              <wp:simplePos x="0" y="0"/>
              <wp:positionH relativeFrom="page">
                <wp:posOffset>360045</wp:posOffset>
              </wp:positionH>
              <wp:positionV relativeFrom="page">
                <wp:posOffset>360045</wp:posOffset>
              </wp:positionV>
              <wp:extent cx="2790000" cy="435600"/>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2790000" cy="43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BB987" w14:textId="77777777" w:rsidR="00A21880" w:rsidRPr="0084319C" w:rsidRDefault="00A21880" w:rsidP="00037929">
                          <w:pPr>
                            <w:pStyle w:val="NoSpacing"/>
                            <w:rPr>
                              <w:b/>
                            </w:rPr>
                          </w:pPr>
                          <w:r w:rsidRPr="0084319C">
                            <w:rPr>
                              <w:b/>
                            </w:rPr>
                            <w:t>UCL SAFETY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6F3B9" id="_x0000_t202" coordsize="21600,21600" o:spt="202" path="m,l,21600r21600,l21600,xe">
              <v:stroke joinstyle="miter"/>
              <v:path gradientshapeok="t" o:connecttype="rect"/>
            </v:shapetype>
            <v:shape id="Text Box 3" o:spid="_x0000_s1027" type="#_x0000_t202" style="position:absolute;margin-left:28.35pt;margin-top:28.35pt;width:219.7pt;height:3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" filled="f" stroked="f">
              <v:textbox>
                <w:txbxContent>
                  <w:p w14:paraId="5FFBB987" w14:textId="77777777" w:rsidR="00A21880" w:rsidRPr="0084319C" w:rsidRDefault="00A21880" w:rsidP="00037929">
                    <w:pPr>
                      <w:pStyle w:val="NoSpacing"/>
                      <w:rPr>
                        <w:b/>
                      </w:rPr>
                    </w:pPr>
                    <w:r w:rsidRPr="0084319C">
                      <w:rPr>
                        <w:b/>
                      </w:rPr>
                      <w:t>UCL SAFETY SERVICES</w:t>
                    </w:r>
                  </w:p>
                </w:txbxContent>
              </v:textbox>
              <w10:wrap anchorx="page" anchory="page"/>
            </v:shape>
          </w:pict>
        </mc:Fallback>
      </mc:AlternateContent>
    </w:r>
    <w:r>
      <w:rPr>
        <w:noProof/>
        <w:lang w:val="en-GB" w:eastAsia="en-GB"/>
      </w:rPr>
      <w:drawing>
        <wp:anchor distT="0" distB="0" distL="114300" distR="114300" simplePos="0" relativeHeight="251658239" behindDoc="1" locked="0" layoutInCell="1" allowOverlap="1" wp14:anchorId="762D36A4" wp14:editId="158D10C6">
          <wp:simplePos x="0" y="0"/>
          <wp:positionH relativeFrom="page">
            <wp:align>left</wp:align>
          </wp:positionH>
          <wp:positionV relativeFrom="paragraph">
            <wp:posOffset>-448310</wp:posOffset>
          </wp:positionV>
          <wp:extent cx="7556500" cy="1445895"/>
          <wp:effectExtent l="0" t="0" r="6350" b="1905"/>
          <wp:wrapSquare wrapText="bothSides"/>
          <wp:docPr id="1" name="Picture 1" descr="Macintosh HD:Users:janineshalan:Dropbox:Logo:UCL-BANNERS:a4 _coated_eps_reformatted:a4_portrait_eps_coated:LightBlue55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LightBlue550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5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B9E"/>
    <w:multiLevelType w:val="hybridMultilevel"/>
    <w:tmpl w:val="D344991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775E31"/>
    <w:multiLevelType w:val="hybridMultilevel"/>
    <w:tmpl w:val="74A083B4"/>
    <w:lvl w:ilvl="0" w:tplc="08090019">
      <w:start w:val="1"/>
      <w:numFmt w:val="lowerLetter"/>
      <w:lvlText w:val="%1."/>
      <w:lvlJc w:val="left"/>
      <w:pPr>
        <w:ind w:left="362" w:hanging="360"/>
      </w:p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2" w15:restartNumberingAfterBreak="0">
    <w:nsid w:val="09693004"/>
    <w:multiLevelType w:val="hybridMultilevel"/>
    <w:tmpl w:val="74A083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44D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8175F6"/>
    <w:multiLevelType w:val="hybridMultilevel"/>
    <w:tmpl w:val="7E6A3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9B0343"/>
    <w:multiLevelType w:val="hybridMultilevel"/>
    <w:tmpl w:val="74A083B4"/>
    <w:lvl w:ilvl="0" w:tplc="08090019">
      <w:start w:val="1"/>
      <w:numFmt w:val="lowerLetter"/>
      <w:lvlText w:val="%1."/>
      <w:lvlJc w:val="left"/>
      <w:pPr>
        <w:ind w:left="362" w:hanging="360"/>
      </w:p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6" w15:restartNumberingAfterBreak="0">
    <w:nsid w:val="40862344"/>
    <w:multiLevelType w:val="hybridMultilevel"/>
    <w:tmpl w:val="38601A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593100"/>
    <w:multiLevelType w:val="hybridMultilevel"/>
    <w:tmpl w:val="34D656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9E5935"/>
    <w:multiLevelType w:val="hybridMultilevel"/>
    <w:tmpl w:val="1ACC566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DD2636"/>
    <w:multiLevelType w:val="hybridMultilevel"/>
    <w:tmpl w:val="34A4D5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0F466E"/>
    <w:multiLevelType w:val="hybridMultilevel"/>
    <w:tmpl w:val="74A083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F06490"/>
    <w:multiLevelType w:val="hybridMultilevel"/>
    <w:tmpl w:val="CA78F4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09602B"/>
    <w:multiLevelType w:val="hybridMultilevel"/>
    <w:tmpl w:val="3FECC6A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3C957EA"/>
    <w:multiLevelType w:val="hybridMultilevel"/>
    <w:tmpl w:val="F97EEEA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A62AD4"/>
    <w:multiLevelType w:val="hybridMultilevel"/>
    <w:tmpl w:val="6E2629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1537EF"/>
    <w:multiLevelType w:val="hybridMultilevel"/>
    <w:tmpl w:val="1B6678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2CC4A4E"/>
    <w:multiLevelType w:val="hybridMultilevel"/>
    <w:tmpl w:val="AA004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9353EBA"/>
    <w:multiLevelType w:val="multilevel"/>
    <w:tmpl w:val="69F4277A"/>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656024"/>
    <w:multiLevelType w:val="hybridMultilevel"/>
    <w:tmpl w:val="7A101568"/>
    <w:lvl w:ilvl="0" w:tplc="7EA2B52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150A82"/>
    <w:multiLevelType w:val="hybridMultilevel"/>
    <w:tmpl w:val="303C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9"/>
  </w:num>
  <w:num w:numId="4">
    <w:abstractNumId w:val="4"/>
  </w:num>
  <w:num w:numId="5">
    <w:abstractNumId w:val="18"/>
  </w:num>
  <w:num w:numId="6">
    <w:abstractNumId w:val="3"/>
  </w:num>
  <w:num w:numId="7">
    <w:abstractNumId w:val="17"/>
  </w:num>
  <w:num w:numId="8">
    <w:abstractNumId w:val="13"/>
  </w:num>
  <w:num w:numId="9">
    <w:abstractNumId w:val="14"/>
  </w:num>
  <w:num w:numId="10">
    <w:abstractNumId w:val="11"/>
  </w:num>
  <w:num w:numId="11">
    <w:abstractNumId w:val="9"/>
  </w:num>
  <w:num w:numId="12">
    <w:abstractNumId w:val="10"/>
  </w:num>
  <w:num w:numId="13">
    <w:abstractNumId w:val="2"/>
  </w:num>
  <w:num w:numId="14">
    <w:abstractNumId w:val="1"/>
  </w:num>
  <w:num w:numId="15">
    <w:abstractNumId w:val="5"/>
  </w:num>
  <w:num w:numId="16">
    <w:abstractNumId w:val="6"/>
  </w:num>
  <w:num w:numId="17">
    <w:abstractNumId w:val="7"/>
  </w:num>
  <w:num w:numId="18">
    <w:abstractNumId w:val="8"/>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16385">
      <o:colormenu v:ext="edit" fillcolor="none [305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82"/>
    <w:rsid w:val="00004C2D"/>
    <w:rsid w:val="00036543"/>
    <w:rsid w:val="00037929"/>
    <w:rsid w:val="000716EB"/>
    <w:rsid w:val="00120FB4"/>
    <w:rsid w:val="00175552"/>
    <w:rsid w:val="00184B7C"/>
    <w:rsid w:val="001F77BF"/>
    <w:rsid w:val="00296485"/>
    <w:rsid w:val="002A7B98"/>
    <w:rsid w:val="00322741"/>
    <w:rsid w:val="00326D92"/>
    <w:rsid w:val="003333DB"/>
    <w:rsid w:val="00343B9B"/>
    <w:rsid w:val="003B5801"/>
    <w:rsid w:val="00411396"/>
    <w:rsid w:val="004369E5"/>
    <w:rsid w:val="00451F49"/>
    <w:rsid w:val="0053363C"/>
    <w:rsid w:val="005D308F"/>
    <w:rsid w:val="00623E3C"/>
    <w:rsid w:val="006F360E"/>
    <w:rsid w:val="00765D0D"/>
    <w:rsid w:val="007D7DC1"/>
    <w:rsid w:val="007F780F"/>
    <w:rsid w:val="00806FD0"/>
    <w:rsid w:val="0082503D"/>
    <w:rsid w:val="0084319C"/>
    <w:rsid w:val="008601D2"/>
    <w:rsid w:val="00901E82"/>
    <w:rsid w:val="00A21880"/>
    <w:rsid w:val="00AB1672"/>
    <w:rsid w:val="00B21E26"/>
    <w:rsid w:val="00B37466"/>
    <w:rsid w:val="00B85A70"/>
    <w:rsid w:val="00B860EB"/>
    <w:rsid w:val="00BB12BF"/>
    <w:rsid w:val="00BF44C6"/>
    <w:rsid w:val="00C152FC"/>
    <w:rsid w:val="00C23B9C"/>
    <w:rsid w:val="00CB315F"/>
    <w:rsid w:val="00DD5F06"/>
    <w:rsid w:val="00FE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enu v:ext="edit" fillcolor="none [3052]"/>
    </o:shapedefaults>
    <o:shapelayout v:ext="edit">
      <o:idmap v:ext="edit" data="1"/>
    </o:shapelayout>
  </w:shapeDefaults>
  <w:decimalSymbol w:val="."/>
  <w:listSeparator w:val=","/>
  <w14:docId w14:val="123617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466"/>
    <w:pPr>
      <w:spacing w:before="160" w:after="160"/>
    </w:pPr>
    <w:rPr>
      <w:rFonts w:ascii="Arial" w:hAnsi="Arial"/>
      <w:sz w:val="22"/>
    </w:rPr>
  </w:style>
  <w:style w:type="paragraph" w:styleId="Heading1">
    <w:name w:val="heading 1"/>
    <w:basedOn w:val="Normal"/>
    <w:next w:val="Normal"/>
    <w:link w:val="Heading1Char"/>
    <w:uiPriority w:val="9"/>
    <w:qFormat/>
    <w:rsid w:val="00322741"/>
    <w:pPr>
      <w:keepNext/>
      <w:keepLines/>
      <w:numPr>
        <w:numId w:val="7"/>
      </w:numPr>
      <w:spacing w:before="240"/>
      <w:ind w:left="567" w:hanging="567"/>
      <w:outlineLvl w:val="0"/>
    </w:pPr>
    <w:rPr>
      <w:rFonts w:eastAsiaTheme="majorEastAsia" w:cstheme="majorBidi"/>
      <w:b/>
      <w:color w:val="000000" w:themeColor="text1"/>
      <w:sz w:val="28"/>
      <w:szCs w:val="32"/>
      <w:lang w:val="en-GB"/>
    </w:rPr>
  </w:style>
  <w:style w:type="paragraph" w:styleId="Heading2">
    <w:name w:val="heading 2"/>
    <w:basedOn w:val="Heading1"/>
    <w:next w:val="Normal"/>
    <w:link w:val="Heading2Char"/>
    <w:uiPriority w:val="9"/>
    <w:unhideWhenUsed/>
    <w:qFormat/>
    <w:rsid w:val="00322741"/>
    <w:pPr>
      <w:numPr>
        <w:ilvl w:val="1"/>
      </w:numPr>
      <w:ind w:left="567" w:hanging="567"/>
      <w:outlineLvl w:val="1"/>
    </w:pPr>
    <w:rPr>
      <w:b w:val="0"/>
      <w:sz w:val="22"/>
      <w:szCs w:val="22"/>
    </w:rPr>
  </w:style>
  <w:style w:type="paragraph" w:styleId="Heading3">
    <w:name w:val="heading 3"/>
    <w:basedOn w:val="Normal"/>
    <w:next w:val="Normal"/>
    <w:link w:val="Heading3Char"/>
    <w:uiPriority w:val="9"/>
    <w:unhideWhenUsed/>
    <w:qFormat/>
    <w:rsid w:val="00B37466"/>
    <w:pPr>
      <w:keepNext/>
      <w:keepLines/>
      <w:outlineLvl w:val="2"/>
    </w:pPr>
    <w:rPr>
      <w:rFonts w:ascii="Garamond" w:eastAsiaTheme="majorEastAsia" w:hAnsi="Garamond"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2FC"/>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2FC"/>
    <w:rPr>
      <w:rFonts w:ascii="Lucida Grande" w:hAnsi="Lucida Grande"/>
      <w:sz w:val="18"/>
      <w:szCs w:val="18"/>
    </w:rPr>
  </w:style>
  <w:style w:type="paragraph" w:styleId="Header">
    <w:name w:val="header"/>
    <w:basedOn w:val="Normal"/>
    <w:link w:val="HeaderChar"/>
    <w:uiPriority w:val="99"/>
    <w:unhideWhenUsed/>
    <w:rsid w:val="00036543"/>
    <w:pPr>
      <w:tabs>
        <w:tab w:val="center" w:pos="4513"/>
        <w:tab w:val="right" w:pos="9026"/>
      </w:tabs>
    </w:pPr>
  </w:style>
  <w:style w:type="character" w:customStyle="1" w:styleId="HeaderChar">
    <w:name w:val="Header Char"/>
    <w:basedOn w:val="DefaultParagraphFont"/>
    <w:link w:val="Header"/>
    <w:uiPriority w:val="99"/>
    <w:rsid w:val="00036543"/>
  </w:style>
  <w:style w:type="paragraph" w:styleId="Footer">
    <w:name w:val="footer"/>
    <w:basedOn w:val="Normal"/>
    <w:link w:val="FooterChar"/>
    <w:unhideWhenUsed/>
    <w:rsid w:val="00036543"/>
    <w:pPr>
      <w:tabs>
        <w:tab w:val="center" w:pos="4513"/>
        <w:tab w:val="right" w:pos="9026"/>
      </w:tabs>
    </w:pPr>
  </w:style>
  <w:style w:type="character" w:customStyle="1" w:styleId="FooterChar">
    <w:name w:val="Footer Char"/>
    <w:basedOn w:val="DefaultParagraphFont"/>
    <w:link w:val="Footer"/>
    <w:rsid w:val="00036543"/>
  </w:style>
  <w:style w:type="paragraph" w:styleId="ListParagraph">
    <w:name w:val="List Paragraph"/>
    <w:basedOn w:val="Normal"/>
    <w:uiPriority w:val="34"/>
    <w:qFormat/>
    <w:rsid w:val="007D7DC1"/>
    <w:pPr>
      <w:ind w:left="720"/>
      <w:contextualSpacing/>
    </w:pPr>
  </w:style>
  <w:style w:type="table" w:styleId="TableGrid">
    <w:name w:val="Table Grid"/>
    <w:basedOn w:val="TableNormal"/>
    <w:uiPriority w:val="59"/>
    <w:rsid w:val="0033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2741"/>
    <w:rPr>
      <w:rFonts w:ascii="Arial" w:eastAsiaTheme="majorEastAsia" w:hAnsi="Arial" w:cstheme="majorBidi"/>
      <w:b/>
      <w:color w:val="000000" w:themeColor="text1"/>
      <w:sz w:val="28"/>
      <w:szCs w:val="32"/>
      <w:lang w:val="en-GB"/>
    </w:rPr>
  </w:style>
  <w:style w:type="character" w:customStyle="1" w:styleId="Heading2Char">
    <w:name w:val="Heading 2 Char"/>
    <w:basedOn w:val="DefaultParagraphFont"/>
    <w:link w:val="Heading2"/>
    <w:uiPriority w:val="9"/>
    <w:rsid w:val="00322741"/>
    <w:rPr>
      <w:rFonts w:ascii="Arial" w:eastAsiaTheme="majorEastAsia" w:hAnsi="Arial" w:cstheme="majorBidi"/>
      <w:color w:val="000000" w:themeColor="text1"/>
      <w:sz w:val="22"/>
      <w:szCs w:val="22"/>
      <w:lang w:val="en-GB"/>
    </w:rPr>
  </w:style>
  <w:style w:type="character" w:customStyle="1" w:styleId="Heading3Char">
    <w:name w:val="Heading 3 Char"/>
    <w:basedOn w:val="DefaultParagraphFont"/>
    <w:link w:val="Heading3"/>
    <w:uiPriority w:val="9"/>
    <w:rsid w:val="00B37466"/>
    <w:rPr>
      <w:rFonts w:ascii="Garamond" w:eastAsiaTheme="majorEastAsia" w:hAnsi="Garamond" w:cstheme="majorBidi"/>
    </w:rPr>
  </w:style>
  <w:style w:type="paragraph" w:styleId="NoSpacing">
    <w:name w:val="No Spacing"/>
    <w:uiPriority w:val="1"/>
    <w:qFormat/>
    <w:rsid w:val="0084319C"/>
    <w:rPr>
      <w:rFonts w:ascii="Arial" w:hAnsi="Arial"/>
      <w:sz w:val="22"/>
    </w:rPr>
  </w:style>
  <w:style w:type="character" w:styleId="Hyperlink">
    <w:name w:val="Hyperlink"/>
    <w:basedOn w:val="DefaultParagraphFont"/>
    <w:unhideWhenUsed/>
    <w:rsid w:val="00A21880"/>
    <w:rPr>
      <w:color w:val="0000FF" w:themeColor="hyperlink"/>
      <w:u w:val="single"/>
    </w:rPr>
  </w:style>
  <w:style w:type="paragraph" w:styleId="CommentText">
    <w:name w:val="annotation text"/>
    <w:basedOn w:val="Normal"/>
    <w:link w:val="CommentTextChar"/>
    <w:rsid w:val="00DD5F06"/>
    <w:pPr>
      <w:spacing w:before="0" w:after="0"/>
    </w:pPr>
    <w:rPr>
      <w:rFonts w:eastAsia="Times New Roman" w:cs="Arial"/>
      <w:sz w:val="20"/>
      <w:szCs w:val="20"/>
      <w:lang w:val="en-GB" w:eastAsia="en-GB"/>
    </w:rPr>
  </w:style>
  <w:style w:type="character" w:customStyle="1" w:styleId="CommentTextChar">
    <w:name w:val="Comment Text Char"/>
    <w:basedOn w:val="DefaultParagraphFont"/>
    <w:link w:val="CommentText"/>
    <w:rsid w:val="00DD5F06"/>
    <w:rPr>
      <w:rFonts w:ascii="Arial" w:eastAsia="Times New Roman" w:hAnsi="Arial" w:cs="Arial"/>
      <w:sz w:val="20"/>
      <w:szCs w:val="20"/>
      <w:lang w:val="en-GB" w:eastAsia="en-GB"/>
    </w:rPr>
  </w:style>
  <w:style w:type="paragraph" w:styleId="Title">
    <w:name w:val="Title"/>
    <w:basedOn w:val="Normal"/>
    <w:next w:val="Normal"/>
    <w:link w:val="TitleChar"/>
    <w:uiPriority w:val="10"/>
    <w:qFormat/>
    <w:rsid w:val="00322741"/>
    <w:pPr>
      <w:spacing w:before="0" w:after="0"/>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10"/>
    <w:rsid w:val="00322741"/>
    <w:rPr>
      <w:rFonts w:ascii="Arial" w:eastAsiaTheme="majorEastAsia" w:hAnsi="Arial" w:cs="Arial"/>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afety-services/a-z/genetic-modific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cl.ac.uk/safety-services/a-z/risk-assessme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cl.ac.uk/safety-services/learning/schedul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Shalan</dc:creator>
  <cp:keywords/>
  <dc:description/>
  <cp:lastModifiedBy>Tracy Samson</cp:lastModifiedBy>
  <cp:revision>4</cp:revision>
  <dcterms:created xsi:type="dcterms:W3CDTF">2020-04-01T13:25:00Z</dcterms:created>
  <dcterms:modified xsi:type="dcterms:W3CDTF">2020-04-06T10:32:00Z</dcterms:modified>
</cp:coreProperties>
</file>