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C4" w:rsidRDefault="00CB57C4" w:rsidP="0037696D">
      <w:pPr>
        <w:pStyle w:val="Heading1"/>
        <w:spacing w:before="360"/>
        <w:rPr>
          <w:lang w:val="en-GB"/>
        </w:rPr>
      </w:pPr>
      <w:r>
        <w:rPr>
          <w:lang w:val="en-GB"/>
        </w:rPr>
        <w:t>Return to UCL Checklist for Departments</w:t>
      </w:r>
    </w:p>
    <w:p w:rsidR="00D542CD" w:rsidRDefault="00CB57C4" w:rsidP="00CB57C4">
      <w:pPr>
        <w:rPr>
          <w:lang w:val="en-GB"/>
        </w:rPr>
      </w:pPr>
      <w:r w:rsidRPr="00CB57C4">
        <w:rPr>
          <w:lang w:val="en-GB"/>
        </w:rPr>
        <w:t xml:space="preserve">The phased return to </w:t>
      </w:r>
      <w:r>
        <w:rPr>
          <w:lang w:val="en-GB"/>
        </w:rPr>
        <w:t xml:space="preserve">UCL </w:t>
      </w:r>
      <w:r w:rsidRPr="00CB57C4">
        <w:rPr>
          <w:lang w:val="en-GB"/>
        </w:rPr>
        <w:t>will be driven by guidelines from the UK Government</w:t>
      </w:r>
      <w:r>
        <w:rPr>
          <w:lang w:val="en-GB"/>
        </w:rPr>
        <w:t xml:space="preserve"> and </w:t>
      </w:r>
      <w:r w:rsidRPr="00CB57C4">
        <w:rPr>
          <w:lang w:val="en-GB"/>
        </w:rPr>
        <w:t>Public Hea</w:t>
      </w:r>
      <w:r>
        <w:rPr>
          <w:lang w:val="en-GB"/>
        </w:rPr>
        <w:t xml:space="preserve">lth England (PHE) and </w:t>
      </w:r>
      <w:r w:rsidRPr="00CB57C4">
        <w:rPr>
          <w:lang w:val="en-GB"/>
        </w:rPr>
        <w:t xml:space="preserve">based on operational priorities. In order to ensure the safety of the UCL community, we have suggested a number of additional points on top of UK Government guidance. </w:t>
      </w:r>
    </w:p>
    <w:p w:rsidR="00192E80" w:rsidRDefault="00192E80" w:rsidP="00192E80">
      <w:pPr>
        <w:rPr>
          <w:lang w:val="en-GB"/>
        </w:rPr>
      </w:pPr>
      <w:r w:rsidRPr="00D542CD">
        <w:rPr>
          <w:lang w:val="en-GB"/>
        </w:rPr>
        <w:t>Departments</w:t>
      </w:r>
      <w:r w:rsidR="00A766F5">
        <w:rPr>
          <w:rStyle w:val="FootnoteReference"/>
          <w:lang w:val="en-GB"/>
        </w:rPr>
        <w:footnoteReference w:id="1"/>
      </w:r>
      <w:r w:rsidRPr="00D542CD">
        <w:rPr>
          <w:lang w:val="en-GB"/>
        </w:rPr>
        <w:t xml:space="preserve"> are expected to manage their own arrangements to comply with institutional policies</w:t>
      </w:r>
      <w:r w:rsidR="00BB46AB">
        <w:rPr>
          <w:lang w:val="en-GB"/>
        </w:rPr>
        <w:t xml:space="preserve"> </w:t>
      </w:r>
      <w:r>
        <w:rPr>
          <w:lang w:val="en-GB"/>
        </w:rPr>
        <w:t>and government guidance</w:t>
      </w:r>
      <w:r w:rsidRPr="00D542CD">
        <w:rPr>
          <w:lang w:val="en-GB"/>
        </w:rPr>
        <w:t>.</w:t>
      </w:r>
      <w:r>
        <w:rPr>
          <w:lang w:val="en-GB"/>
        </w:rPr>
        <w:t xml:space="preserve"> </w:t>
      </w:r>
      <w:r w:rsidR="00BB46AB">
        <w:rPr>
          <w:lang w:val="en-GB"/>
        </w:rPr>
        <w:t>The</w:t>
      </w:r>
      <w:r w:rsidRPr="00CB57C4">
        <w:rPr>
          <w:lang w:val="en-GB"/>
        </w:rPr>
        <w:t>s</w:t>
      </w:r>
      <w:r w:rsidR="00BB46AB">
        <w:rPr>
          <w:lang w:val="en-GB"/>
        </w:rPr>
        <w:t>e</w:t>
      </w:r>
      <w:r w:rsidRPr="00CB57C4">
        <w:rPr>
          <w:lang w:val="en-GB"/>
        </w:rPr>
        <w:t xml:space="preserve"> </w:t>
      </w:r>
      <w:r>
        <w:rPr>
          <w:lang w:val="en-GB"/>
        </w:rPr>
        <w:t>checklist</w:t>
      </w:r>
      <w:r w:rsidR="00BB46AB">
        <w:rPr>
          <w:lang w:val="en-GB"/>
        </w:rPr>
        <w:t>s focus</w:t>
      </w:r>
      <w:r>
        <w:rPr>
          <w:lang w:val="en-GB"/>
        </w:rPr>
        <w:t xml:space="preserve"> on </w:t>
      </w:r>
      <w:r w:rsidR="00BB46AB">
        <w:rPr>
          <w:lang w:val="en-GB"/>
        </w:rPr>
        <w:t xml:space="preserve">ensuring that immediately after reopening, departments have addressed </w:t>
      </w:r>
      <w:r>
        <w:rPr>
          <w:lang w:val="en-GB"/>
        </w:rPr>
        <w:t>priority measures for</w:t>
      </w:r>
      <w:r w:rsidR="00BB46AB">
        <w:rPr>
          <w:lang w:val="en-GB"/>
        </w:rPr>
        <w:t xml:space="preserve"> safety,</w:t>
      </w:r>
      <w:r>
        <w:rPr>
          <w:lang w:val="en-GB"/>
        </w:rPr>
        <w:t xml:space="preserve"> infection prevention and control</w:t>
      </w:r>
      <w:r w:rsidR="00BB46AB">
        <w:rPr>
          <w:lang w:val="en-GB"/>
        </w:rPr>
        <w:t xml:space="preserve"> (Immediate Actions). It also includes a checklist for the period of time beyond the initial reopening phase (Ongoing Actions).</w:t>
      </w:r>
    </w:p>
    <w:p w:rsidR="00192E80" w:rsidRPr="00FD7A33" w:rsidRDefault="00192E80" w:rsidP="00192E80">
      <w:pPr>
        <w:rPr>
          <w:lang w:val="en-GB"/>
        </w:rPr>
      </w:pPr>
      <w:r>
        <w:rPr>
          <w:lang w:val="en-GB"/>
        </w:rPr>
        <w:t xml:space="preserve">Government guidelines are available via the </w:t>
      </w:r>
      <w:hyperlink r:id="rId8" w:history="1">
        <w:r w:rsidRPr="00FD7A33">
          <w:rPr>
            <w:rStyle w:val="Hyperlink"/>
            <w:lang w:val="en-GB"/>
          </w:rPr>
          <w:t>Working Safely during COVID-19</w:t>
        </w:r>
      </w:hyperlink>
      <w:r>
        <w:rPr>
          <w:lang w:val="en-GB"/>
        </w:rPr>
        <w:t xml:space="preserve"> website. </w:t>
      </w:r>
      <w:r w:rsidRPr="00FD7A33">
        <w:rPr>
          <w:lang w:val="en-GB"/>
        </w:rPr>
        <w:t xml:space="preserve">Information about UCL’s response to COVID-19 can be found </w:t>
      </w:r>
      <w:r>
        <w:rPr>
          <w:lang w:val="en-GB"/>
        </w:rPr>
        <w:t xml:space="preserve">on the dedicated </w:t>
      </w:r>
      <w:hyperlink r:id="rId9" w:history="1">
        <w:r w:rsidRPr="00FD7A33">
          <w:rPr>
            <w:rStyle w:val="Hyperlink"/>
            <w:lang w:val="en-GB"/>
          </w:rPr>
          <w:t>coronavirus website</w:t>
        </w:r>
      </w:hyperlink>
      <w:r>
        <w:rPr>
          <w:lang w:val="en-GB"/>
        </w:rPr>
        <w:t xml:space="preserve">. Local </w:t>
      </w:r>
      <w:r w:rsidRPr="00FD7A33">
        <w:rPr>
          <w:lang w:val="en-GB"/>
        </w:rPr>
        <w:t>risk assessment</w:t>
      </w:r>
      <w:r>
        <w:rPr>
          <w:lang w:val="en-GB"/>
        </w:rPr>
        <w:t>s</w:t>
      </w:r>
      <w:r w:rsidRPr="00FD7A33">
        <w:rPr>
          <w:lang w:val="en-GB"/>
        </w:rPr>
        <w:t xml:space="preserve"> to document </w:t>
      </w:r>
      <w:r>
        <w:rPr>
          <w:lang w:val="en-GB"/>
        </w:rPr>
        <w:t xml:space="preserve">the hazards and controls of </w:t>
      </w:r>
      <w:r w:rsidRPr="00FD7A33">
        <w:rPr>
          <w:lang w:val="en-GB"/>
        </w:rPr>
        <w:t>restarting activity must be completed</w:t>
      </w:r>
      <w:r w:rsidR="007D4D98">
        <w:rPr>
          <w:lang w:val="en-GB"/>
        </w:rPr>
        <w:t xml:space="preserve"> alongside this document</w:t>
      </w:r>
      <w:r w:rsidRPr="00FD7A33">
        <w:rPr>
          <w:lang w:val="en-GB"/>
        </w:rPr>
        <w:t xml:space="preserve">. </w:t>
      </w:r>
    </w:p>
    <w:p w:rsidR="00D542CD" w:rsidRPr="00D542CD" w:rsidRDefault="00D542CD" w:rsidP="00D542CD">
      <w:pPr>
        <w:pStyle w:val="Heading2"/>
        <w:rPr>
          <w:lang w:val="en-GB"/>
        </w:rPr>
      </w:pPr>
      <w:r w:rsidRPr="00D542CD">
        <w:rPr>
          <w:lang w:val="en-GB"/>
        </w:rPr>
        <w:t>Content</w:t>
      </w:r>
    </w:p>
    <w:p w:rsidR="00BB46AB" w:rsidRPr="00BE7DEE" w:rsidRDefault="00BB46AB" w:rsidP="00BB46AB">
      <w:pPr>
        <w:ind w:left="714"/>
        <w:rPr>
          <w:rFonts w:eastAsia="MS Mincho" w:cs="Arial"/>
          <w:b/>
          <w:color w:val="31849B" w:themeColor="accent5" w:themeShade="BF"/>
        </w:rPr>
      </w:pPr>
      <w:r>
        <w:rPr>
          <w:rFonts w:eastAsia="MS Mincho" w:cs="Arial"/>
          <w:b/>
          <w:color w:val="31849B" w:themeColor="accent5" w:themeShade="BF"/>
        </w:rPr>
        <w:t>2</w:t>
      </w:r>
      <w:r w:rsidRPr="00892687">
        <w:rPr>
          <w:rFonts w:eastAsia="MS Mincho" w:cs="Arial"/>
          <w:b/>
          <w:color w:val="31849B" w:themeColor="accent5" w:themeShade="BF"/>
        </w:rPr>
        <w:t>. Immediate Actions – to complete in the first week</w:t>
      </w:r>
    </w:p>
    <w:p w:rsidR="00BB46AB" w:rsidRDefault="00BB46AB" w:rsidP="00BB46AB">
      <w:pPr>
        <w:ind w:left="714"/>
        <w:rPr>
          <w:rFonts w:cs="Arial"/>
          <w:b/>
          <w:color w:val="31849B" w:themeColor="accent5" w:themeShade="BF"/>
        </w:rPr>
      </w:pPr>
      <w:r>
        <w:rPr>
          <w:rFonts w:eastAsia="MS Mincho" w:cs="Arial"/>
          <w:b/>
          <w:color w:val="31849B" w:themeColor="accent5" w:themeShade="BF"/>
        </w:rPr>
        <w:t>3</w:t>
      </w:r>
      <w:r w:rsidRPr="00892687">
        <w:rPr>
          <w:rFonts w:eastAsia="MS Mincho" w:cs="Arial"/>
          <w:b/>
          <w:color w:val="31849B" w:themeColor="accent5" w:themeShade="BF"/>
        </w:rPr>
        <w:t xml:space="preserve">. </w:t>
      </w:r>
      <w:r w:rsidRPr="00892687">
        <w:rPr>
          <w:rFonts w:cs="Arial"/>
          <w:b/>
          <w:color w:val="31849B" w:themeColor="accent5" w:themeShade="BF"/>
        </w:rPr>
        <w:t>Ongoing actions – to check and complete in the first month</w:t>
      </w:r>
    </w:p>
    <w:p w:rsidR="00F91741" w:rsidRPr="00BB46AB" w:rsidRDefault="00F91741" w:rsidP="00BB46AB">
      <w:pPr>
        <w:rPr>
          <w:lang w:val="en-GB"/>
        </w:rPr>
      </w:pPr>
      <w:bookmarkStart w:id="0" w:name="_1._Planning_for"/>
      <w:bookmarkEnd w:id="0"/>
    </w:p>
    <w:p w:rsidR="00F91741" w:rsidRPr="00F91741" w:rsidRDefault="00F91741" w:rsidP="00F91741">
      <w:pPr>
        <w:pStyle w:val="ListParagraph"/>
        <w:numPr>
          <w:ilvl w:val="0"/>
          <w:numId w:val="44"/>
        </w:numPr>
        <w:ind w:left="714" w:hanging="357"/>
        <w:contextualSpacing w:val="0"/>
        <w:rPr>
          <w:lang w:val="en-GB"/>
        </w:rPr>
        <w:sectPr w:rsidR="00F91741" w:rsidRPr="00F91741" w:rsidSect="00B37466">
          <w:footerReference w:type="default" r:id="rId10"/>
          <w:headerReference w:type="first" r:id="rId11"/>
          <w:footerReference w:type="first" r:id="rId12"/>
          <w:pgSz w:w="11900" w:h="16840"/>
          <w:pgMar w:top="1134" w:right="1134" w:bottom="1134" w:left="1134" w:header="709" w:footer="709" w:gutter="0"/>
          <w:cols w:space="708"/>
          <w:titlePg/>
          <w:docGrid w:linePitch="360"/>
        </w:sectPr>
      </w:pPr>
    </w:p>
    <w:p w:rsidR="007C4BE6" w:rsidRDefault="00BE6618" w:rsidP="007C4BE6">
      <w:pPr>
        <w:pStyle w:val="Heading1"/>
        <w:rPr>
          <w:lang w:val="en-GB"/>
        </w:rPr>
      </w:pPr>
      <w:bookmarkStart w:id="1" w:name="_1._Planning_for_2"/>
      <w:bookmarkEnd w:id="1"/>
      <w:r>
        <w:rPr>
          <w:lang w:val="en-GB"/>
        </w:rPr>
        <w:lastRenderedPageBreak/>
        <w:t>2. Immediate Actions – to complete in the first week</w:t>
      </w:r>
    </w:p>
    <w:p w:rsidR="00BE6618" w:rsidRPr="00BE6618" w:rsidRDefault="00733B1F" w:rsidP="00BE6618">
      <w:pPr>
        <w:rPr>
          <w:lang w:val="en-GB"/>
        </w:rPr>
      </w:pPr>
      <w:r>
        <w:rPr>
          <w:lang w:val="en-GB"/>
        </w:rPr>
        <w:t>For more information, please r</w:t>
      </w:r>
      <w:r w:rsidR="007B5651">
        <w:rPr>
          <w:lang w:val="en-GB"/>
        </w:rPr>
        <w:t>efer to the</w:t>
      </w:r>
      <w:r w:rsidR="004272E0">
        <w:rPr>
          <w:lang w:val="en-GB"/>
        </w:rPr>
        <w:t xml:space="preserve"> management responsibilities and guidance sections (below)</w:t>
      </w:r>
      <w:r w:rsidR="00F535A6">
        <w:rPr>
          <w:lang w:val="en-GB"/>
        </w:rPr>
        <w:t xml:space="preserve"> which covers this and the reopening checklist documentation.</w:t>
      </w:r>
    </w:p>
    <w:tbl>
      <w:tblPr>
        <w:tblStyle w:val="TableGrid"/>
        <w:tblW w:w="14596" w:type="dxa"/>
        <w:tblLook w:val="04A0" w:firstRow="1" w:lastRow="0" w:firstColumn="1" w:lastColumn="0" w:noHBand="0" w:noVBand="1"/>
      </w:tblPr>
      <w:tblGrid>
        <w:gridCol w:w="11035"/>
        <w:gridCol w:w="726"/>
        <w:gridCol w:w="2835"/>
      </w:tblGrid>
      <w:tr w:rsidR="00F91741" w:rsidTr="00435C17">
        <w:trPr>
          <w:cantSplit/>
          <w:tblHeader/>
        </w:trPr>
        <w:tc>
          <w:tcPr>
            <w:tcW w:w="11035" w:type="dxa"/>
            <w:shd w:val="clear" w:color="auto" w:fill="00B050"/>
          </w:tcPr>
          <w:p w:rsidR="00F91741" w:rsidRPr="001731B7" w:rsidRDefault="00F91741" w:rsidP="00F91741">
            <w:pPr>
              <w:spacing w:before="60" w:after="60"/>
              <w:rPr>
                <w:b/>
              </w:rPr>
            </w:pPr>
            <w:r>
              <w:rPr>
                <w:b/>
                <w:lang w:val="en-GB"/>
              </w:rPr>
              <w:t>Measure</w:t>
            </w:r>
          </w:p>
        </w:tc>
        <w:tc>
          <w:tcPr>
            <w:tcW w:w="726" w:type="dxa"/>
            <w:shd w:val="clear" w:color="auto" w:fill="00B050"/>
          </w:tcPr>
          <w:p w:rsidR="00F91741" w:rsidRPr="001731B7" w:rsidRDefault="00F91741" w:rsidP="00F91741">
            <w:pPr>
              <w:spacing w:before="60" w:after="60"/>
              <w:jc w:val="center"/>
              <w:rPr>
                <w:b/>
              </w:rPr>
            </w:pPr>
            <w:r>
              <w:rPr>
                <w:b/>
                <w:lang w:val="en-GB"/>
              </w:rPr>
              <w:t>Y/N?</w:t>
            </w:r>
          </w:p>
        </w:tc>
        <w:tc>
          <w:tcPr>
            <w:tcW w:w="2835" w:type="dxa"/>
            <w:shd w:val="clear" w:color="auto" w:fill="00B050"/>
          </w:tcPr>
          <w:p w:rsidR="00F91741" w:rsidRPr="001731B7" w:rsidRDefault="00F91741" w:rsidP="00F91741">
            <w:pPr>
              <w:spacing w:before="60" w:after="60"/>
              <w:rPr>
                <w:b/>
              </w:rPr>
            </w:pPr>
            <w:r>
              <w:rPr>
                <w:b/>
                <w:lang w:val="en-GB"/>
              </w:rPr>
              <w:t>Action / comment</w:t>
            </w:r>
          </w:p>
        </w:tc>
      </w:tr>
      <w:tr w:rsidR="00F91741" w:rsidTr="00F96C58">
        <w:trPr>
          <w:cantSplit/>
        </w:trPr>
        <w:tc>
          <w:tcPr>
            <w:tcW w:w="14596" w:type="dxa"/>
            <w:gridSpan w:val="3"/>
            <w:shd w:val="clear" w:color="auto" w:fill="D9D9D9" w:themeFill="background1" w:themeFillShade="D9"/>
          </w:tcPr>
          <w:p w:rsidR="00F91741" w:rsidRPr="001731B7" w:rsidRDefault="00F91741" w:rsidP="00F91741">
            <w:pPr>
              <w:spacing w:before="60" w:after="60"/>
              <w:jc w:val="center"/>
              <w:rPr>
                <w:lang w:val="en-GB"/>
              </w:rPr>
            </w:pPr>
            <w:bookmarkStart w:id="2" w:name="_2._Immediate_actions"/>
            <w:bookmarkEnd w:id="2"/>
            <w:r w:rsidRPr="001731B7">
              <w:rPr>
                <w:b/>
              </w:rPr>
              <w:t>Prepare your People</w:t>
            </w:r>
          </w:p>
        </w:tc>
      </w:tr>
      <w:tr w:rsidR="00BE6618" w:rsidTr="00F96C58">
        <w:trPr>
          <w:cantSplit/>
        </w:trPr>
        <w:tc>
          <w:tcPr>
            <w:tcW w:w="11035" w:type="dxa"/>
          </w:tcPr>
          <w:p w:rsidR="00BE6618" w:rsidRPr="00E733EB" w:rsidRDefault="00BE6618" w:rsidP="00BE6618">
            <w:pPr>
              <w:pStyle w:val="ListParagraph"/>
              <w:numPr>
                <w:ilvl w:val="0"/>
                <w:numId w:val="9"/>
              </w:numPr>
              <w:spacing w:before="60" w:after="60"/>
              <w:rPr>
                <w:lang w:val="en-GB"/>
              </w:rPr>
            </w:pPr>
            <w:r w:rsidRPr="00545A88">
              <w:rPr>
                <w:lang w:val="en-GB"/>
              </w:rPr>
              <w:t xml:space="preserve">Brief FEMs </w:t>
            </w:r>
            <w:r>
              <w:rPr>
                <w:lang w:val="en-GB"/>
              </w:rPr>
              <w:t xml:space="preserve">and staff </w:t>
            </w:r>
            <w:r w:rsidRPr="00545A88">
              <w:rPr>
                <w:lang w:val="en-GB"/>
              </w:rPr>
              <w:t xml:space="preserve">on evacuation social distancing. Remind building occupants as they evacuate or return to the building </w:t>
            </w:r>
            <w:r w:rsidRPr="00814E6C">
              <w:rPr>
                <w:lang w:val="en-GB"/>
              </w:rPr>
              <w:t>to socially distance as far as pr</w:t>
            </w:r>
            <w:r>
              <w:rPr>
                <w:lang w:val="en-GB"/>
              </w:rPr>
              <w:t>acticable</w:t>
            </w:r>
            <w:r w:rsidRPr="00814E6C">
              <w:rPr>
                <w:lang w:val="en-GB"/>
              </w:rPr>
              <w:t>. The priority, however, is always for a rapid evacuation</w:t>
            </w:r>
          </w:p>
        </w:tc>
        <w:tc>
          <w:tcPr>
            <w:tcW w:w="726" w:type="dxa"/>
          </w:tcPr>
          <w:p w:rsidR="00BE6618" w:rsidRDefault="00BE6618" w:rsidP="00BE6618">
            <w:pPr>
              <w:spacing w:before="60" w:after="60"/>
              <w:jc w:val="center"/>
              <w:rPr>
                <w:lang w:val="en-GB"/>
              </w:rPr>
            </w:pPr>
          </w:p>
        </w:tc>
        <w:tc>
          <w:tcPr>
            <w:tcW w:w="2835" w:type="dxa"/>
          </w:tcPr>
          <w:p w:rsidR="00BE6618" w:rsidRDefault="00BE6618" w:rsidP="00BE6618">
            <w:pPr>
              <w:spacing w:before="60" w:after="60"/>
              <w:rPr>
                <w:lang w:val="en-GB"/>
              </w:rPr>
            </w:pPr>
          </w:p>
        </w:tc>
      </w:tr>
      <w:tr w:rsidR="00BE6618" w:rsidTr="00F96C58">
        <w:trPr>
          <w:cantSplit/>
        </w:trPr>
        <w:tc>
          <w:tcPr>
            <w:tcW w:w="11035" w:type="dxa"/>
          </w:tcPr>
          <w:p w:rsidR="00BE6618" w:rsidRPr="00E733EB" w:rsidRDefault="00BE6618" w:rsidP="00BE6618">
            <w:pPr>
              <w:pStyle w:val="ListParagraph"/>
              <w:numPr>
                <w:ilvl w:val="0"/>
                <w:numId w:val="9"/>
              </w:numPr>
              <w:spacing w:before="60" w:after="60"/>
              <w:rPr>
                <w:lang w:val="en-GB"/>
              </w:rPr>
            </w:pPr>
            <w:r w:rsidRPr="006D4E73">
              <w:rPr>
                <w:lang w:val="en-GB"/>
              </w:rPr>
              <w:t>Restart departmental training schedules for staff whose qualificati</w:t>
            </w:r>
            <w:r>
              <w:rPr>
                <w:lang w:val="en-GB"/>
              </w:rPr>
              <w:t>ons expired during the shutdown. This may include f</w:t>
            </w:r>
            <w:r w:rsidRPr="006D4E73">
              <w:rPr>
                <w:lang w:val="en-GB"/>
              </w:rPr>
              <w:t>irst aiders</w:t>
            </w:r>
            <w:r>
              <w:rPr>
                <w:lang w:val="en-GB"/>
              </w:rPr>
              <w:t xml:space="preserve"> and those trained in t</w:t>
            </w:r>
            <w:r w:rsidRPr="006D4E73">
              <w:rPr>
                <w:lang w:val="en-GB"/>
              </w:rPr>
              <w:t>ransport of diagnostic and infectious substances</w:t>
            </w:r>
            <w:r>
              <w:rPr>
                <w:lang w:val="en-GB"/>
              </w:rPr>
              <w:t>.</w:t>
            </w:r>
          </w:p>
        </w:tc>
        <w:tc>
          <w:tcPr>
            <w:tcW w:w="726" w:type="dxa"/>
          </w:tcPr>
          <w:p w:rsidR="00BE6618" w:rsidRDefault="00BE6618" w:rsidP="00BE6618">
            <w:pPr>
              <w:spacing w:before="60" w:after="60"/>
              <w:jc w:val="center"/>
              <w:rPr>
                <w:lang w:val="en-GB"/>
              </w:rPr>
            </w:pPr>
          </w:p>
        </w:tc>
        <w:tc>
          <w:tcPr>
            <w:tcW w:w="2835" w:type="dxa"/>
          </w:tcPr>
          <w:p w:rsidR="00BE6618" w:rsidRDefault="00BE6618" w:rsidP="00BE6618">
            <w:pPr>
              <w:spacing w:before="60" w:after="60"/>
              <w:rPr>
                <w:lang w:val="en-GB"/>
              </w:rPr>
            </w:pPr>
          </w:p>
        </w:tc>
      </w:tr>
      <w:tr w:rsidR="00F91741" w:rsidTr="00F96C58">
        <w:trPr>
          <w:cantSplit/>
        </w:trPr>
        <w:tc>
          <w:tcPr>
            <w:tcW w:w="14596" w:type="dxa"/>
            <w:gridSpan w:val="3"/>
            <w:shd w:val="clear" w:color="auto" w:fill="D9D9D9" w:themeFill="background1" w:themeFillShade="D9"/>
          </w:tcPr>
          <w:p w:rsidR="00F91741" w:rsidRDefault="00F91741" w:rsidP="00F91741">
            <w:pPr>
              <w:spacing w:before="60" w:after="60"/>
              <w:jc w:val="center"/>
              <w:rPr>
                <w:lang w:val="en-GB"/>
              </w:rPr>
            </w:pPr>
            <w:r w:rsidRPr="00770317">
              <w:rPr>
                <w:b/>
                <w:lang w:val="en-GB"/>
              </w:rPr>
              <w:t>Prepare the Building</w:t>
            </w:r>
          </w:p>
        </w:tc>
      </w:tr>
      <w:tr w:rsidR="00BE6618" w:rsidTr="00F96C58">
        <w:trPr>
          <w:cantSplit/>
        </w:trPr>
        <w:tc>
          <w:tcPr>
            <w:tcW w:w="11035" w:type="dxa"/>
          </w:tcPr>
          <w:p w:rsidR="00BE6618" w:rsidRPr="00196F1C" w:rsidRDefault="00BE6618" w:rsidP="00BE6618">
            <w:pPr>
              <w:pStyle w:val="ListParagraph"/>
              <w:numPr>
                <w:ilvl w:val="0"/>
                <w:numId w:val="9"/>
              </w:numPr>
              <w:spacing w:before="60" w:after="60"/>
            </w:pPr>
            <w:r w:rsidRPr="00B14050">
              <w:t>Check that in facilitating movement around buildings, that fire safety is not compromised. For example, fire doors must not be wedged open, even if this prevents touching handles.</w:t>
            </w:r>
          </w:p>
        </w:tc>
        <w:tc>
          <w:tcPr>
            <w:tcW w:w="726" w:type="dxa"/>
          </w:tcPr>
          <w:p w:rsidR="00BE6618" w:rsidRDefault="00BE6618" w:rsidP="00BE6618">
            <w:pPr>
              <w:spacing w:before="60" w:after="60"/>
              <w:jc w:val="center"/>
              <w:rPr>
                <w:lang w:val="en-GB"/>
              </w:rPr>
            </w:pPr>
          </w:p>
        </w:tc>
        <w:tc>
          <w:tcPr>
            <w:tcW w:w="2835" w:type="dxa"/>
          </w:tcPr>
          <w:p w:rsidR="00BE6618" w:rsidRDefault="00BE6618" w:rsidP="00BE6618">
            <w:pPr>
              <w:spacing w:before="60" w:after="60"/>
              <w:rPr>
                <w:lang w:val="en-GB"/>
              </w:rPr>
            </w:pPr>
          </w:p>
        </w:tc>
      </w:tr>
      <w:tr w:rsidR="00BE6618" w:rsidTr="00A0651C">
        <w:trPr>
          <w:cantSplit/>
        </w:trPr>
        <w:tc>
          <w:tcPr>
            <w:tcW w:w="11035" w:type="dxa"/>
          </w:tcPr>
          <w:p w:rsidR="00BE6618" w:rsidRPr="00E733EB" w:rsidRDefault="00BE6618" w:rsidP="00BE6618">
            <w:pPr>
              <w:pStyle w:val="ListParagraph"/>
              <w:numPr>
                <w:ilvl w:val="0"/>
                <w:numId w:val="9"/>
              </w:numPr>
              <w:spacing w:before="60" w:after="60"/>
              <w:rPr>
                <w:lang w:val="en-GB"/>
              </w:rPr>
            </w:pPr>
            <w:r>
              <w:rPr>
                <w:rFonts w:eastAsia="Times New Roman" w:cs="Arial"/>
                <w:szCs w:val="22"/>
                <w:lang w:val="en-GB" w:eastAsia="en-GB"/>
              </w:rPr>
              <w:t xml:space="preserve">FEMs, or Senior FEMs </w:t>
            </w:r>
            <w:r w:rsidRPr="00DE190B">
              <w:rPr>
                <w:rFonts w:eastAsia="Times New Roman" w:cs="Arial"/>
                <w:szCs w:val="22"/>
                <w:lang w:val="en-GB" w:eastAsia="en-GB"/>
              </w:rPr>
              <w:t xml:space="preserve">to carry out a fire inspection of the whole building to ensure fire safety measures are still in place and walk the escape routes, to check all evacuation routes are clear and doors operate correctly. Use </w:t>
            </w:r>
            <w:hyperlink r:id="rId13" w:history="1">
              <w:r w:rsidRPr="00DE190B">
                <w:rPr>
                  <w:rStyle w:val="Hyperlink"/>
                  <w:rFonts w:eastAsia="Times New Roman" w:cs="Arial"/>
                  <w:szCs w:val="22"/>
                  <w:lang w:val="en-GB" w:eastAsia="en-GB"/>
                </w:rPr>
                <w:t>form TN077a</w:t>
              </w:r>
            </w:hyperlink>
            <w:r w:rsidRPr="00DE190B">
              <w:rPr>
                <w:rFonts w:eastAsia="Times New Roman" w:cs="Arial"/>
                <w:szCs w:val="22"/>
                <w:lang w:val="en-GB" w:eastAsia="en-GB"/>
              </w:rPr>
              <w:t xml:space="preserve"> to record this.</w:t>
            </w:r>
          </w:p>
        </w:tc>
        <w:tc>
          <w:tcPr>
            <w:tcW w:w="726" w:type="dxa"/>
          </w:tcPr>
          <w:p w:rsidR="00BE6618" w:rsidRDefault="00BE6618" w:rsidP="00BE6618">
            <w:pPr>
              <w:spacing w:before="60" w:after="60"/>
              <w:jc w:val="center"/>
              <w:rPr>
                <w:lang w:val="en-GB"/>
              </w:rPr>
            </w:pPr>
          </w:p>
        </w:tc>
        <w:tc>
          <w:tcPr>
            <w:tcW w:w="2835" w:type="dxa"/>
          </w:tcPr>
          <w:p w:rsidR="00BE6618" w:rsidRDefault="00BE6618" w:rsidP="00BE6618">
            <w:pPr>
              <w:spacing w:before="60" w:after="60"/>
              <w:rPr>
                <w:lang w:val="en-GB"/>
              </w:rPr>
            </w:pPr>
          </w:p>
        </w:tc>
      </w:tr>
      <w:tr w:rsidR="00F91741" w:rsidTr="00F96C58">
        <w:trPr>
          <w:cantSplit/>
        </w:trPr>
        <w:tc>
          <w:tcPr>
            <w:tcW w:w="14596" w:type="dxa"/>
            <w:gridSpan w:val="3"/>
            <w:shd w:val="clear" w:color="auto" w:fill="D9D9D9" w:themeFill="background1" w:themeFillShade="D9"/>
          </w:tcPr>
          <w:p w:rsidR="00F91741" w:rsidRDefault="00F91741" w:rsidP="00854A1D">
            <w:pPr>
              <w:spacing w:before="60" w:after="60"/>
              <w:jc w:val="center"/>
              <w:rPr>
                <w:lang w:val="en-GB"/>
              </w:rPr>
            </w:pPr>
            <w:r w:rsidRPr="00770317">
              <w:rPr>
                <w:b/>
                <w:lang w:val="en-GB"/>
              </w:rPr>
              <w:t>Social Distancing Plan</w:t>
            </w:r>
            <w:r w:rsidR="00854A1D">
              <w:rPr>
                <w:lang w:val="en-GB"/>
              </w:rPr>
              <w:t xml:space="preserve"> </w:t>
            </w:r>
          </w:p>
        </w:tc>
      </w:tr>
      <w:tr w:rsidR="00BE6618" w:rsidTr="00F96C58">
        <w:trPr>
          <w:cantSplit/>
        </w:trPr>
        <w:tc>
          <w:tcPr>
            <w:tcW w:w="11035" w:type="dxa"/>
          </w:tcPr>
          <w:p w:rsidR="00BE6618" w:rsidRPr="002E3A08" w:rsidRDefault="00BE6618" w:rsidP="00BE6618">
            <w:pPr>
              <w:pStyle w:val="ListParagraph"/>
              <w:numPr>
                <w:ilvl w:val="0"/>
                <w:numId w:val="9"/>
              </w:numPr>
              <w:spacing w:before="60" w:after="60"/>
              <w:rPr>
                <w:lang w:val="en-GB"/>
              </w:rPr>
            </w:pPr>
            <w:r w:rsidRPr="007B4792">
              <w:rPr>
                <w:lang w:val="en-GB"/>
              </w:rPr>
              <w:t>Staff should use a ‘put-down-pick-up’ strategy if they must use the same items, which will ensure social distancing. Items shared should be sanitised before being used by different individuals.</w:t>
            </w:r>
            <w:r w:rsidRPr="007B4792">
              <w:rPr>
                <w:color w:val="FF0000"/>
              </w:rPr>
              <w:t xml:space="preserve"> </w:t>
            </w:r>
          </w:p>
        </w:tc>
        <w:tc>
          <w:tcPr>
            <w:tcW w:w="726" w:type="dxa"/>
          </w:tcPr>
          <w:p w:rsidR="00BE6618" w:rsidRDefault="00BE6618" w:rsidP="00BE6618">
            <w:pPr>
              <w:spacing w:before="60" w:after="60"/>
              <w:jc w:val="center"/>
              <w:rPr>
                <w:lang w:val="en-GB"/>
              </w:rPr>
            </w:pPr>
          </w:p>
        </w:tc>
        <w:tc>
          <w:tcPr>
            <w:tcW w:w="2835" w:type="dxa"/>
          </w:tcPr>
          <w:p w:rsidR="00BE6618" w:rsidRDefault="00BE6618" w:rsidP="00BE6618">
            <w:pPr>
              <w:spacing w:before="60" w:after="60"/>
              <w:rPr>
                <w:lang w:val="en-GB"/>
              </w:rPr>
            </w:pPr>
          </w:p>
        </w:tc>
      </w:tr>
      <w:tr w:rsidR="00F91741" w:rsidTr="00F96C58">
        <w:trPr>
          <w:cantSplit/>
        </w:trPr>
        <w:tc>
          <w:tcPr>
            <w:tcW w:w="14596" w:type="dxa"/>
            <w:gridSpan w:val="3"/>
            <w:shd w:val="clear" w:color="auto" w:fill="D9D9D9" w:themeFill="background1" w:themeFillShade="D9"/>
          </w:tcPr>
          <w:p w:rsidR="00F91741" w:rsidRDefault="00F91741" w:rsidP="00F91741">
            <w:pPr>
              <w:spacing w:before="60" w:after="60"/>
              <w:jc w:val="center"/>
              <w:rPr>
                <w:lang w:val="en-GB"/>
              </w:rPr>
            </w:pPr>
            <w:r>
              <w:rPr>
                <w:b/>
                <w:lang w:val="en-GB"/>
              </w:rPr>
              <w:t>Health, Safety and compliance</w:t>
            </w:r>
          </w:p>
        </w:tc>
      </w:tr>
      <w:tr w:rsidR="00BE6618" w:rsidTr="00F96C58">
        <w:trPr>
          <w:cantSplit/>
        </w:trPr>
        <w:tc>
          <w:tcPr>
            <w:tcW w:w="11035" w:type="dxa"/>
          </w:tcPr>
          <w:p w:rsidR="00BE6618" w:rsidRPr="008A7E73" w:rsidRDefault="00BE6618" w:rsidP="00BE6618">
            <w:pPr>
              <w:pStyle w:val="ListParagraph"/>
              <w:numPr>
                <w:ilvl w:val="0"/>
                <w:numId w:val="9"/>
              </w:numPr>
              <w:spacing w:before="60" w:after="60"/>
              <w:rPr>
                <w:lang w:val="en-GB"/>
              </w:rPr>
            </w:pPr>
            <w:r w:rsidRPr="00C11A50">
              <w:rPr>
                <w:lang w:val="en-GB"/>
              </w:rPr>
              <w:t xml:space="preserve">First aiders to </w:t>
            </w:r>
            <w:hyperlink r:id="rId14" w:history="1">
              <w:r w:rsidRPr="00E41326">
                <w:rPr>
                  <w:rStyle w:val="Hyperlink"/>
                  <w:lang w:val="en-GB"/>
                </w:rPr>
                <w:t>check the first aid kits</w:t>
              </w:r>
            </w:hyperlink>
            <w:r w:rsidRPr="00C11A50">
              <w:rPr>
                <w:lang w:val="en-GB"/>
              </w:rPr>
              <w:t xml:space="preserve"> throughout the area. Some supplies may have been used and not replaced during shutdown. Remember to </w:t>
            </w:r>
            <w:hyperlink r:id="rId15" w:history="1">
              <w:r w:rsidRPr="009201E5">
                <w:rPr>
                  <w:rStyle w:val="Hyperlink"/>
                  <w:lang w:val="en-GB"/>
                </w:rPr>
                <w:t>report incidents</w:t>
              </w:r>
            </w:hyperlink>
            <w:r w:rsidRPr="00C11A50">
              <w:rPr>
                <w:lang w:val="en-GB"/>
              </w:rPr>
              <w:t xml:space="preserve"> on </w:t>
            </w:r>
            <w:proofErr w:type="spellStart"/>
            <w:r w:rsidRPr="00C11A50">
              <w:rPr>
                <w:lang w:val="en-GB"/>
              </w:rPr>
              <w:t>risk</w:t>
            </w:r>
            <w:r>
              <w:rPr>
                <w:lang w:val="en-GB"/>
              </w:rPr>
              <w:t>NET</w:t>
            </w:r>
            <w:proofErr w:type="spellEnd"/>
            <w:r w:rsidRPr="00C11A50">
              <w:rPr>
                <w:lang w:val="en-GB"/>
              </w:rPr>
              <w:t xml:space="preserve"> if supplies have been used.</w:t>
            </w:r>
          </w:p>
        </w:tc>
        <w:tc>
          <w:tcPr>
            <w:tcW w:w="726" w:type="dxa"/>
          </w:tcPr>
          <w:p w:rsidR="00BE6618" w:rsidRDefault="00BE6618" w:rsidP="00BE6618">
            <w:pPr>
              <w:spacing w:before="60" w:after="60"/>
              <w:jc w:val="center"/>
              <w:rPr>
                <w:lang w:val="en-GB"/>
              </w:rPr>
            </w:pPr>
          </w:p>
        </w:tc>
        <w:tc>
          <w:tcPr>
            <w:tcW w:w="2835" w:type="dxa"/>
          </w:tcPr>
          <w:p w:rsidR="00BE6618" w:rsidRDefault="00BE6618" w:rsidP="00BE6618">
            <w:pPr>
              <w:spacing w:before="60" w:after="60"/>
              <w:rPr>
                <w:lang w:val="en-GB"/>
              </w:rPr>
            </w:pPr>
          </w:p>
        </w:tc>
      </w:tr>
      <w:tr w:rsidR="00BE6618" w:rsidTr="00F96C58">
        <w:trPr>
          <w:cantSplit/>
        </w:trPr>
        <w:tc>
          <w:tcPr>
            <w:tcW w:w="11035" w:type="dxa"/>
          </w:tcPr>
          <w:p w:rsidR="00BE6618" w:rsidRPr="00987092" w:rsidRDefault="00BE6618" w:rsidP="00BE6618">
            <w:pPr>
              <w:pStyle w:val="ListParagraph"/>
              <w:numPr>
                <w:ilvl w:val="0"/>
                <w:numId w:val="9"/>
              </w:numPr>
              <w:spacing w:before="60" w:after="60"/>
              <w:rPr>
                <w:rFonts w:cs="Arial"/>
              </w:rPr>
            </w:pPr>
            <w:r w:rsidRPr="00C11A50">
              <w:rPr>
                <w:lang w:val="en-GB"/>
              </w:rPr>
              <w:t>Office, laboratory or kitchen equipment that normally contains water should be cleaned and washed out in case dampness or residual water was left in it before shutdown, so that a Legionella or other microbiological hazard is removed.</w:t>
            </w:r>
          </w:p>
        </w:tc>
        <w:tc>
          <w:tcPr>
            <w:tcW w:w="726" w:type="dxa"/>
          </w:tcPr>
          <w:p w:rsidR="00BE6618" w:rsidRPr="00987092" w:rsidRDefault="00BE6618" w:rsidP="00BE6618">
            <w:pPr>
              <w:spacing w:before="60" w:after="60"/>
              <w:jc w:val="center"/>
              <w:rPr>
                <w:lang w:val="en-GB"/>
              </w:rPr>
            </w:pPr>
          </w:p>
        </w:tc>
        <w:tc>
          <w:tcPr>
            <w:tcW w:w="2835" w:type="dxa"/>
          </w:tcPr>
          <w:p w:rsidR="00BE6618" w:rsidRPr="00987092" w:rsidRDefault="00BE6618" w:rsidP="00BE6618">
            <w:pPr>
              <w:spacing w:before="60" w:after="60"/>
              <w:rPr>
                <w:lang w:val="en-GB"/>
              </w:rPr>
            </w:pPr>
          </w:p>
        </w:tc>
      </w:tr>
      <w:tr w:rsidR="00BE6618" w:rsidTr="00F96C58">
        <w:trPr>
          <w:cantSplit/>
        </w:trPr>
        <w:tc>
          <w:tcPr>
            <w:tcW w:w="11035" w:type="dxa"/>
          </w:tcPr>
          <w:p w:rsidR="00BE6618" w:rsidRPr="008A7E73" w:rsidRDefault="00BE6618" w:rsidP="00BE6618">
            <w:pPr>
              <w:pStyle w:val="ListParagraph"/>
              <w:numPr>
                <w:ilvl w:val="0"/>
                <w:numId w:val="9"/>
              </w:numPr>
              <w:spacing w:before="60" w:after="60"/>
              <w:rPr>
                <w:lang w:val="en-GB"/>
              </w:rPr>
            </w:pPr>
            <w:r w:rsidRPr="00E41326">
              <w:rPr>
                <w:lang w:val="en-GB"/>
              </w:rPr>
              <w:t xml:space="preserve">Consider repeating electrical safety checks on restarting, such as Portable Appliance Testing (PAT). Alternatively, ask staff </w:t>
            </w:r>
            <w:r>
              <w:rPr>
                <w:lang w:val="en-GB"/>
              </w:rPr>
              <w:t xml:space="preserve">when they return to work </w:t>
            </w:r>
            <w:r w:rsidRPr="00E41326">
              <w:rPr>
                <w:lang w:val="en-GB"/>
              </w:rPr>
              <w:t>to complete visual check of cases, cables and plugs for items that may have been moved around. This includes as toasters, kettles, microwaves.</w:t>
            </w:r>
          </w:p>
        </w:tc>
        <w:tc>
          <w:tcPr>
            <w:tcW w:w="726" w:type="dxa"/>
          </w:tcPr>
          <w:p w:rsidR="00BE6618" w:rsidRDefault="00BE6618" w:rsidP="00BE6618">
            <w:pPr>
              <w:spacing w:before="60" w:after="60"/>
              <w:jc w:val="center"/>
              <w:rPr>
                <w:lang w:val="en-GB"/>
              </w:rPr>
            </w:pPr>
          </w:p>
        </w:tc>
        <w:tc>
          <w:tcPr>
            <w:tcW w:w="2835" w:type="dxa"/>
          </w:tcPr>
          <w:p w:rsidR="00BE6618" w:rsidRDefault="00BE6618" w:rsidP="00BE6618">
            <w:pPr>
              <w:spacing w:before="60" w:after="60"/>
              <w:rPr>
                <w:lang w:val="en-GB"/>
              </w:rPr>
            </w:pPr>
          </w:p>
        </w:tc>
      </w:tr>
      <w:tr w:rsidR="00BE6618" w:rsidTr="00F96C58">
        <w:trPr>
          <w:cantSplit/>
        </w:trPr>
        <w:tc>
          <w:tcPr>
            <w:tcW w:w="11035" w:type="dxa"/>
          </w:tcPr>
          <w:p w:rsidR="00BE6618" w:rsidRPr="00F812ED" w:rsidRDefault="00BE6618" w:rsidP="00BE6618">
            <w:pPr>
              <w:pStyle w:val="ListParagraph"/>
              <w:numPr>
                <w:ilvl w:val="0"/>
                <w:numId w:val="9"/>
              </w:numPr>
              <w:spacing w:before="60" w:after="60"/>
              <w:rPr>
                <w:rFonts w:cs="Arial"/>
              </w:rPr>
            </w:pPr>
            <w:r w:rsidRPr="0050609D">
              <w:rPr>
                <w:lang w:val="en-GB"/>
              </w:rPr>
              <w:lastRenderedPageBreak/>
              <w:t xml:space="preserve">Where appropriate, arrange face fit testing for staff to cover any new work activities if </w:t>
            </w:r>
            <w:r>
              <w:rPr>
                <w:lang w:val="en-GB"/>
              </w:rPr>
              <w:t xml:space="preserve">a risk assessment requires use of </w:t>
            </w:r>
            <w:r w:rsidRPr="0037696D">
              <w:rPr>
                <w:b/>
                <w:lang w:val="en-GB"/>
              </w:rPr>
              <w:t>fitted</w:t>
            </w:r>
            <w:r>
              <w:rPr>
                <w:lang w:val="en-GB"/>
              </w:rPr>
              <w:t xml:space="preserve"> face masks</w:t>
            </w:r>
            <w:r w:rsidRPr="0050609D">
              <w:rPr>
                <w:lang w:val="en-GB"/>
              </w:rPr>
              <w:t xml:space="preserve">. </w:t>
            </w:r>
            <w:r>
              <w:rPr>
                <w:lang w:val="en-GB"/>
              </w:rPr>
              <w:t>Note that t</w:t>
            </w:r>
            <w:r w:rsidRPr="0050609D">
              <w:rPr>
                <w:lang w:val="en-GB"/>
              </w:rPr>
              <w:t>he precautionary use of extra PPE to protect against COVID-19 outside clinical settings is not encouraged as other control methods must be adopted.</w:t>
            </w:r>
          </w:p>
        </w:tc>
        <w:tc>
          <w:tcPr>
            <w:tcW w:w="726" w:type="dxa"/>
          </w:tcPr>
          <w:p w:rsidR="00BE6618" w:rsidRDefault="00BE6618" w:rsidP="00BE6618">
            <w:pPr>
              <w:spacing w:before="60" w:after="60"/>
              <w:jc w:val="center"/>
              <w:rPr>
                <w:lang w:val="en-GB"/>
              </w:rPr>
            </w:pPr>
          </w:p>
        </w:tc>
        <w:tc>
          <w:tcPr>
            <w:tcW w:w="2835" w:type="dxa"/>
          </w:tcPr>
          <w:p w:rsidR="00BE6618" w:rsidRDefault="00BE6618" w:rsidP="00BE6618">
            <w:pPr>
              <w:spacing w:before="60" w:after="60"/>
              <w:rPr>
                <w:lang w:val="en-GB"/>
              </w:rPr>
            </w:pPr>
          </w:p>
        </w:tc>
      </w:tr>
      <w:tr w:rsidR="00F91741" w:rsidTr="00F96C58">
        <w:trPr>
          <w:cantSplit/>
        </w:trPr>
        <w:tc>
          <w:tcPr>
            <w:tcW w:w="14596" w:type="dxa"/>
            <w:gridSpan w:val="3"/>
            <w:shd w:val="clear" w:color="auto" w:fill="D9D9D9" w:themeFill="background1" w:themeFillShade="D9"/>
          </w:tcPr>
          <w:p w:rsidR="00F91741" w:rsidRDefault="00F91741" w:rsidP="00F77ECB">
            <w:pPr>
              <w:spacing w:before="60" w:after="60"/>
              <w:jc w:val="center"/>
              <w:rPr>
                <w:lang w:val="en-GB"/>
              </w:rPr>
            </w:pPr>
            <w:r w:rsidRPr="00770317">
              <w:rPr>
                <w:b/>
                <w:lang w:val="en-GB"/>
              </w:rPr>
              <w:t>Communications</w:t>
            </w:r>
          </w:p>
        </w:tc>
      </w:tr>
      <w:tr w:rsidR="00F91741" w:rsidTr="00F96C58">
        <w:trPr>
          <w:cantSplit/>
        </w:trPr>
        <w:tc>
          <w:tcPr>
            <w:tcW w:w="11035" w:type="dxa"/>
          </w:tcPr>
          <w:p w:rsidR="00F91741" w:rsidRPr="002E3A08" w:rsidRDefault="00BE6618" w:rsidP="00F91741">
            <w:pPr>
              <w:pStyle w:val="ListParagraph"/>
              <w:numPr>
                <w:ilvl w:val="0"/>
                <w:numId w:val="9"/>
              </w:numPr>
              <w:spacing w:before="60" w:after="60"/>
              <w:rPr>
                <w:lang w:val="en-GB"/>
              </w:rPr>
            </w:pPr>
            <w:r w:rsidRPr="00BE6618">
              <w:rPr>
                <w:rFonts w:cs="Arial"/>
                <w:lang w:val="en-GB"/>
              </w:rPr>
              <w:t>Ensure there is effective two way communication between staff and management to handle queries, complaints or issues that need to be rethought or addressed. The very many changes brought in at short notice will present some previously unrealised problems.</w:t>
            </w:r>
          </w:p>
        </w:tc>
        <w:tc>
          <w:tcPr>
            <w:tcW w:w="726" w:type="dxa"/>
          </w:tcPr>
          <w:p w:rsidR="00F91741" w:rsidRDefault="00F91741" w:rsidP="00F91741">
            <w:pPr>
              <w:spacing w:before="60" w:after="60"/>
              <w:jc w:val="center"/>
              <w:rPr>
                <w:lang w:val="en-GB"/>
              </w:rPr>
            </w:pPr>
          </w:p>
        </w:tc>
        <w:tc>
          <w:tcPr>
            <w:tcW w:w="2835" w:type="dxa"/>
          </w:tcPr>
          <w:p w:rsidR="00F91741" w:rsidRDefault="00F91741" w:rsidP="00F91741">
            <w:pPr>
              <w:spacing w:before="60" w:after="60"/>
              <w:rPr>
                <w:lang w:val="en-GB"/>
              </w:rPr>
            </w:pPr>
          </w:p>
        </w:tc>
      </w:tr>
      <w:tr w:rsidR="00F91741" w:rsidTr="00F96C58">
        <w:trPr>
          <w:cantSplit/>
        </w:trPr>
        <w:tc>
          <w:tcPr>
            <w:tcW w:w="14596" w:type="dxa"/>
            <w:gridSpan w:val="3"/>
            <w:shd w:val="clear" w:color="auto" w:fill="D9D9D9" w:themeFill="background1" w:themeFillShade="D9"/>
          </w:tcPr>
          <w:p w:rsidR="00F91741" w:rsidRDefault="00F91741" w:rsidP="00F77ECB">
            <w:pPr>
              <w:spacing w:before="60" w:after="60"/>
              <w:jc w:val="center"/>
              <w:rPr>
                <w:lang w:val="en-GB"/>
              </w:rPr>
            </w:pPr>
            <w:r>
              <w:rPr>
                <w:b/>
                <w:lang w:val="en-GB"/>
              </w:rPr>
              <w:t>Items specific to laboratories, workshops etc.</w:t>
            </w:r>
          </w:p>
        </w:tc>
      </w:tr>
      <w:tr w:rsidR="00BE6618" w:rsidTr="00BE6618">
        <w:tc>
          <w:tcPr>
            <w:tcW w:w="11035" w:type="dxa"/>
          </w:tcPr>
          <w:p w:rsidR="00BE6618" w:rsidRPr="002D312D" w:rsidRDefault="00BE6618" w:rsidP="00BE6618">
            <w:pPr>
              <w:pStyle w:val="ListParagraph"/>
              <w:numPr>
                <w:ilvl w:val="0"/>
                <w:numId w:val="9"/>
              </w:numPr>
              <w:spacing w:before="60" w:after="60"/>
              <w:rPr>
                <w:lang w:val="en-GB"/>
              </w:rPr>
            </w:pPr>
            <w:r w:rsidRPr="00694C31">
              <w:rPr>
                <w:lang w:val="en-GB"/>
              </w:rPr>
              <w:t>Ensure there has been no unauthorised use, loss or theft of controlled chemical substances (under regulatory control or otherwise),</w:t>
            </w:r>
            <w:r>
              <w:rPr>
                <w:lang w:val="en-GB"/>
              </w:rPr>
              <w:t xml:space="preserve"> biological agents or equipment. If there has been, report it immediately to </w:t>
            </w:r>
            <w:hyperlink r:id="rId16" w:history="1">
              <w:r w:rsidRPr="008939C6">
                <w:rPr>
                  <w:rStyle w:val="Hyperlink"/>
                  <w:lang w:val="en-GB"/>
                </w:rPr>
                <w:t>Safety Services</w:t>
              </w:r>
            </w:hyperlink>
            <w:r w:rsidRPr="00694C31">
              <w:rPr>
                <w:lang w:val="en-GB"/>
              </w:rPr>
              <w:t>.</w:t>
            </w:r>
          </w:p>
        </w:tc>
        <w:tc>
          <w:tcPr>
            <w:tcW w:w="726" w:type="dxa"/>
          </w:tcPr>
          <w:p w:rsidR="00BE6618" w:rsidRDefault="00BE6618" w:rsidP="003E78A2">
            <w:pPr>
              <w:spacing w:before="60" w:after="60"/>
              <w:jc w:val="center"/>
              <w:rPr>
                <w:lang w:val="en-GB"/>
              </w:rPr>
            </w:pPr>
          </w:p>
        </w:tc>
        <w:tc>
          <w:tcPr>
            <w:tcW w:w="2835" w:type="dxa"/>
          </w:tcPr>
          <w:p w:rsidR="00BE6618" w:rsidRDefault="00BE6618" w:rsidP="003E78A2">
            <w:pPr>
              <w:spacing w:before="60" w:after="60"/>
              <w:rPr>
                <w:lang w:val="en-GB"/>
              </w:rPr>
            </w:pPr>
          </w:p>
        </w:tc>
      </w:tr>
      <w:tr w:rsidR="00BE6618" w:rsidTr="00BE6618">
        <w:tc>
          <w:tcPr>
            <w:tcW w:w="11035" w:type="dxa"/>
          </w:tcPr>
          <w:p w:rsidR="00BE6618" w:rsidRPr="002D312D" w:rsidRDefault="00BE6618" w:rsidP="00BE6618">
            <w:pPr>
              <w:pStyle w:val="ListParagraph"/>
              <w:numPr>
                <w:ilvl w:val="0"/>
                <w:numId w:val="9"/>
              </w:numPr>
              <w:spacing w:before="60" w:after="60"/>
              <w:rPr>
                <w:lang w:val="en-GB"/>
              </w:rPr>
            </w:pPr>
            <w:r w:rsidRPr="00694C31">
              <w:rPr>
                <w:lang w:val="en-GB"/>
              </w:rPr>
              <w:t xml:space="preserve">Be wary of chemicals, or other hazardous substances, that may have degraded or passed </w:t>
            </w:r>
            <w:r>
              <w:rPr>
                <w:lang w:val="en-GB"/>
              </w:rPr>
              <w:t>use</w:t>
            </w:r>
            <w:r w:rsidRPr="00694C31">
              <w:rPr>
                <w:lang w:val="en-GB"/>
              </w:rPr>
              <w:t>-by dates, and no longer be suitable for the intended activity.</w:t>
            </w:r>
          </w:p>
        </w:tc>
        <w:tc>
          <w:tcPr>
            <w:tcW w:w="726" w:type="dxa"/>
          </w:tcPr>
          <w:p w:rsidR="00BE6618" w:rsidRDefault="00BE6618" w:rsidP="003E78A2">
            <w:pPr>
              <w:spacing w:before="60" w:after="60"/>
              <w:jc w:val="center"/>
              <w:rPr>
                <w:lang w:val="en-GB"/>
              </w:rPr>
            </w:pPr>
          </w:p>
        </w:tc>
        <w:tc>
          <w:tcPr>
            <w:tcW w:w="2835" w:type="dxa"/>
          </w:tcPr>
          <w:p w:rsidR="00BE6618" w:rsidRDefault="00BE6618" w:rsidP="003E78A2">
            <w:pPr>
              <w:spacing w:before="60" w:after="60"/>
              <w:rPr>
                <w:lang w:val="en-GB"/>
              </w:rPr>
            </w:pPr>
          </w:p>
        </w:tc>
      </w:tr>
      <w:tr w:rsidR="00BE6618" w:rsidTr="00BE6618">
        <w:tc>
          <w:tcPr>
            <w:tcW w:w="11035" w:type="dxa"/>
          </w:tcPr>
          <w:p w:rsidR="00BE6618" w:rsidRPr="002D312D" w:rsidRDefault="00BE6618" w:rsidP="00BE6618">
            <w:pPr>
              <w:pStyle w:val="ListParagraph"/>
              <w:numPr>
                <w:ilvl w:val="0"/>
                <w:numId w:val="9"/>
              </w:numPr>
              <w:spacing w:before="60" w:after="60"/>
              <w:rPr>
                <w:lang w:val="en-GB"/>
              </w:rPr>
            </w:pPr>
            <w:r w:rsidRPr="00694C31">
              <w:rPr>
                <w:lang w:val="en-GB"/>
              </w:rPr>
              <w:t>Some equipment may need a particular method for restart or a waiting period before it is safe to use. Make sure the restart of equipment is performed by a competent person such as the technician responsible for them.</w:t>
            </w:r>
          </w:p>
        </w:tc>
        <w:tc>
          <w:tcPr>
            <w:tcW w:w="726" w:type="dxa"/>
          </w:tcPr>
          <w:p w:rsidR="00BE6618" w:rsidRDefault="00BE6618" w:rsidP="003E78A2">
            <w:pPr>
              <w:spacing w:before="60" w:after="60"/>
              <w:jc w:val="center"/>
              <w:rPr>
                <w:lang w:val="en-GB"/>
              </w:rPr>
            </w:pPr>
          </w:p>
        </w:tc>
        <w:tc>
          <w:tcPr>
            <w:tcW w:w="2835" w:type="dxa"/>
          </w:tcPr>
          <w:p w:rsidR="00BE6618" w:rsidRDefault="00BE6618" w:rsidP="003E78A2">
            <w:pPr>
              <w:spacing w:before="60" w:after="60"/>
              <w:rPr>
                <w:lang w:val="en-GB"/>
              </w:rPr>
            </w:pPr>
          </w:p>
        </w:tc>
      </w:tr>
      <w:tr w:rsidR="00BE6618" w:rsidTr="00BE6618">
        <w:tc>
          <w:tcPr>
            <w:tcW w:w="11035" w:type="dxa"/>
          </w:tcPr>
          <w:p w:rsidR="00BE6618" w:rsidRPr="002D312D" w:rsidRDefault="00BE6618" w:rsidP="00BE6618">
            <w:pPr>
              <w:pStyle w:val="ListParagraph"/>
              <w:numPr>
                <w:ilvl w:val="0"/>
                <w:numId w:val="9"/>
              </w:numPr>
              <w:spacing w:before="60" w:after="60"/>
              <w:rPr>
                <w:lang w:val="en-GB"/>
              </w:rPr>
            </w:pPr>
            <w:r w:rsidRPr="00694C31">
              <w:rPr>
                <w:lang w:val="en-GB"/>
              </w:rPr>
              <w:t>Vacuum pumps may need to be checked in case loss of vacuum for weeks has affected the seals.</w:t>
            </w:r>
          </w:p>
        </w:tc>
        <w:tc>
          <w:tcPr>
            <w:tcW w:w="726" w:type="dxa"/>
          </w:tcPr>
          <w:p w:rsidR="00BE6618" w:rsidRDefault="00BE6618" w:rsidP="003E78A2">
            <w:pPr>
              <w:spacing w:before="60" w:after="60"/>
              <w:jc w:val="center"/>
              <w:rPr>
                <w:lang w:val="en-GB"/>
              </w:rPr>
            </w:pPr>
          </w:p>
        </w:tc>
        <w:tc>
          <w:tcPr>
            <w:tcW w:w="2835" w:type="dxa"/>
          </w:tcPr>
          <w:p w:rsidR="00BE6618" w:rsidRDefault="00BE6618" w:rsidP="003E78A2">
            <w:pPr>
              <w:spacing w:before="60" w:after="60"/>
              <w:rPr>
                <w:lang w:val="en-GB"/>
              </w:rPr>
            </w:pPr>
          </w:p>
        </w:tc>
      </w:tr>
      <w:tr w:rsidR="00BE6618" w:rsidTr="00BE6618">
        <w:tc>
          <w:tcPr>
            <w:tcW w:w="11035" w:type="dxa"/>
          </w:tcPr>
          <w:p w:rsidR="00BE6618" w:rsidRPr="002D312D" w:rsidRDefault="00BE6618" w:rsidP="00BE6618">
            <w:pPr>
              <w:pStyle w:val="ListParagraph"/>
              <w:numPr>
                <w:ilvl w:val="0"/>
                <w:numId w:val="9"/>
              </w:numPr>
              <w:spacing w:before="60" w:after="60"/>
              <w:rPr>
                <w:lang w:val="en-GB"/>
              </w:rPr>
            </w:pPr>
            <w:r w:rsidRPr="00694C31">
              <w:rPr>
                <w:lang w:val="en-GB"/>
              </w:rPr>
              <w:t>Purge gas lines on restart as there may be some loss of gas in the pipeli</w:t>
            </w:r>
            <w:r>
              <w:rPr>
                <w:lang w:val="en-GB"/>
              </w:rPr>
              <w:t>nes. This may be important for H</w:t>
            </w:r>
            <w:r w:rsidRPr="00694C31">
              <w:rPr>
                <w:lang w:val="en-GB"/>
              </w:rPr>
              <w:t>elium, where the gas supplies very sensitive equipment and where it can</w:t>
            </w:r>
            <w:r>
              <w:rPr>
                <w:lang w:val="en-GB"/>
              </w:rPr>
              <w:t xml:space="preserve"> escape containment easily, or H</w:t>
            </w:r>
            <w:r w:rsidRPr="00694C31">
              <w:rPr>
                <w:lang w:val="en-GB"/>
              </w:rPr>
              <w:t>ydrogen wh</w:t>
            </w:r>
            <w:r>
              <w:rPr>
                <w:lang w:val="en-GB"/>
              </w:rPr>
              <w:t>ich may have become mixed with O</w:t>
            </w:r>
            <w:r w:rsidRPr="00694C31">
              <w:rPr>
                <w:lang w:val="en-GB"/>
              </w:rPr>
              <w:t>xygen.</w:t>
            </w:r>
          </w:p>
        </w:tc>
        <w:tc>
          <w:tcPr>
            <w:tcW w:w="726" w:type="dxa"/>
          </w:tcPr>
          <w:p w:rsidR="00BE6618" w:rsidRDefault="00BE6618" w:rsidP="003E78A2">
            <w:pPr>
              <w:spacing w:before="60" w:after="60"/>
              <w:jc w:val="center"/>
              <w:rPr>
                <w:lang w:val="en-GB"/>
              </w:rPr>
            </w:pPr>
          </w:p>
        </w:tc>
        <w:tc>
          <w:tcPr>
            <w:tcW w:w="2835" w:type="dxa"/>
          </w:tcPr>
          <w:p w:rsidR="00BE6618" w:rsidRDefault="00BE6618" w:rsidP="003E78A2">
            <w:pPr>
              <w:spacing w:before="60" w:after="60"/>
              <w:rPr>
                <w:lang w:val="en-GB"/>
              </w:rPr>
            </w:pPr>
          </w:p>
        </w:tc>
      </w:tr>
      <w:tr w:rsidR="00BE6618" w:rsidTr="00BE6618">
        <w:tc>
          <w:tcPr>
            <w:tcW w:w="11035" w:type="dxa"/>
          </w:tcPr>
          <w:p w:rsidR="00BE6618" w:rsidRPr="002D312D" w:rsidRDefault="00BE6618" w:rsidP="00BE6618">
            <w:pPr>
              <w:pStyle w:val="ListParagraph"/>
              <w:numPr>
                <w:ilvl w:val="0"/>
                <w:numId w:val="9"/>
              </w:numPr>
              <w:spacing w:before="60" w:after="60"/>
              <w:rPr>
                <w:lang w:val="en-GB"/>
              </w:rPr>
            </w:pPr>
            <w:r>
              <w:rPr>
                <w:lang w:val="en-GB"/>
              </w:rPr>
              <w:t xml:space="preserve">As a precaution, some </w:t>
            </w:r>
            <w:proofErr w:type="spellStart"/>
            <w:r>
              <w:rPr>
                <w:lang w:val="en-GB"/>
              </w:rPr>
              <w:t>D</w:t>
            </w:r>
            <w:r w:rsidRPr="00694C31">
              <w:rPr>
                <w:lang w:val="en-GB"/>
              </w:rPr>
              <w:t>ewars</w:t>
            </w:r>
            <w:proofErr w:type="spellEnd"/>
            <w:r w:rsidRPr="00694C31">
              <w:rPr>
                <w:lang w:val="en-GB"/>
              </w:rPr>
              <w:t xml:space="preserve"> that have been kept at a higher fill level should have the level reduced before returning to normal use.</w:t>
            </w:r>
          </w:p>
        </w:tc>
        <w:tc>
          <w:tcPr>
            <w:tcW w:w="726" w:type="dxa"/>
          </w:tcPr>
          <w:p w:rsidR="00BE6618" w:rsidRDefault="00BE6618" w:rsidP="003E78A2">
            <w:pPr>
              <w:spacing w:before="60" w:after="60"/>
              <w:jc w:val="center"/>
              <w:rPr>
                <w:lang w:val="en-GB"/>
              </w:rPr>
            </w:pPr>
          </w:p>
        </w:tc>
        <w:tc>
          <w:tcPr>
            <w:tcW w:w="2835" w:type="dxa"/>
          </w:tcPr>
          <w:p w:rsidR="00BE6618" w:rsidRDefault="00BE6618" w:rsidP="003E78A2">
            <w:pPr>
              <w:spacing w:before="60" w:after="60"/>
              <w:rPr>
                <w:lang w:val="en-GB"/>
              </w:rPr>
            </w:pPr>
          </w:p>
        </w:tc>
      </w:tr>
      <w:tr w:rsidR="00BE6618" w:rsidTr="00BE6618">
        <w:tc>
          <w:tcPr>
            <w:tcW w:w="11035" w:type="dxa"/>
          </w:tcPr>
          <w:p w:rsidR="00BE6618" w:rsidRPr="002D312D" w:rsidRDefault="00BE6618" w:rsidP="00BE6618">
            <w:pPr>
              <w:pStyle w:val="ListParagraph"/>
              <w:numPr>
                <w:ilvl w:val="0"/>
                <w:numId w:val="9"/>
              </w:numPr>
              <w:spacing w:before="60" w:after="60"/>
              <w:rPr>
                <w:lang w:val="en-GB"/>
              </w:rPr>
            </w:pPr>
            <w:r w:rsidRPr="00694C31">
              <w:rPr>
                <w:lang w:val="en-GB"/>
              </w:rPr>
              <w:t>Samples stored in liquid nitrogen that have been untouched for an extended period are more likely to now contain liquid nitrogen in the vessel and to explode when warmed due to liquid nitrogen evaporation, so warn workers to beware of the extra risk.</w:t>
            </w:r>
          </w:p>
        </w:tc>
        <w:tc>
          <w:tcPr>
            <w:tcW w:w="726" w:type="dxa"/>
          </w:tcPr>
          <w:p w:rsidR="00BE6618" w:rsidRDefault="00BE6618" w:rsidP="003E78A2">
            <w:pPr>
              <w:spacing w:before="60" w:after="60"/>
              <w:jc w:val="center"/>
              <w:rPr>
                <w:lang w:val="en-GB"/>
              </w:rPr>
            </w:pPr>
          </w:p>
        </w:tc>
        <w:tc>
          <w:tcPr>
            <w:tcW w:w="2835" w:type="dxa"/>
          </w:tcPr>
          <w:p w:rsidR="00BE6618" w:rsidRDefault="00BE6618" w:rsidP="003E78A2">
            <w:pPr>
              <w:spacing w:before="60" w:after="60"/>
              <w:rPr>
                <w:lang w:val="en-GB"/>
              </w:rPr>
            </w:pPr>
          </w:p>
        </w:tc>
      </w:tr>
      <w:tr w:rsidR="00BE6618" w:rsidTr="00BE6618">
        <w:tc>
          <w:tcPr>
            <w:tcW w:w="11035" w:type="dxa"/>
          </w:tcPr>
          <w:p w:rsidR="00BE6618" w:rsidRPr="002D312D" w:rsidRDefault="00BE6618" w:rsidP="00BE6618">
            <w:pPr>
              <w:pStyle w:val="ListParagraph"/>
              <w:numPr>
                <w:ilvl w:val="0"/>
                <w:numId w:val="9"/>
              </w:numPr>
              <w:spacing w:before="60" w:after="60"/>
              <w:rPr>
                <w:lang w:val="en-GB"/>
              </w:rPr>
            </w:pPr>
            <w:r w:rsidRPr="00694C31">
              <w:rPr>
                <w:lang w:val="en-GB"/>
              </w:rPr>
              <w:t>Before opening natural gas or flammable gas supply pipes, ensure that all outlets or gas taps are closed so that there is no uncontrolled release of gas.</w:t>
            </w:r>
          </w:p>
        </w:tc>
        <w:tc>
          <w:tcPr>
            <w:tcW w:w="726" w:type="dxa"/>
          </w:tcPr>
          <w:p w:rsidR="00BE6618" w:rsidRDefault="00BE6618" w:rsidP="003E78A2">
            <w:pPr>
              <w:spacing w:before="60" w:after="60"/>
              <w:jc w:val="center"/>
              <w:rPr>
                <w:lang w:val="en-GB"/>
              </w:rPr>
            </w:pPr>
          </w:p>
        </w:tc>
        <w:tc>
          <w:tcPr>
            <w:tcW w:w="2835" w:type="dxa"/>
          </w:tcPr>
          <w:p w:rsidR="00BE6618" w:rsidRDefault="00BE6618" w:rsidP="003E78A2">
            <w:pPr>
              <w:spacing w:before="60" w:after="60"/>
              <w:rPr>
                <w:lang w:val="en-GB"/>
              </w:rPr>
            </w:pPr>
          </w:p>
        </w:tc>
      </w:tr>
      <w:tr w:rsidR="00BE6618" w:rsidTr="00BE6618">
        <w:tc>
          <w:tcPr>
            <w:tcW w:w="11035" w:type="dxa"/>
          </w:tcPr>
          <w:p w:rsidR="00BE6618" w:rsidRPr="002D312D" w:rsidRDefault="002817E7" w:rsidP="00BE6618">
            <w:pPr>
              <w:pStyle w:val="ListParagraph"/>
              <w:numPr>
                <w:ilvl w:val="0"/>
                <w:numId w:val="9"/>
              </w:numPr>
              <w:spacing w:before="60" w:after="60"/>
              <w:rPr>
                <w:lang w:val="en-GB"/>
              </w:rPr>
            </w:pPr>
            <w:r>
              <w:rPr>
                <w:lang w:val="en-GB"/>
              </w:rPr>
              <w:lastRenderedPageBreak/>
              <w:t>As activities are restarted the risk assessment for the activity should be reviewed in light of current pandemic situation</w:t>
            </w:r>
          </w:p>
        </w:tc>
        <w:tc>
          <w:tcPr>
            <w:tcW w:w="726" w:type="dxa"/>
          </w:tcPr>
          <w:p w:rsidR="00BE6618" w:rsidRDefault="00BE6618" w:rsidP="003E78A2">
            <w:pPr>
              <w:spacing w:before="60" w:after="60"/>
              <w:jc w:val="center"/>
              <w:rPr>
                <w:lang w:val="en-GB"/>
              </w:rPr>
            </w:pPr>
          </w:p>
        </w:tc>
        <w:tc>
          <w:tcPr>
            <w:tcW w:w="2835" w:type="dxa"/>
          </w:tcPr>
          <w:p w:rsidR="00BE6618" w:rsidRDefault="00BE6618" w:rsidP="003E78A2">
            <w:pPr>
              <w:spacing w:before="60" w:after="60"/>
              <w:rPr>
                <w:lang w:val="en-GB"/>
              </w:rPr>
            </w:pPr>
          </w:p>
        </w:tc>
      </w:tr>
      <w:tr w:rsidR="002817E7" w:rsidTr="00BE6618">
        <w:tc>
          <w:tcPr>
            <w:tcW w:w="11035" w:type="dxa"/>
          </w:tcPr>
          <w:p w:rsidR="002817E7" w:rsidRPr="00694C31" w:rsidRDefault="002817E7" w:rsidP="00BE6618">
            <w:pPr>
              <w:pStyle w:val="ListParagraph"/>
              <w:numPr>
                <w:ilvl w:val="0"/>
                <w:numId w:val="9"/>
              </w:numPr>
              <w:spacing w:before="60" w:after="60"/>
              <w:rPr>
                <w:lang w:val="en-GB"/>
              </w:rPr>
            </w:pPr>
            <w:r>
              <w:rPr>
                <w:lang w:val="en-GB"/>
              </w:rPr>
              <w:t xml:space="preserve">All risk assessments should be reviewed to consider all </w:t>
            </w:r>
            <w:r w:rsidRPr="00F455EA">
              <w:rPr>
                <w:lang w:val="en-GB"/>
              </w:rPr>
              <w:t>PPE</w:t>
            </w:r>
            <w:r>
              <w:rPr>
                <w:lang w:val="en-GB"/>
              </w:rPr>
              <w:t xml:space="preserve"> which could cause a risk to health via contamination during this period of pandemic to include safety glasses, lab coats, face shields amongst others, and that these are assigned to</w:t>
            </w:r>
            <w:r w:rsidRPr="00F455EA">
              <w:rPr>
                <w:lang w:val="en-GB"/>
              </w:rPr>
              <w:t xml:space="preserve"> individuals </w:t>
            </w:r>
            <w:r>
              <w:rPr>
                <w:lang w:val="en-GB"/>
              </w:rPr>
              <w:t xml:space="preserve">and </w:t>
            </w:r>
            <w:r w:rsidRPr="007B70E9">
              <w:rPr>
                <w:b/>
                <w:lang w:val="en-GB"/>
              </w:rPr>
              <w:t>not</w:t>
            </w:r>
            <w:r>
              <w:rPr>
                <w:lang w:val="en-GB"/>
              </w:rPr>
              <w:t xml:space="preserve"> shared between staff and are stored so as to prevent contamination.</w:t>
            </w:r>
          </w:p>
        </w:tc>
        <w:tc>
          <w:tcPr>
            <w:tcW w:w="726" w:type="dxa"/>
          </w:tcPr>
          <w:p w:rsidR="002817E7" w:rsidRDefault="002817E7" w:rsidP="003E78A2">
            <w:pPr>
              <w:spacing w:before="60" w:after="60"/>
              <w:jc w:val="center"/>
              <w:rPr>
                <w:lang w:val="en-GB"/>
              </w:rPr>
            </w:pPr>
          </w:p>
        </w:tc>
        <w:tc>
          <w:tcPr>
            <w:tcW w:w="2835" w:type="dxa"/>
          </w:tcPr>
          <w:p w:rsidR="002817E7" w:rsidRDefault="002817E7" w:rsidP="003E78A2">
            <w:pPr>
              <w:spacing w:before="60" w:after="60"/>
              <w:rPr>
                <w:lang w:val="en-GB"/>
              </w:rPr>
            </w:pPr>
          </w:p>
        </w:tc>
      </w:tr>
      <w:tr w:rsidR="00BE6618" w:rsidTr="00BE6618">
        <w:tc>
          <w:tcPr>
            <w:tcW w:w="11035" w:type="dxa"/>
          </w:tcPr>
          <w:p w:rsidR="00BE6618" w:rsidRPr="000224F5" w:rsidRDefault="002817E7" w:rsidP="00BE6618">
            <w:pPr>
              <w:pStyle w:val="ListParagraph"/>
              <w:numPr>
                <w:ilvl w:val="0"/>
                <w:numId w:val="9"/>
              </w:numPr>
              <w:spacing w:before="60" w:after="60"/>
              <w:rPr>
                <w:lang w:val="en-GB"/>
              </w:rPr>
            </w:pPr>
            <w:bookmarkStart w:id="3" w:name="_GoBack"/>
            <w:bookmarkEnd w:id="3"/>
            <w:r w:rsidRPr="00694C31">
              <w:rPr>
                <w:lang w:val="en-GB"/>
              </w:rPr>
              <w:t>Introduce a clear bench policy to all areas to assist cleaning and to reduce handling of objects by multiple people.</w:t>
            </w:r>
          </w:p>
        </w:tc>
        <w:tc>
          <w:tcPr>
            <w:tcW w:w="726" w:type="dxa"/>
          </w:tcPr>
          <w:p w:rsidR="00BE6618" w:rsidRDefault="00BE6618" w:rsidP="003E78A2">
            <w:pPr>
              <w:spacing w:before="60" w:after="60"/>
              <w:jc w:val="center"/>
              <w:rPr>
                <w:lang w:val="en-GB"/>
              </w:rPr>
            </w:pPr>
          </w:p>
        </w:tc>
        <w:tc>
          <w:tcPr>
            <w:tcW w:w="2835" w:type="dxa"/>
          </w:tcPr>
          <w:p w:rsidR="00BE6618" w:rsidRDefault="00BE6618" w:rsidP="003E78A2">
            <w:pPr>
              <w:spacing w:before="60" w:after="60"/>
              <w:rPr>
                <w:lang w:val="en-GB"/>
              </w:rPr>
            </w:pPr>
          </w:p>
        </w:tc>
      </w:tr>
    </w:tbl>
    <w:tbl>
      <w:tblPr>
        <w:tblStyle w:val="TableGrid2"/>
        <w:tblW w:w="14596" w:type="dxa"/>
        <w:tblLook w:val="04A0" w:firstRow="1" w:lastRow="0" w:firstColumn="1" w:lastColumn="0" w:noHBand="0" w:noVBand="1"/>
      </w:tblPr>
      <w:tblGrid>
        <w:gridCol w:w="11035"/>
        <w:gridCol w:w="726"/>
        <w:gridCol w:w="2835"/>
      </w:tblGrid>
      <w:tr w:rsidR="00F455EA" w:rsidTr="003E78A2">
        <w:trPr>
          <w:cantSplit/>
        </w:trPr>
        <w:tc>
          <w:tcPr>
            <w:tcW w:w="11035" w:type="dxa"/>
          </w:tcPr>
          <w:p w:rsidR="00F455EA" w:rsidRPr="00F455EA" w:rsidRDefault="002817E7" w:rsidP="003A3874">
            <w:pPr>
              <w:pStyle w:val="ListParagraph"/>
              <w:numPr>
                <w:ilvl w:val="0"/>
                <w:numId w:val="9"/>
              </w:numPr>
              <w:spacing w:before="60" w:after="60"/>
              <w:rPr>
                <w:lang w:val="en-GB"/>
              </w:rPr>
            </w:pPr>
            <w:r w:rsidRPr="00694C31">
              <w:rPr>
                <w:lang w:val="en-GB"/>
              </w:rPr>
              <w:t>Hand sanitiser is mostly a flammable alcohol, so those using naked flames as part of their work are at a greater risk of vapours catching fire on the</w:t>
            </w:r>
            <w:r>
              <w:rPr>
                <w:lang w:val="en-GB"/>
              </w:rPr>
              <w:t xml:space="preserve">ir hands. </w:t>
            </w:r>
            <w:r w:rsidRPr="00694C31">
              <w:rPr>
                <w:lang w:val="en-GB"/>
              </w:rPr>
              <w:t xml:space="preserve">Adjust risk assessments so that staff are aware of the </w:t>
            </w:r>
            <w:r>
              <w:rPr>
                <w:lang w:val="en-GB"/>
              </w:rPr>
              <w:t>additional</w:t>
            </w:r>
            <w:r w:rsidRPr="00694C31">
              <w:rPr>
                <w:lang w:val="en-GB"/>
              </w:rPr>
              <w:t xml:space="preserve"> hazard.</w:t>
            </w:r>
          </w:p>
        </w:tc>
        <w:tc>
          <w:tcPr>
            <w:tcW w:w="726" w:type="dxa"/>
          </w:tcPr>
          <w:p w:rsidR="00F455EA" w:rsidRDefault="00F455EA" w:rsidP="003E78A2">
            <w:pPr>
              <w:spacing w:before="60" w:after="60"/>
              <w:jc w:val="center"/>
              <w:rPr>
                <w:lang w:val="en-GB"/>
              </w:rPr>
            </w:pPr>
          </w:p>
        </w:tc>
        <w:tc>
          <w:tcPr>
            <w:tcW w:w="2835" w:type="dxa"/>
          </w:tcPr>
          <w:p w:rsidR="00F455EA" w:rsidRDefault="00F455EA" w:rsidP="003E78A2">
            <w:pPr>
              <w:spacing w:before="60" w:after="60"/>
              <w:rPr>
                <w:lang w:val="en-GB"/>
              </w:rPr>
            </w:pPr>
          </w:p>
        </w:tc>
      </w:tr>
    </w:tbl>
    <w:tbl>
      <w:tblPr>
        <w:tblStyle w:val="TableGrid"/>
        <w:tblW w:w="14596" w:type="dxa"/>
        <w:tblLook w:val="04A0" w:firstRow="1" w:lastRow="0" w:firstColumn="1" w:lastColumn="0" w:noHBand="0" w:noVBand="1"/>
      </w:tblPr>
      <w:tblGrid>
        <w:gridCol w:w="11035"/>
        <w:gridCol w:w="726"/>
        <w:gridCol w:w="2835"/>
      </w:tblGrid>
      <w:tr w:rsidR="00BE6618" w:rsidTr="00BE6618">
        <w:tc>
          <w:tcPr>
            <w:tcW w:w="11035" w:type="dxa"/>
          </w:tcPr>
          <w:p w:rsidR="00BE6618" w:rsidRPr="002D312D" w:rsidRDefault="00BE6618" w:rsidP="00BE6618">
            <w:pPr>
              <w:pStyle w:val="ListParagraph"/>
              <w:numPr>
                <w:ilvl w:val="0"/>
                <w:numId w:val="9"/>
              </w:numPr>
              <w:spacing w:before="60" w:after="60"/>
              <w:rPr>
                <w:lang w:val="en-GB"/>
              </w:rPr>
            </w:pPr>
            <w:r w:rsidRPr="00EA3A98">
              <w:rPr>
                <w:b/>
                <w:lang w:val="en-GB"/>
              </w:rPr>
              <w:t>For containment laboratories -</w:t>
            </w:r>
            <w:r w:rsidRPr="00EA3A98">
              <w:rPr>
                <w:lang w:val="en-GB"/>
              </w:rPr>
              <w:t xml:space="preserve"> Check if </w:t>
            </w:r>
            <w:r>
              <w:rPr>
                <w:lang w:val="en-GB"/>
              </w:rPr>
              <w:t>COVID-19</w:t>
            </w:r>
            <w:r w:rsidRPr="00EA3A98">
              <w:rPr>
                <w:lang w:val="en-GB"/>
              </w:rPr>
              <w:t xml:space="preserve"> samples are stored in your department, associated with work during the shutdown. Consider if they can remain in place, need to be relocated, or destroyed.</w:t>
            </w:r>
            <w:r>
              <w:rPr>
                <w:lang w:val="en-GB"/>
              </w:rPr>
              <w:t xml:space="preserve"> </w:t>
            </w:r>
          </w:p>
        </w:tc>
        <w:tc>
          <w:tcPr>
            <w:tcW w:w="726" w:type="dxa"/>
          </w:tcPr>
          <w:p w:rsidR="00BE6618" w:rsidRDefault="00BE6618" w:rsidP="003E78A2">
            <w:pPr>
              <w:spacing w:before="60" w:after="60"/>
              <w:jc w:val="center"/>
              <w:rPr>
                <w:lang w:val="en-GB"/>
              </w:rPr>
            </w:pPr>
          </w:p>
        </w:tc>
        <w:tc>
          <w:tcPr>
            <w:tcW w:w="2835" w:type="dxa"/>
          </w:tcPr>
          <w:p w:rsidR="00BE6618" w:rsidRDefault="00BE6618" w:rsidP="003E78A2">
            <w:pPr>
              <w:spacing w:before="60" w:after="60"/>
              <w:rPr>
                <w:lang w:val="en-GB"/>
              </w:rPr>
            </w:pPr>
          </w:p>
        </w:tc>
      </w:tr>
      <w:tr w:rsidR="00BE6618" w:rsidRPr="005C4F66" w:rsidTr="00BE6618">
        <w:tc>
          <w:tcPr>
            <w:tcW w:w="11035" w:type="dxa"/>
          </w:tcPr>
          <w:p w:rsidR="00BE6618" w:rsidRPr="005C4F66" w:rsidRDefault="00BE6618" w:rsidP="00BE6618">
            <w:pPr>
              <w:pStyle w:val="ListParagraph"/>
              <w:numPr>
                <w:ilvl w:val="0"/>
                <w:numId w:val="9"/>
              </w:numPr>
              <w:spacing w:before="60" w:after="60"/>
              <w:rPr>
                <w:lang w:val="en-GB"/>
              </w:rPr>
            </w:pPr>
            <w:r w:rsidRPr="005C4F66">
              <w:rPr>
                <w:b/>
                <w:lang w:val="en-GB"/>
              </w:rPr>
              <w:t>For radiation laboratories:</w:t>
            </w:r>
            <w:r w:rsidRPr="005C4F66">
              <w:rPr>
                <w:lang w:val="en-GB"/>
              </w:rPr>
              <w:t xml:space="preserve"> Check the store of radioactive materials to ensure there has been no unauthorised use, loss or theft during the shutdown that must be investigated and reported. If you suspect losses, report this through contacting the </w:t>
            </w:r>
            <w:hyperlink r:id="rId17" w:history="1">
              <w:r w:rsidRPr="005C4F66">
                <w:rPr>
                  <w:rStyle w:val="Hyperlink"/>
                  <w:lang w:val="en-GB"/>
                </w:rPr>
                <w:t>Radiation Protection Officer</w:t>
              </w:r>
            </w:hyperlink>
            <w:r w:rsidRPr="005C4F66">
              <w:rPr>
                <w:lang w:val="en-GB"/>
              </w:rPr>
              <w:t>.</w:t>
            </w:r>
          </w:p>
        </w:tc>
        <w:tc>
          <w:tcPr>
            <w:tcW w:w="726" w:type="dxa"/>
          </w:tcPr>
          <w:p w:rsidR="00BE6618" w:rsidRPr="005C4F66" w:rsidRDefault="00BE6618" w:rsidP="003E78A2">
            <w:pPr>
              <w:spacing w:before="60" w:after="60"/>
              <w:jc w:val="center"/>
              <w:rPr>
                <w:lang w:val="en-GB"/>
              </w:rPr>
            </w:pPr>
          </w:p>
        </w:tc>
        <w:tc>
          <w:tcPr>
            <w:tcW w:w="2835" w:type="dxa"/>
          </w:tcPr>
          <w:p w:rsidR="00BE6618" w:rsidRPr="005C4F66" w:rsidRDefault="00BE6618" w:rsidP="003E78A2">
            <w:pPr>
              <w:spacing w:before="60" w:after="60"/>
              <w:rPr>
                <w:lang w:val="en-GB"/>
              </w:rPr>
            </w:pPr>
          </w:p>
        </w:tc>
      </w:tr>
      <w:tr w:rsidR="00BE6618" w:rsidRPr="005C4F66" w:rsidTr="00BE6618">
        <w:tc>
          <w:tcPr>
            <w:tcW w:w="11035" w:type="dxa"/>
          </w:tcPr>
          <w:p w:rsidR="00BE6618" w:rsidRPr="005C4F66" w:rsidRDefault="00BE6618" w:rsidP="00BE6618">
            <w:pPr>
              <w:pStyle w:val="ListParagraph"/>
              <w:numPr>
                <w:ilvl w:val="0"/>
                <w:numId w:val="9"/>
              </w:numPr>
              <w:spacing w:before="60" w:after="60"/>
              <w:rPr>
                <w:lang w:val="en-GB"/>
              </w:rPr>
            </w:pPr>
            <w:r w:rsidRPr="005C4F66">
              <w:rPr>
                <w:b/>
                <w:lang w:val="en-GB"/>
              </w:rPr>
              <w:t>For radiation laboratories:</w:t>
            </w:r>
            <w:r w:rsidRPr="005C4F66">
              <w:rPr>
                <w:lang w:val="en-GB"/>
              </w:rPr>
              <w:t xml:space="preserve"> Before flushing radiation in designated sinks, check for any leaks in the drain pipes underneath the sink. Pressure and air pockets in pipes can cause them to rattle and spurt so run the taps before disposing of waste.</w:t>
            </w:r>
          </w:p>
        </w:tc>
        <w:tc>
          <w:tcPr>
            <w:tcW w:w="726" w:type="dxa"/>
          </w:tcPr>
          <w:p w:rsidR="00BE6618" w:rsidRPr="005C4F66" w:rsidRDefault="00BE6618" w:rsidP="003E78A2">
            <w:pPr>
              <w:spacing w:before="60" w:after="60"/>
              <w:jc w:val="center"/>
              <w:rPr>
                <w:lang w:val="en-GB"/>
              </w:rPr>
            </w:pPr>
          </w:p>
        </w:tc>
        <w:tc>
          <w:tcPr>
            <w:tcW w:w="2835" w:type="dxa"/>
          </w:tcPr>
          <w:p w:rsidR="00BE6618" w:rsidRPr="005C4F66" w:rsidRDefault="00BE6618" w:rsidP="003E78A2">
            <w:pPr>
              <w:spacing w:before="60" w:after="60"/>
              <w:rPr>
                <w:lang w:val="en-GB"/>
              </w:rPr>
            </w:pPr>
          </w:p>
        </w:tc>
      </w:tr>
      <w:tr w:rsidR="00BE6618" w:rsidRPr="005C4F66" w:rsidTr="00BE6618">
        <w:tc>
          <w:tcPr>
            <w:tcW w:w="11035" w:type="dxa"/>
          </w:tcPr>
          <w:p w:rsidR="00BE6618" w:rsidRPr="005C4F66" w:rsidRDefault="00BE6618" w:rsidP="00BE6618">
            <w:pPr>
              <w:pStyle w:val="ListParagraph"/>
              <w:numPr>
                <w:ilvl w:val="0"/>
                <w:numId w:val="9"/>
              </w:numPr>
              <w:spacing w:before="60" w:after="60"/>
              <w:rPr>
                <w:lang w:val="en-GB"/>
              </w:rPr>
            </w:pPr>
            <w:r w:rsidRPr="005C4F66">
              <w:rPr>
                <w:b/>
                <w:lang w:val="en-GB"/>
              </w:rPr>
              <w:t>For radiation laboratories:</w:t>
            </w:r>
            <w:r w:rsidRPr="005C4F66">
              <w:rPr>
                <w:lang w:val="en-GB"/>
              </w:rPr>
              <w:t xml:space="preserve"> Radiation waste poured into the sink may initially sit in the dry drains if not flushed properly, so ensure a lengthy flush.</w:t>
            </w:r>
          </w:p>
        </w:tc>
        <w:tc>
          <w:tcPr>
            <w:tcW w:w="726" w:type="dxa"/>
          </w:tcPr>
          <w:p w:rsidR="00BE6618" w:rsidRPr="005C4F66" w:rsidRDefault="00BE6618" w:rsidP="003E78A2">
            <w:pPr>
              <w:spacing w:before="60" w:after="60"/>
              <w:jc w:val="center"/>
              <w:rPr>
                <w:lang w:val="en-GB"/>
              </w:rPr>
            </w:pPr>
          </w:p>
        </w:tc>
        <w:tc>
          <w:tcPr>
            <w:tcW w:w="2835" w:type="dxa"/>
          </w:tcPr>
          <w:p w:rsidR="00BE6618" w:rsidRPr="005C4F66" w:rsidRDefault="00BE6618" w:rsidP="003E78A2">
            <w:pPr>
              <w:spacing w:before="60" w:after="60"/>
              <w:rPr>
                <w:lang w:val="en-GB"/>
              </w:rPr>
            </w:pPr>
          </w:p>
        </w:tc>
      </w:tr>
      <w:tr w:rsidR="00BE6618" w:rsidRPr="005C4F66" w:rsidTr="00BE6618">
        <w:tc>
          <w:tcPr>
            <w:tcW w:w="11035" w:type="dxa"/>
          </w:tcPr>
          <w:p w:rsidR="00BE6618" w:rsidRPr="005C4F66" w:rsidRDefault="00BE6618" w:rsidP="00BE6618">
            <w:pPr>
              <w:pStyle w:val="ListParagraph"/>
              <w:numPr>
                <w:ilvl w:val="0"/>
                <w:numId w:val="9"/>
              </w:numPr>
              <w:spacing w:before="60" w:after="60"/>
              <w:rPr>
                <w:lang w:val="en-GB"/>
              </w:rPr>
            </w:pPr>
            <w:r w:rsidRPr="005C4F66">
              <w:rPr>
                <w:b/>
                <w:lang w:val="en-GB"/>
              </w:rPr>
              <w:t>For radiation laboratories:</w:t>
            </w:r>
            <w:r w:rsidRPr="005C4F66">
              <w:rPr>
                <w:lang w:val="en-GB"/>
              </w:rPr>
              <w:t xml:space="preserve"> Check that any accumulated radioactive waste does not exceed the limit specified in the department’s allocation prior to generating any further waste. Please contact the </w:t>
            </w:r>
            <w:hyperlink r:id="rId18" w:history="1">
              <w:r w:rsidRPr="005C4F66">
                <w:rPr>
                  <w:rStyle w:val="Hyperlink"/>
                  <w:lang w:val="en-GB"/>
                </w:rPr>
                <w:t>Radiation Protection Officer</w:t>
              </w:r>
            </w:hyperlink>
            <w:r w:rsidRPr="005C4F66">
              <w:rPr>
                <w:lang w:val="en-GB"/>
              </w:rPr>
              <w:t xml:space="preserve"> if you have radioactive waste bins that have been accumulating waste for more than three months (even if they are not full).</w:t>
            </w:r>
          </w:p>
        </w:tc>
        <w:tc>
          <w:tcPr>
            <w:tcW w:w="726" w:type="dxa"/>
          </w:tcPr>
          <w:p w:rsidR="00BE6618" w:rsidRPr="005C4F66" w:rsidRDefault="00BE6618" w:rsidP="003E78A2">
            <w:pPr>
              <w:spacing w:before="60" w:after="60"/>
              <w:jc w:val="center"/>
              <w:rPr>
                <w:lang w:val="en-GB"/>
              </w:rPr>
            </w:pPr>
          </w:p>
        </w:tc>
        <w:tc>
          <w:tcPr>
            <w:tcW w:w="2835" w:type="dxa"/>
          </w:tcPr>
          <w:p w:rsidR="00BE6618" w:rsidRPr="005C4F66" w:rsidRDefault="00BE6618" w:rsidP="003E78A2">
            <w:pPr>
              <w:spacing w:before="60" w:after="60"/>
              <w:rPr>
                <w:lang w:val="en-GB"/>
              </w:rPr>
            </w:pPr>
          </w:p>
        </w:tc>
      </w:tr>
      <w:tr w:rsidR="00BE6618" w:rsidRPr="005C4F66" w:rsidTr="00BE6618">
        <w:tc>
          <w:tcPr>
            <w:tcW w:w="11035" w:type="dxa"/>
          </w:tcPr>
          <w:p w:rsidR="00BE6618" w:rsidRPr="005C4F66" w:rsidRDefault="00BE6618" w:rsidP="00BE6618">
            <w:pPr>
              <w:pStyle w:val="ListParagraph"/>
              <w:numPr>
                <w:ilvl w:val="0"/>
                <w:numId w:val="9"/>
              </w:numPr>
              <w:spacing w:before="60" w:after="60"/>
              <w:rPr>
                <w:lang w:val="en-GB"/>
              </w:rPr>
            </w:pPr>
            <w:r w:rsidRPr="005C4F66">
              <w:rPr>
                <w:b/>
                <w:lang w:val="en-GB"/>
              </w:rPr>
              <w:t>For radiation laboratories:</w:t>
            </w:r>
            <w:r w:rsidRPr="005C4F66">
              <w:rPr>
                <w:lang w:val="en-GB"/>
              </w:rPr>
              <w:t xml:space="preserve"> Before recommencing radiation work, inspect the containers of sources, sealed or otherwise, for potential damage during the shutdown.</w:t>
            </w:r>
          </w:p>
        </w:tc>
        <w:tc>
          <w:tcPr>
            <w:tcW w:w="726" w:type="dxa"/>
          </w:tcPr>
          <w:p w:rsidR="00BE6618" w:rsidRPr="005C4F66" w:rsidRDefault="00BE6618" w:rsidP="003E78A2">
            <w:pPr>
              <w:spacing w:before="60" w:after="60"/>
              <w:jc w:val="center"/>
              <w:rPr>
                <w:lang w:val="en-GB"/>
              </w:rPr>
            </w:pPr>
          </w:p>
        </w:tc>
        <w:tc>
          <w:tcPr>
            <w:tcW w:w="2835" w:type="dxa"/>
          </w:tcPr>
          <w:p w:rsidR="00BE6618" w:rsidRPr="005C4F66" w:rsidRDefault="00BE6618" w:rsidP="003E78A2">
            <w:pPr>
              <w:spacing w:before="60" w:after="60"/>
              <w:rPr>
                <w:lang w:val="en-GB"/>
              </w:rPr>
            </w:pPr>
          </w:p>
        </w:tc>
      </w:tr>
    </w:tbl>
    <w:p w:rsidR="00733B1F" w:rsidRDefault="007D4D98" w:rsidP="0050042D">
      <w:pPr>
        <w:pStyle w:val="Heading2"/>
        <w:rPr>
          <w:lang w:val="en-GB"/>
        </w:rPr>
      </w:pPr>
      <w:r>
        <w:rPr>
          <w:lang w:val="en-GB"/>
        </w:rPr>
        <w:lastRenderedPageBreak/>
        <w:t>Completion and confirmation</w:t>
      </w:r>
    </w:p>
    <w:p w:rsidR="007D4D98" w:rsidRPr="0050609D" w:rsidRDefault="007D4D98" w:rsidP="007D4D98">
      <w:pPr>
        <w:rPr>
          <w:lang w:val="en-GB"/>
        </w:rPr>
      </w:pPr>
      <w:r>
        <w:rPr>
          <w:lang w:val="en-GB"/>
        </w:rPr>
        <w:t xml:space="preserve">Fill in the table below to confirm </w:t>
      </w:r>
      <w:r w:rsidRPr="0050609D">
        <w:rPr>
          <w:lang w:val="en-GB"/>
        </w:rPr>
        <w:t xml:space="preserve">preparedness for </w:t>
      </w:r>
      <w:r>
        <w:rPr>
          <w:lang w:val="en-GB"/>
        </w:rPr>
        <w:t>restart:</w:t>
      </w:r>
    </w:p>
    <w:tbl>
      <w:tblPr>
        <w:tblStyle w:val="TableGrid"/>
        <w:tblW w:w="0" w:type="auto"/>
        <w:tblLook w:val="04A0" w:firstRow="1" w:lastRow="0" w:firstColumn="1" w:lastColumn="0" w:noHBand="0" w:noVBand="1"/>
      </w:tblPr>
      <w:tblGrid>
        <w:gridCol w:w="3256"/>
        <w:gridCol w:w="4252"/>
        <w:gridCol w:w="1418"/>
        <w:gridCol w:w="2835"/>
      </w:tblGrid>
      <w:tr w:rsidR="007D4D98" w:rsidTr="00533BFA">
        <w:tc>
          <w:tcPr>
            <w:tcW w:w="3256" w:type="dxa"/>
          </w:tcPr>
          <w:p w:rsidR="007D4D98" w:rsidRPr="007058CE" w:rsidRDefault="007D4D98" w:rsidP="00533BFA">
            <w:pPr>
              <w:rPr>
                <w:b/>
                <w:lang w:val="en-GB"/>
              </w:rPr>
            </w:pPr>
            <w:r w:rsidRPr="007058CE">
              <w:rPr>
                <w:b/>
                <w:lang w:val="en-GB"/>
              </w:rPr>
              <w:t>Department and building</w:t>
            </w:r>
            <w:r>
              <w:rPr>
                <w:b/>
                <w:lang w:val="en-GB"/>
              </w:rPr>
              <w:t>:</w:t>
            </w:r>
          </w:p>
        </w:tc>
        <w:tc>
          <w:tcPr>
            <w:tcW w:w="8505" w:type="dxa"/>
            <w:gridSpan w:val="3"/>
          </w:tcPr>
          <w:p w:rsidR="007D4D98" w:rsidRDefault="007D4D98" w:rsidP="00533BFA">
            <w:pPr>
              <w:rPr>
                <w:lang w:val="en-GB"/>
              </w:rPr>
            </w:pPr>
          </w:p>
        </w:tc>
      </w:tr>
      <w:tr w:rsidR="007D4D98" w:rsidTr="00533BFA">
        <w:tc>
          <w:tcPr>
            <w:tcW w:w="3256" w:type="dxa"/>
          </w:tcPr>
          <w:p w:rsidR="007D4D98" w:rsidRPr="007058CE" w:rsidRDefault="00533BFA" w:rsidP="00533BFA">
            <w:pPr>
              <w:rPr>
                <w:b/>
                <w:lang w:val="en-GB"/>
              </w:rPr>
            </w:pPr>
            <w:r>
              <w:rPr>
                <w:b/>
                <w:lang w:val="en-GB"/>
              </w:rPr>
              <w:t>Head of Department, or delegate</w:t>
            </w:r>
            <w:r w:rsidR="007D4D98">
              <w:rPr>
                <w:b/>
                <w:lang w:val="en-GB"/>
              </w:rPr>
              <w:t>:</w:t>
            </w:r>
          </w:p>
        </w:tc>
        <w:tc>
          <w:tcPr>
            <w:tcW w:w="8505" w:type="dxa"/>
            <w:gridSpan w:val="3"/>
          </w:tcPr>
          <w:p w:rsidR="007D4D98" w:rsidRDefault="007D4D98" w:rsidP="00533BFA">
            <w:pPr>
              <w:rPr>
                <w:lang w:val="en-GB"/>
              </w:rPr>
            </w:pPr>
          </w:p>
        </w:tc>
      </w:tr>
      <w:tr w:rsidR="007D4D98" w:rsidTr="00533BFA">
        <w:tc>
          <w:tcPr>
            <w:tcW w:w="3256" w:type="dxa"/>
          </w:tcPr>
          <w:p w:rsidR="007D4D98" w:rsidRPr="007058CE" w:rsidRDefault="007D4D98" w:rsidP="00533BFA">
            <w:pPr>
              <w:rPr>
                <w:b/>
                <w:lang w:val="en-GB"/>
              </w:rPr>
            </w:pPr>
            <w:r>
              <w:rPr>
                <w:b/>
                <w:lang w:val="en-GB"/>
              </w:rPr>
              <w:t>Checklist completed by:</w:t>
            </w:r>
          </w:p>
        </w:tc>
        <w:tc>
          <w:tcPr>
            <w:tcW w:w="4252" w:type="dxa"/>
          </w:tcPr>
          <w:p w:rsidR="007D4D98" w:rsidRDefault="007D4D98" w:rsidP="00533BFA">
            <w:pPr>
              <w:rPr>
                <w:lang w:val="en-GB"/>
              </w:rPr>
            </w:pPr>
          </w:p>
        </w:tc>
        <w:tc>
          <w:tcPr>
            <w:tcW w:w="1418" w:type="dxa"/>
          </w:tcPr>
          <w:p w:rsidR="007D4D98" w:rsidRPr="007058CE" w:rsidRDefault="007D4D98" w:rsidP="00533BFA">
            <w:pPr>
              <w:rPr>
                <w:b/>
                <w:lang w:val="en-GB"/>
              </w:rPr>
            </w:pPr>
            <w:r w:rsidRPr="007058CE">
              <w:rPr>
                <w:b/>
                <w:lang w:val="en-GB"/>
              </w:rPr>
              <w:t>Date:</w:t>
            </w:r>
          </w:p>
        </w:tc>
        <w:tc>
          <w:tcPr>
            <w:tcW w:w="2835" w:type="dxa"/>
          </w:tcPr>
          <w:p w:rsidR="007D4D98" w:rsidRDefault="007D4D98" w:rsidP="00533BFA">
            <w:pPr>
              <w:rPr>
                <w:lang w:val="en-GB"/>
              </w:rPr>
            </w:pPr>
          </w:p>
        </w:tc>
      </w:tr>
      <w:tr w:rsidR="007D4D98" w:rsidTr="00533BFA">
        <w:tc>
          <w:tcPr>
            <w:tcW w:w="3256" w:type="dxa"/>
          </w:tcPr>
          <w:p w:rsidR="007D4D98" w:rsidRPr="007058CE" w:rsidRDefault="007D4D98" w:rsidP="00533BFA">
            <w:pPr>
              <w:rPr>
                <w:b/>
                <w:lang w:val="en-GB"/>
              </w:rPr>
            </w:pPr>
            <w:r>
              <w:rPr>
                <w:b/>
                <w:lang w:val="en-GB"/>
              </w:rPr>
              <w:t>Verified by*:</w:t>
            </w:r>
          </w:p>
        </w:tc>
        <w:tc>
          <w:tcPr>
            <w:tcW w:w="4252" w:type="dxa"/>
          </w:tcPr>
          <w:p w:rsidR="007D4D98" w:rsidRDefault="007D4D98" w:rsidP="00533BFA">
            <w:pPr>
              <w:rPr>
                <w:lang w:val="en-GB"/>
              </w:rPr>
            </w:pPr>
          </w:p>
        </w:tc>
        <w:tc>
          <w:tcPr>
            <w:tcW w:w="1418" w:type="dxa"/>
          </w:tcPr>
          <w:p w:rsidR="007D4D98" w:rsidRPr="007058CE" w:rsidRDefault="007D4D98" w:rsidP="00533BFA">
            <w:pPr>
              <w:rPr>
                <w:b/>
                <w:lang w:val="en-GB"/>
              </w:rPr>
            </w:pPr>
            <w:r w:rsidRPr="007058CE">
              <w:rPr>
                <w:b/>
                <w:lang w:val="en-GB"/>
              </w:rPr>
              <w:t>Date:</w:t>
            </w:r>
          </w:p>
        </w:tc>
        <w:tc>
          <w:tcPr>
            <w:tcW w:w="2835" w:type="dxa"/>
          </w:tcPr>
          <w:p w:rsidR="007D4D98" w:rsidRDefault="007D4D98" w:rsidP="00533BFA">
            <w:pPr>
              <w:rPr>
                <w:lang w:val="en-GB"/>
              </w:rPr>
            </w:pPr>
          </w:p>
        </w:tc>
      </w:tr>
    </w:tbl>
    <w:p w:rsidR="007D4D98" w:rsidRDefault="007D4D98">
      <w:pPr>
        <w:spacing w:before="0" w:after="0"/>
        <w:rPr>
          <w:lang w:val="en-GB"/>
        </w:rPr>
      </w:pPr>
    </w:p>
    <w:p w:rsidR="00387E85" w:rsidRDefault="007D4D98">
      <w:pPr>
        <w:spacing w:before="0" w:after="0"/>
        <w:rPr>
          <w:sz w:val="20"/>
          <w:lang w:val="en-GB"/>
        </w:rPr>
      </w:pPr>
      <w:r w:rsidRPr="007D4D98">
        <w:rPr>
          <w:sz w:val="20"/>
          <w:lang w:val="en-GB"/>
        </w:rPr>
        <w:t>*This can be a safety officer in your depa</w:t>
      </w:r>
      <w:r w:rsidR="00387E85">
        <w:rPr>
          <w:sz w:val="20"/>
          <w:lang w:val="en-GB"/>
        </w:rPr>
        <w:t>rtment</w:t>
      </w:r>
      <w:r w:rsidR="000F4DBE">
        <w:rPr>
          <w:sz w:val="20"/>
          <w:lang w:val="en-GB"/>
        </w:rPr>
        <w:t>.</w:t>
      </w:r>
    </w:p>
    <w:p w:rsidR="0050042D" w:rsidRPr="0050042D" w:rsidRDefault="0050042D">
      <w:pPr>
        <w:spacing w:before="0" w:after="0"/>
        <w:rPr>
          <w:sz w:val="20"/>
          <w:lang w:val="en-GB"/>
        </w:rPr>
      </w:pPr>
      <w:r>
        <w:rPr>
          <w:sz w:val="20"/>
          <w:lang w:val="en-GB"/>
        </w:rPr>
        <w:br w:type="page"/>
      </w:r>
    </w:p>
    <w:p w:rsidR="00387E85" w:rsidRDefault="00387E85">
      <w:pPr>
        <w:spacing w:before="0" w:after="0"/>
        <w:rPr>
          <w:lang w:val="en-GB"/>
        </w:rPr>
      </w:pPr>
    </w:p>
    <w:p w:rsidR="0050042D" w:rsidRDefault="0050042D" w:rsidP="0050042D">
      <w:pPr>
        <w:pStyle w:val="Heading1"/>
        <w:rPr>
          <w:lang w:val="en-GB"/>
        </w:rPr>
      </w:pPr>
      <w:r>
        <w:rPr>
          <w:lang w:val="en-GB"/>
        </w:rPr>
        <w:t>3. Ongoing Actions – to check and complete in the first month</w:t>
      </w:r>
    </w:p>
    <w:p w:rsidR="0050042D" w:rsidRPr="0050042D" w:rsidRDefault="00FD2C56" w:rsidP="0050042D">
      <w:pPr>
        <w:rPr>
          <w:lang w:val="en-GB"/>
        </w:rPr>
      </w:pPr>
      <w:r w:rsidRPr="00FD2C56">
        <w:rPr>
          <w:lang w:val="en-GB"/>
        </w:rPr>
        <w:t>For more information, please refer to the management responsibilities and guidance sections (below) which covers this and the reopening checklist documentation.</w:t>
      </w:r>
    </w:p>
    <w:tbl>
      <w:tblPr>
        <w:tblStyle w:val="TableGrid"/>
        <w:tblW w:w="14596" w:type="dxa"/>
        <w:tblLook w:val="04A0" w:firstRow="1" w:lastRow="0" w:firstColumn="1" w:lastColumn="0" w:noHBand="0" w:noVBand="1"/>
      </w:tblPr>
      <w:tblGrid>
        <w:gridCol w:w="11035"/>
        <w:gridCol w:w="726"/>
        <w:gridCol w:w="2835"/>
      </w:tblGrid>
      <w:tr w:rsidR="0050042D" w:rsidTr="00435C17">
        <w:trPr>
          <w:cantSplit/>
          <w:tblHeader/>
        </w:trPr>
        <w:tc>
          <w:tcPr>
            <w:tcW w:w="11035" w:type="dxa"/>
            <w:shd w:val="clear" w:color="auto" w:fill="8DB3E2" w:themeFill="text2" w:themeFillTint="66"/>
          </w:tcPr>
          <w:p w:rsidR="0050042D" w:rsidRPr="00435C17" w:rsidRDefault="0050042D" w:rsidP="003E78A2">
            <w:pPr>
              <w:spacing w:before="60" w:after="60"/>
              <w:rPr>
                <w:b/>
                <w:color w:val="FF0000"/>
              </w:rPr>
            </w:pPr>
            <w:r>
              <w:rPr>
                <w:b/>
                <w:lang w:val="en-GB"/>
              </w:rPr>
              <w:t>Measure</w:t>
            </w:r>
          </w:p>
        </w:tc>
        <w:tc>
          <w:tcPr>
            <w:tcW w:w="726" w:type="dxa"/>
            <w:shd w:val="clear" w:color="auto" w:fill="8DB3E2" w:themeFill="text2" w:themeFillTint="66"/>
          </w:tcPr>
          <w:p w:rsidR="0050042D" w:rsidRPr="001731B7" w:rsidRDefault="0050042D" w:rsidP="003E78A2">
            <w:pPr>
              <w:spacing w:before="60" w:after="60"/>
              <w:jc w:val="center"/>
              <w:rPr>
                <w:b/>
              </w:rPr>
            </w:pPr>
            <w:r>
              <w:rPr>
                <w:b/>
                <w:lang w:val="en-GB"/>
              </w:rPr>
              <w:t>Y/N?</w:t>
            </w:r>
          </w:p>
        </w:tc>
        <w:tc>
          <w:tcPr>
            <w:tcW w:w="2835" w:type="dxa"/>
            <w:shd w:val="clear" w:color="auto" w:fill="8DB3E2" w:themeFill="text2" w:themeFillTint="66"/>
          </w:tcPr>
          <w:p w:rsidR="0050042D" w:rsidRPr="001731B7" w:rsidRDefault="0050042D" w:rsidP="003E78A2">
            <w:pPr>
              <w:spacing w:before="60" w:after="60"/>
              <w:rPr>
                <w:b/>
              </w:rPr>
            </w:pPr>
            <w:r>
              <w:rPr>
                <w:b/>
                <w:lang w:val="en-GB"/>
              </w:rPr>
              <w:t>Action / comment</w:t>
            </w:r>
          </w:p>
        </w:tc>
      </w:tr>
      <w:tr w:rsidR="0050042D" w:rsidTr="003E78A2">
        <w:trPr>
          <w:cantSplit/>
        </w:trPr>
        <w:tc>
          <w:tcPr>
            <w:tcW w:w="14596" w:type="dxa"/>
            <w:gridSpan w:val="3"/>
            <w:shd w:val="clear" w:color="auto" w:fill="D9D9D9" w:themeFill="background1" w:themeFillShade="D9"/>
          </w:tcPr>
          <w:p w:rsidR="0050042D" w:rsidRPr="001731B7" w:rsidRDefault="0050042D" w:rsidP="003E78A2">
            <w:pPr>
              <w:spacing w:before="60" w:after="60"/>
              <w:jc w:val="center"/>
              <w:rPr>
                <w:lang w:val="en-GB"/>
              </w:rPr>
            </w:pPr>
            <w:r w:rsidRPr="001731B7">
              <w:rPr>
                <w:b/>
              </w:rPr>
              <w:t>Prepare your People</w:t>
            </w:r>
          </w:p>
        </w:tc>
      </w:tr>
      <w:tr w:rsidR="0050042D" w:rsidTr="003E78A2">
        <w:trPr>
          <w:cantSplit/>
        </w:trPr>
        <w:tc>
          <w:tcPr>
            <w:tcW w:w="11035" w:type="dxa"/>
          </w:tcPr>
          <w:p w:rsidR="0050042D" w:rsidRPr="0050042D" w:rsidRDefault="0050042D" w:rsidP="00F455EA">
            <w:pPr>
              <w:pStyle w:val="ListParagraph"/>
              <w:numPr>
                <w:ilvl w:val="0"/>
                <w:numId w:val="9"/>
              </w:numPr>
              <w:spacing w:before="60" w:after="60"/>
              <w:ind w:left="306"/>
              <w:rPr>
                <w:lang w:val="en-GB"/>
              </w:rPr>
            </w:pPr>
            <w:r w:rsidRPr="0050042D">
              <w:rPr>
                <w:lang w:val="en-GB"/>
              </w:rPr>
              <w:t>Communicate the latest advice and guidance, rules and behavioural expectations to all staff. Consider timeliness, consistency and clarity of messaging and method of communication so that everyone is aware of the arrangements, such as ongoing changes to government guidelines, UCL policy or the departmental arrangements as the phased return progresses.</w:t>
            </w:r>
          </w:p>
        </w:tc>
        <w:tc>
          <w:tcPr>
            <w:tcW w:w="726" w:type="dxa"/>
          </w:tcPr>
          <w:p w:rsidR="0050042D" w:rsidRDefault="0050042D" w:rsidP="003E78A2">
            <w:pPr>
              <w:spacing w:before="60" w:after="60"/>
              <w:jc w:val="center"/>
              <w:rPr>
                <w:lang w:val="en-GB"/>
              </w:rPr>
            </w:pPr>
          </w:p>
        </w:tc>
        <w:tc>
          <w:tcPr>
            <w:tcW w:w="2835" w:type="dxa"/>
          </w:tcPr>
          <w:p w:rsidR="0050042D" w:rsidRDefault="0050042D" w:rsidP="003E78A2">
            <w:pPr>
              <w:spacing w:before="60" w:after="60"/>
              <w:rPr>
                <w:lang w:val="en-GB"/>
              </w:rPr>
            </w:pPr>
          </w:p>
        </w:tc>
      </w:tr>
      <w:tr w:rsidR="0050042D" w:rsidTr="003E78A2">
        <w:trPr>
          <w:cantSplit/>
        </w:trPr>
        <w:tc>
          <w:tcPr>
            <w:tcW w:w="14596" w:type="dxa"/>
            <w:gridSpan w:val="3"/>
            <w:shd w:val="clear" w:color="auto" w:fill="D9D9D9" w:themeFill="background1" w:themeFillShade="D9"/>
          </w:tcPr>
          <w:p w:rsidR="0050042D" w:rsidRDefault="0050042D" w:rsidP="003E78A2">
            <w:pPr>
              <w:spacing w:before="60" w:after="60"/>
              <w:jc w:val="center"/>
              <w:rPr>
                <w:lang w:val="en-GB"/>
              </w:rPr>
            </w:pPr>
            <w:r w:rsidRPr="00770317">
              <w:rPr>
                <w:b/>
                <w:lang w:val="en-GB"/>
              </w:rPr>
              <w:t>Social Distancing Plan</w:t>
            </w:r>
            <w:r>
              <w:rPr>
                <w:lang w:val="en-GB"/>
              </w:rPr>
              <w:t xml:space="preserve"> </w:t>
            </w:r>
          </w:p>
        </w:tc>
      </w:tr>
      <w:tr w:rsidR="0050042D" w:rsidTr="003E78A2">
        <w:trPr>
          <w:cantSplit/>
        </w:trPr>
        <w:tc>
          <w:tcPr>
            <w:tcW w:w="11035" w:type="dxa"/>
          </w:tcPr>
          <w:p w:rsidR="0050042D" w:rsidRPr="0050042D" w:rsidRDefault="0050042D" w:rsidP="00F455EA">
            <w:pPr>
              <w:pStyle w:val="ListParagraph"/>
              <w:numPr>
                <w:ilvl w:val="0"/>
                <w:numId w:val="9"/>
              </w:numPr>
              <w:spacing w:before="60" w:after="60"/>
              <w:ind w:left="306"/>
              <w:rPr>
                <w:lang w:val="en-GB"/>
              </w:rPr>
            </w:pPr>
            <w:r w:rsidRPr="0050042D">
              <w:rPr>
                <w:lang w:val="en-GB"/>
              </w:rPr>
              <w:t xml:space="preserve">Social distancing failure in the workplace is a hazard observation that should be </w:t>
            </w:r>
            <w:hyperlink r:id="rId19" w:history="1">
              <w:r w:rsidRPr="0050042D">
                <w:rPr>
                  <w:rStyle w:val="Hyperlink"/>
                  <w:lang w:val="en-GB"/>
                </w:rPr>
                <w:t>reported</w:t>
              </w:r>
            </w:hyperlink>
            <w:r w:rsidRPr="0050042D">
              <w:rPr>
                <w:lang w:val="en-GB"/>
              </w:rPr>
              <w:t>. This includes instances where staff or students carry out unplanned work in places without social distancing. Also in circumstances where efforts to ensure social distancing have been ignored.</w:t>
            </w:r>
            <w:r w:rsidR="00FC0BCF">
              <w:rPr>
                <w:lang w:val="en-GB"/>
              </w:rPr>
              <w:t xml:space="preserve"> Put in place measures to monitor and review your social distancing plan.</w:t>
            </w:r>
          </w:p>
        </w:tc>
        <w:tc>
          <w:tcPr>
            <w:tcW w:w="726" w:type="dxa"/>
          </w:tcPr>
          <w:p w:rsidR="0050042D" w:rsidRDefault="0050042D" w:rsidP="0050042D">
            <w:pPr>
              <w:spacing w:before="60" w:after="60"/>
              <w:jc w:val="center"/>
              <w:rPr>
                <w:lang w:val="en-GB"/>
              </w:rPr>
            </w:pPr>
          </w:p>
        </w:tc>
        <w:tc>
          <w:tcPr>
            <w:tcW w:w="2835" w:type="dxa"/>
          </w:tcPr>
          <w:p w:rsidR="0050042D" w:rsidRDefault="0050042D" w:rsidP="0050042D">
            <w:pPr>
              <w:spacing w:before="60" w:after="60"/>
              <w:rPr>
                <w:lang w:val="en-GB"/>
              </w:rPr>
            </w:pPr>
          </w:p>
        </w:tc>
      </w:tr>
    </w:tbl>
    <w:tbl>
      <w:tblPr>
        <w:tblStyle w:val="TableGrid1"/>
        <w:tblW w:w="14596" w:type="dxa"/>
        <w:tblLook w:val="04A0" w:firstRow="1" w:lastRow="0" w:firstColumn="1" w:lastColumn="0" w:noHBand="0" w:noVBand="1"/>
      </w:tblPr>
      <w:tblGrid>
        <w:gridCol w:w="11035"/>
        <w:gridCol w:w="726"/>
        <w:gridCol w:w="2835"/>
      </w:tblGrid>
      <w:tr w:rsidR="0050042D" w:rsidTr="003E78A2">
        <w:trPr>
          <w:cantSplit/>
        </w:trPr>
        <w:tc>
          <w:tcPr>
            <w:tcW w:w="14596" w:type="dxa"/>
            <w:gridSpan w:val="3"/>
            <w:shd w:val="clear" w:color="auto" w:fill="D9D9D9" w:themeFill="background1" w:themeFillShade="D9"/>
          </w:tcPr>
          <w:p w:rsidR="0050042D" w:rsidRPr="00FA5B84" w:rsidRDefault="0050042D" w:rsidP="003E78A2">
            <w:pPr>
              <w:spacing w:before="60" w:after="60"/>
              <w:jc w:val="center"/>
              <w:rPr>
                <w:b/>
                <w:lang w:val="en-GB"/>
              </w:rPr>
            </w:pPr>
            <w:r w:rsidRPr="00FA5B84">
              <w:rPr>
                <w:b/>
                <w:lang w:val="en-GB"/>
              </w:rPr>
              <w:t>Statutory requirements</w:t>
            </w:r>
          </w:p>
        </w:tc>
      </w:tr>
      <w:tr w:rsidR="0050042D" w:rsidTr="003E78A2">
        <w:trPr>
          <w:cantSplit/>
        </w:trPr>
        <w:tc>
          <w:tcPr>
            <w:tcW w:w="11035" w:type="dxa"/>
          </w:tcPr>
          <w:p w:rsidR="0050042D" w:rsidRPr="0050042D" w:rsidRDefault="0050042D" w:rsidP="00F455EA">
            <w:pPr>
              <w:pStyle w:val="ListParagraph"/>
              <w:numPr>
                <w:ilvl w:val="0"/>
                <w:numId w:val="9"/>
              </w:numPr>
              <w:spacing w:before="60" w:after="60"/>
              <w:ind w:left="306"/>
              <w:rPr>
                <w:lang w:val="en-GB"/>
              </w:rPr>
            </w:pPr>
            <w:r w:rsidRPr="0050042D">
              <w:rPr>
                <w:lang w:val="en-GB"/>
              </w:rPr>
              <w:t>Monitor the effectiveness of departmental procedures to ensure safe working at each new phase of restart by completing a regular review. The department must have a process and be prepared to close any areas where social distancing procedures have broken down or have become impossible to maintain.</w:t>
            </w:r>
          </w:p>
        </w:tc>
        <w:tc>
          <w:tcPr>
            <w:tcW w:w="726" w:type="dxa"/>
          </w:tcPr>
          <w:p w:rsidR="0050042D" w:rsidRDefault="0050042D" w:rsidP="003E78A2">
            <w:pPr>
              <w:spacing w:before="60" w:after="60"/>
              <w:jc w:val="center"/>
              <w:rPr>
                <w:lang w:val="en-GB"/>
              </w:rPr>
            </w:pPr>
          </w:p>
        </w:tc>
        <w:tc>
          <w:tcPr>
            <w:tcW w:w="2835" w:type="dxa"/>
          </w:tcPr>
          <w:p w:rsidR="0050042D" w:rsidRDefault="0050042D" w:rsidP="003E78A2">
            <w:pPr>
              <w:spacing w:before="60" w:after="60"/>
              <w:rPr>
                <w:lang w:val="en-GB"/>
              </w:rPr>
            </w:pPr>
          </w:p>
        </w:tc>
      </w:tr>
    </w:tbl>
    <w:tbl>
      <w:tblPr>
        <w:tblStyle w:val="TableGrid"/>
        <w:tblW w:w="14596" w:type="dxa"/>
        <w:tblLook w:val="04A0" w:firstRow="1" w:lastRow="0" w:firstColumn="1" w:lastColumn="0" w:noHBand="0" w:noVBand="1"/>
      </w:tblPr>
      <w:tblGrid>
        <w:gridCol w:w="14596"/>
      </w:tblGrid>
      <w:tr w:rsidR="0050042D" w:rsidTr="003E78A2">
        <w:trPr>
          <w:cantSplit/>
        </w:trPr>
        <w:tc>
          <w:tcPr>
            <w:tcW w:w="14596" w:type="dxa"/>
            <w:shd w:val="clear" w:color="auto" w:fill="D9D9D9" w:themeFill="background1" w:themeFillShade="D9"/>
          </w:tcPr>
          <w:p w:rsidR="0050042D" w:rsidRDefault="0050042D" w:rsidP="003E78A2">
            <w:pPr>
              <w:spacing w:before="60" w:after="60"/>
              <w:jc w:val="center"/>
              <w:rPr>
                <w:lang w:val="en-GB"/>
              </w:rPr>
            </w:pPr>
            <w:r>
              <w:rPr>
                <w:b/>
                <w:lang w:val="en-GB"/>
              </w:rPr>
              <w:t>Items specific to laboratories, workshops etc.</w:t>
            </w:r>
          </w:p>
        </w:tc>
      </w:tr>
    </w:tbl>
    <w:tbl>
      <w:tblPr>
        <w:tblStyle w:val="TableGrid2"/>
        <w:tblW w:w="14596" w:type="dxa"/>
        <w:tblLook w:val="04A0" w:firstRow="1" w:lastRow="0" w:firstColumn="1" w:lastColumn="0" w:noHBand="0" w:noVBand="1"/>
      </w:tblPr>
      <w:tblGrid>
        <w:gridCol w:w="11035"/>
        <w:gridCol w:w="726"/>
        <w:gridCol w:w="2835"/>
      </w:tblGrid>
      <w:tr w:rsidR="0050042D" w:rsidTr="003E78A2">
        <w:trPr>
          <w:cantSplit/>
        </w:trPr>
        <w:tc>
          <w:tcPr>
            <w:tcW w:w="11035" w:type="dxa"/>
          </w:tcPr>
          <w:p w:rsidR="0050042D" w:rsidRPr="000224F5" w:rsidRDefault="0050042D" w:rsidP="00F455EA">
            <w:pPr>
              <w:pStyle w:val="ListParagraph"/>
              <w:numPr>
                <w:ilvl w:val="0"/>
                <w:numId w:val="9"/>
              </w:numPr>
              <w:spacing w:before="60" w:after="60"/>
              <w:ind w:left="306"/>
              <w:rPr>
                <w:lang w:val="en-GB"/>
              </w:rPr>
            </w:pPr>
            <w:r w:rsidRPr="00694C31">
              <w:rPr>
                <w:lang w:val="en-GB"/>
              </w:rPr>
              <w:t>Hand sanitiser is mostly a flammable alcohol, so those using naked flames as part of their work are at a greater risk of vapours catching fire on their hands. Adjust risk assessments so that staff are aware of the added hazard.</w:t>
            </w:r>
          </w:p>
        </w:tc>
        <w:tc>
          <w:tcPr>
            <w:tcW w:w="726" w:type="dxa"/>
          </w:tcPr>
          <w:p w:rsidR="0050042D" w:rsidRDefault="0050042D" w:rsidP="003E78A2">
            <w:pPr>
              <w:spacing w:before="60" w:after="60"/>
              <w:jc w:val="center"/>
              <w:rPr>
                <w:lang w:val="en-GB"/>
              </w:rPr>
            </w:pPr>
          </w:p>
        </w:tc>
        <w:tc>
          <w:tcPr>
            <w:tcW w:w="2835" w:type="dxa"/>
          </w:tcPr>
          <w:p w:rsidR="0050042D" w:rsidRDefault="0050042D" w:rsidP="003E78A2">
            <w:pPr>
              <w:spacing w:before="60" w:after="60"/>
              <w:rPr>
                <w:lang w:val="en-GB"/>
              </w:rPr>
            </w:pPr>
          </w:p>
        </w:tc>
      </w:tr>
      <w:tr w:rsidR="0050042D" w:rsidTr="003E78A2">
        <w:trPr>
          <w:cantSplit/>
        </w:trPr>
        <w:tc>
          <w:tcPr>
            <w:tcW w:w="11035" w:type="dxa"/>
          </w:tcPr>
          <w:p w:rsidR="0050042D" w:rsidRPr="000224F5" w:rsidRDefault="0050042D" w:rsidP="00F455EA">
            <w:pPr>
              <w:pStyle w:val="ListParagraph"/>
              <w:numPr>
                <w:ilvl w:val="0"/>
                <w:numId w:val="9"/>
              </w:numPr>
              <w:spacing w:before="60" w:after="60"/>
              <w:ind w:left="306"/>
              <w:rPr>
                <w:lang w:val="en-GB"/>
              </w:rPr>
            </w:pPr>
            <w:r w:rsidRPr="00694C31">
              <w:rPr>
                <w:lang w:val="en-GB"/>
              </w:rPr>
              <w:t xml:space="preserve">High risk activities must not be carried out unless the provision of </w:t>
            </w:r>
            <w:r>
              <w:rPr>
                <w:lang w:val="en-GB"/>
              </w:rPr>
              <w:t xml:space="preserve">support from </w:t>
            </w:r>
            <w:r w:rsidRPr="00694C31">
              <w:rPr>
                <w:lang w:val="en-GB"/>
              </w:rPr>
              <w:t xml:space="preserve">nearby colleagues and </w:t>
            </w:r>
            <w:r>
              <w:rPr>
                <w:lang w:val="en-GB"/>
              </w:rPr>
              <w:t xml:space="preserve">first aiders in confirmed. This includes </w:t>
            </w:r>
            <w:r w:rsidRPr="00694C31">
              <w:rPr>
                <w:lang w:val="en-GB"/>
              </w:rPr>
              <w:t xml:space="preserve">the use of cryogenic liquids or other </w:t>
            </w:r>
            <w:proofErr w:type="spellStart"/>
            <w:r w:rsidRPr="00694C31">
              <w:rPr>
                <w:lang w:val="en-GB"/>
              </w:rPr>
              <w:t>asphyxiants</w:t>
            </w:r>
            <w:proofErr w:type="spellEnd"/>
            <w:r w:rsidRPr="00694C31">
              <w:rPr>
                <w:lang w:val="en-GB"/>
              </w:rPr>
              <w:t>, highly reactive or toxic materials or large quantities of hazardous liquids.</w:t>
            </w:r>
            <w:r>
              <w:rPr>
                <w:lang w:val="en-GB"/>
              </w:rPr>
              <w:t xml:space="preserve"> </w:t>
            </w:r>
          </w:p>
        </w:tc>
        <w:tc>
          <w:tcPr>
            <w:tcW w:w="726" w:type="dxa"/>
          </w:tcPr>
          <w:p w:rsidR="0050042D" w:rsidRDefault="0050042D" w:rsidP="003E78A2">
            <w:pPr>
              <w:spacing w:before="60" w:after="60"/>
              <w:jc w:val="center"/>
              <w:rPr>
                <w:lang w:val="en-GB"/>
              </w:rPr>
            </w:pPr>
          </w:p>
        </w:tc>
        <w:tc>
          <w:tcPr>
            <w:tcW w:w="2835" w:type="dxa"/>
          </w:tcPr>
          <w:p w:rsidR="0050042D" w:rsidRDefault="0050042D" w:rsidP="003E78A2">
            <w:pPr>
              <w:spacing w:before="60" w:after="60"/>
              <w:rPr>
                <w:lang w:val="en-GB"/>
              </w:rPr>
            </w:pPr>
          </w:p>
        </w:tc>
      </w:tr>
      <w:tr w:rsidR="0050042D" w:rsidTr="003E78A2">
        <w:trPr>
          <w:cantSplit/>
        </w:trPr>
        <w:tc>
          <w:tcPr>
            <w:tcW w:w="11035" w:type="dxa"/>
          </w:tcPr>
          <w:p w:rsidR="0050042D" w:rsidRPr="000224F5" w:rsidRDefault="0050042D" w:rsidP="00F455EA">
            <w:pPr>
              <w:pStyle w:val="ListParagraph"/>
              <w:numPr>
                <w:ilvl w:val="0"/>
                <w:numId w:val="9"/>
              </w:numPr>
              <w:spacing w:before="60" w:after="60"/>
              <w:ind w:left="306"/>
              <w:rPr>
                <w:lang w:val="en-GB"/>
              </w:rPr>
            </w:pPr>
            <w:r w:rsidRPr="00694C31">
              <w:rPr>
                <w:lang w:val="en-GB"/>
              </w:rPr>
              <w:lastRenderedPageBreak/>
              <w:t xml:space="preserve">Any work involving the handling human tissue </w:t>
            </w:r>
            <w:r>
              <w:rPr>
                <w:lang w:val="en-GB"/>
              </w:rPr>
              <w:t>needs to consider SARS-CoV</w:t>
            </w:r>
            <w:r w:rsidRPr="00694C31">
              <w:rPr>
                <w:lang w:val="en-GB"/>
              </w:rPr>
              <w:t>-2</w:t>
            </w:r>
            <w:r>
              <w:rPr>
                <w:lang w:val="en-GB"/>
              </w:rPr>
              <w:t xml:space="preserve"> infection. Make sure to </w:t>
            </w:r>
            <w:r w:rsidRPr="00694C31">
              <w:rPr>
                <w:lang w:val="en-GB"/>
              </w:rPr>
              <w:t xml:space="preserve">update any risk assessments and procedures to mitigate this </w:t>
            </w:r>
            <w:r>
              <w:rPr>
                <w:lang w:val="en-GB"/>
              </w:rPr>
              <w:t>risk</w:t>
            </w:r>
            <w:r w:rsidRPr="00694C31">
              <w:rPr>
                <w:lang w:val="en-GB"/>
              </w:rPr>
              <w:t>.</w:t>
            </w:r>
            <w:r>
              <w:rPr>
                <w:lang w:val="en-GB"/>
              </w:rPr>
              <w:t xml:space="preserve"> </w:t>
            </w:r>
          </w:p>
        </w:tc>
        <w:tc>
          <w:tcPr>
            <w:tcW w:w="726" w:type="dxa"/>
          </w:tcPr>
          <w:p w:rsidR="0050042D" w:rsidRDefault="0050042D" w:rsidP="003E78A2">
            <w:pPr>
              <w:spacing w:before="60" w:after="60"/>
              <w:jc w:val="center"/>
              <w:rPr>
                <w:lang w:val="en-GB"/>
              </w:rPr>
            </w:pPr>
          </w:p>
        </w:tc>
        <w:tc>
          <w:tcPr>
            <w:tcW w:w="2835" w:type="dxa"/>
          </w:tcPr>
          <w:p w:rsidR="0050042D" w:rsidRDefault="0050042D" w:rsidP="003E78A2">
            <w:pPr>
              <w:spacing w:before="60" w:after="60"/>
              <w:rPr>
                <w:lang w:val="en-GB"/>
              </w:rPr>
            </w:pPr>
          </w:p>
        </w:tc>
      </w:tr>
      <w:tr w:rsidR="00F455EA" w:rsidTr="003E78A2">
        <w:trPr>
          <w:cantSplit/>
        </w:trPr>
        <w:tc>
          <w:tcPr>
            <w:tcW w:w="11035" w:type="dxa"/>
          </w:tcPr>
          <w:p w:rsidR="00F455EA" w:rsidRPr="00F455EA" w:rsidRDefault="00F455EA" w:rsidP="00F455EA">
            <w:pPr>
              <w:pStyle w:val="ListParagraph"/>
              <w:numPr>
                <w:ilvl w:val="0"/>
                <w:numId w:val="9"/>
              </w:numPr>
              <w:spacing w:before="60" w:after="60"/>
              <w:ind w:left="306"/>
              <w:rPr>
                <w:lang w:val="en-GB"/>
              </w:rPr>
            </w:pPr>
            <w:r w:rsidRPr="00F455EA">
              <w:rPr>
                <w:lang w:val="en-GB"/>
              </w:rPr>
              <w:t xml:space="preserve">PIs have reviewed and approved revised risk assessments for activities </w:t>
            </w:r>
            <w:r>
              <w:rPr>
                <w:lang w:val="en-GB"/>
              </w:rPr>
              <w:t xml:space="preserve">so </w:t>
            </w:r>
            <w:r w:rsidRPr="00F455EA">
              <w:rPr>
                <w:lang w:val="en-GB"/>
              </w:rPr>
              <w:t xml:space="preserve">that </w:t>
            </w:r>
            <w:r>
              <w:rPr>
                <w:lang w:val="en-GB"/>
              </w:rPr>
              <w:t>they</w:t>
            </w:r>
            <w:r w:rsidRPr="00F455EA">
              <w:rPr>
                <w:lang w:val="en-GB"/>
              </w:rPr>
              <w:t xml:space="preserve"> reflect the</w:t>
            </w:r>
            <w:r>
              <w:rPr>
                <w:lang w:val="en-GB"/>
              </w:rPr>
              <w:t xml:space="preserve"> changes in control measures brought about by the risk of COVID-</w:t>
            </w:r>
            <w:r w:rsidRPr="00F455EA">
              <w:rPr>
                <w:lang w:val="en-GB"/>
              </w:rPr>
              <w:t>19</w:t>
            </w:r>
            <w:r>
              <w:rPr>
                <w:lang w:val="en-GB"/>
              </w:rPr>
              <w:t xml:space="preserve"> transmission.</w:t>
            </w:r>
          </w:p>
        </w:tc>
        <w:tc>
          <w:tcPr>
            <w:tcW w:w="726" w:type="dxa"/>
          </w:tcPr>
          <w:p w:rsidR="00F455EA" w:rsidRDefault="00F455EA" w:rsidP="003E78A2">
            <w:pPr>
              <w:spacing w:before="60" w:after="60"/>
              <w:jc w:val="center"/>
              <w:rPr>
                <w:lang w:val="en-GB"/>
              </w:rPr>
            </w:pPr>
          </w:p>
        </w:tc>
        <w:tc>
          <w:tcPr>
            <w:tcW w:w="2835" w:type="dxa"/>
          </w:tcPr>
          <w:p w:rsidR="00F455EA" w:rsidRDefault="00F455EA" w:rsidP="003E78A2">
            <w:pPr>
              <w:spacing w:before="60" w:after="60"/>
              <w:rPr>
                <w:lang w:val="en-GB"/>
              </w:rPr>
            </w:pPr>
          </w:p>
        </w:tc>
      </w:tr>
    </w:tbl>
    <w:p w:rsidR="0050042D" w:rsidRDefault="0050042D" w:rsidP="0050042D">
      <w:pPr>
        <w:pStyle w:val="Heading2"/>
        <w:rPr>
          <w:lang w:val="en-GB"/>
        </w:rPr>
      </w:pPr>
      <w:r>
        <w:rPr>
          <w:lang w:val="en-GB"/>
        </w:rPr>
        <w:t>Completion and confirmation</w:t>
      </w:r>
    </w:p>
    <w:p w:rsidR="0050042D" w:rsidRPr="0050609D" w:rsidRDefault="0050042D" w:rsidP="0050042D">
      <w:pPr>
        <w:rPr>
          <w:lang w:val="en-GB"/>
        </w:rPr>
      </w:pPr>
      <w:r>
        <w:rPr>
          <w:lang w:val="en-GB"/>
        </w:rPr>
        <w:t xml:space="preserve">Fill in the table below to confirm </w:t>
      </w:r>
      <w:r w:rsidRPr="0050609D">
        <w:rPr>
          <w:lang w:val="en-GB"/>
        </w:rPr>
        <w:t xml:space="preserve">preparedness for </w:t>
      </w:r>
      <w:r>
        <w:rPr>
          <w:lang w:val="en-GB"/>
        </w:rPr>
        <w:t>restart:</w:t>
      </w:r>
    </w:p>
    <w:tbl>
      <w:tblPr>
        <w:tblStyle w:val="TableGrid"/>
        <w:tblW w:w="0" w:type="auto"/>
        <w:tblLook w:val="04A0" w:firstRow="1" w:lastRow="0" w:firstColumn="1" w:lastColumn="0" w:noHBand="0" w:noVBand="1"/>
      </w:tblPr>
      <w:tblGrid>
        <w:gridCol w:w="3256"/>
        <w:gridCol w:w="4252"/>
        <w:gridCol w:w="1418"/>
        <w:gridCol w:w="2835"/>
      </w:tblGrid>
      <w:tr w:rsidR="0050042D" w:rsidTr="003E78A2">
        <w:tc>
          <w:tcPr>
            <w:tcW w:w="3256" w:type="dxa"/>
          </w:tcPr>
          <w:p w:rsidR="0050042D" w:rsidRPr="007058CE" w:rsidRDefault="0050042D" w:rsidP="003E78A2">
            <w:pPr>
              <w:rPr>
                <w:b/>
                <w:lang w:val="en-GB"/>
              </w:rPr>
            </w:pPr>
            <w:r w:rsidRPr="007058CE">
              <w:rPr>
                <w:b/>
                <w:lang w:val="en-GB"/>
              </w:rPr>
              <w:t>Department and building</w:t>
            </w:r>
            <w:r>
              <w:rPr>
                <w:b/>
                <w:lang w:val="en-GB"/>
              </w:rPr>
              <w:t>:</w:t>
            </w:r>
          </w:p>
        </w:tc>
        <w:tc>
          <w:tcPr>
            <w:tcW w:w="8505" w:type="dxa"/>
            <w:gridSpan w:val="3"/>
          </w:tcPr>
          <w:p w:rsidR="0050042D" w:rsidRDefault="0050042D" w:rsidP="003E78A2">
            <w:pPr>
              <w:rPr>
                <w:lang w:val="en-GB"/>
              </w:rPr>
            </w:pPr>
          </w:p>
        </w:tc>
      </w:tr>
      <w:tr w:rsidR="0050042D" w:rsidTr="003E78A2">
        <w:tc>
          <w:tcPr>
            <w:tcW w:w="3256" w:type="dxa"/>
          </w:tcPr>
          <w:p w:rsidR="0050042D" w:rsidRPr="007058CE" w:rsidRDefault="0050042D" w:rsidP="003E78A2">
            <w:pPr>
              <w:rPr>
                <w:b/>
                <w:lang w:val="en-GB"/>
              </w:rPr>
            </w:pPr>
            <w:r>
              <w:rPr>
                <w:b/>
                <w:lang w:val="en-GB"/>
              </w:rPr>
              <w:t>Head of Department, or delegate:</w:t>
            </w:r>
          </w:p>
        </w:tc>
        <w:tc>
          <w:tcPr>
            <w:tcW w:w="8505" w:type="dxa"/>
            <w:gridSpan w:val="3"/>
          </w:tcPr>
          <w:p w:rsidR="0050042D" w:rsidRDefault="0050042D" w:rsidP="003E78A2">
            <w:pPr>
              <w:rPr>
                <w:lang w:val="en-GB"/>
              </w:rPr>
            </w:pPr>
          </w:p>
        </w:tc>
      </w:tr>
      <w:tr w:rsidR="0050042D" w:rsidTr="003E78A2">
        <w:tc>
          <w:tcPr>
            <w:tcW w:w="3256" w:type="dxa"/>
          </w:tcPr>
          <w:p w:rsidR="0050042D" w:rsidRPr="007058CE" w:rsidRDefault="0050042D" w:rsidP="003E78A2">
            <w:pPr>
              <w:rPr>
                <w:b/>
                <w:lang w:val="en-GB"/>
              </w:rPr>
            </w:pPr>
            <w:r>
              <w:rPr>
                <w:b/>
                <w:lang w:val="en-GB"/>
              </w:rPr>
              <w:t>Checklist completed by:</w:t>
            </w:r>
          </w:p>
        </w:tc>
        <w:tc>
          <w:tcPr>
            <w:tcW w:w="4252" w:type="dxa"/>
          </w:tcPr>
          <w:p w:rsidR="0050042D" w:rsidRDefault="0050042D" w:rsidP="003E78A2">
            <w:pPr>
              <w:rPr>
                <w:lang w:val="en-GB"/>
              </w:rPr>
            </w:pPr>
          </w:p>
        </w:tc>
        <w:tc>
          <w:tcPr>
            <w:tcW w:w="1418" w:type="dxa"/>
          </w:tcPr>
          <w:p w:rsidR="0050042D" w:rsidRPr="007058CE" w:rsidRDefault="0050042D" w:rsidP="003E78A2">
            <w:pPr>
              <w:rPr>
                <w:b/>
                <w:lang w:val="en-GB"/>
              </w:rPr>
            </w:pPr>
            <w:r w:rsidRPr="007058CE">
              <w:rPr>
                <w:b/>
                <w:lang w:val="en-GB"/>
              </w:rPr>
              <w:t>Date:</w:t>
            </w:r>
          </w:p>
        </w:tc>
        <w:tc>
          <w:tcPr>
            <w:tcW w:w="2835" w:type="dxa"/>
          </w:tcPr>
          <w:p w:rsidR="0050042D" w:rsidRDefault="0050042D" w:rsidP="003E78A2">
            <w:pPr>
              <w:rPr>
                <w:lang w:val="en-GB"/>
              </w:rPr>
            </w:pPr>
          </w:p>
        </w:tc>
      </w:tr>
      <w:tr w:rsidR="0050042D" w:rsidTr="003E78A2">
        <w:tc>
          <w:tcPr>
            <w:tcW w:w="3256" w:type="dxa"/>
          </w:tcPr>
          <w:p w:rsidR="0050042D" w:rsidRPr="007058CE" w:rsidRDefault="0050042D" w:rsidP="003E78A2">
            <w:pPr>
              <w:rPr>
                <w:b/>
                <w:lang w:val="en-GB"/>
              </w:rPr>
            </w:pPr>
            <w:r>
              <w:rPr>
                <w:b/>
                <w:lang w:val="en-GB"/>
              </w:rPr>
              <w:t>Verified by*:</w:t>
            </w:r>
          </w:p>
        </w:tc>
        <w:tc>
          <w:tcPr>
            <w:tcW w:w="4252" w:type="dxa"/>
          </w:tcPr>
          <w:p w:rsidR="0050042D" w:rsidRDefault="0050042D" w:rsidP="003E78A2">
            <w:pPr>
              <w:rPr>
                <w:lang w:val="en-GB"/>
              </w:rPr>
            </w:pPr>
          </w:p>
        </w:tc>
        <w:tc>
          <w:tcPr>
            <w:tcW w:w="1418" w:type="dxa"/>
          </w:tcPr>
          <w:p w:rsidR="0050042D" w:rsidRPr="007058CE" w:rsidRDefault="0050042D" w:rsidP="003E78A2">
            <w:pPr>
              <w:rPr>
                <w:b/>
                <w:lang w:val="en-GB"/>
              </w:rPr>
            </w:pPr>
            <w:r w:rsidRPr="007058CE">
              <w:rPr>
                <w:b/>
                <w:lang w:val="en-GB"/>
              </w:rPr>
              <w:t>Date:</w:t>
            </w:r>
          </w:p>
        </w:tc>
        <w:tc>
          <w:tcPr>
            <w:tcW w:w="2835" w:type="dxa"/>
          </w:tcPr>
          <w:p w:rsidR="0050042D" w:rsidRDefault="0050042D" w:rsidP="003E78A2">
            <w:pPr>
              <w:rPr>
                <w:lang w:val="en-GB"/>
              </w:rPr>
            </w:pPr>
          </w:p>
        </w:tc>
      </w:tr>
    </w:tbl>
    <w:p w:rsidR="0050042D" w:rsidRDefault="0050042D" w:rsidP="0050042D">
      <w:pPr>
        <w:spacing w:before="0" w:after="0"/>
        <w:rPr>
          <w:lang w:val="en-GB"/>
        </w:rPr>
      </w:pPr>
    </w:p>
    <w:p w:rsidR="0050042D" w:rsidRDefault="0050042D" w:rsidP="0050042D">
      <w:pPr>
        <w:spacing w:before="0" w:after="0"/>
        <w:rPr>
          <w:sz w:val="20"/>
          <w:lang w:val="en-GB"/>
        </w:rPr>
      </w:pPr>
      <w:r w:rsidRPr="007D4D98">
        <w:rPr>
          <w:sz w:val="20"/>
          <w:lang w:val="en-GB"/>
        </w:rPr>
        <w:t>*This can be a safety officer in your depa</w:t>
      </w:r>
      <w:r>
        <w:rPr>
          <w:sz w:val="20"/>
          <w:lang w:val="en-GB"/>
        </w:rPr>
        <w:t>rtment</w:t>
      </w:r>
      <w:r w:rsidRPr="007D4D98">
        <w:rPr>
          <w:sz w:val="20"/>
          <w:lang w:val="en-GB"/>
        </w:rPr>
        <w:t>.</w:t>
      </w:r>
    </w:p>
    <w:p w:rsidR="00733B1F" w:rsidRDefault="00733B1F">
      <w:pPr>
        <w:spacing w:before="0" w:after="0"/>
        <w:rPr>
          <w:rFonts w:eastAsiaTheme="majorEastAsia" w:cstheme="majorBidi"/>
          <w:b/>
          <w:color w:val="EA7600"/>
          <w:sz w:val="28"/>
          <w:szCs w:val="32"/>
          <w:lang w:val="en-GB"/>
        </w:rPr>
      </w:pPr>
      <w:r>
        <w:rPr>
          <w:lang w:val="en-GB"/>
        </w:rPr>
        <w:br w:type="page"/>
      </w:r>
    </w:p>
    <w:p w:rsidR="00733B1F" w:rsidRDefault="00733B1F" w:rsidP="007058CE">
      <w:pPr>
        <w:pStyle w:val="Heading1"/>
        <w:rPr>
          <w:lang w:val="en-GB"/>
        </w:rPr>
        <w:sectPr w:rsidR="00733B1F" w:rsidSect="00733B1F">
          <w:headerReference w:type="first" r:id="rId20"/>
          <w:pgSz w:w="16840" w:h="11900" w:orient="landscape"/>
          <w:pgMar w:top="1134" w:right="1134" w:bottom="1134" w:left="1134" w:header="709" w:footer="709" w:gutter="0"/>
          <w:cols w:space="708"/>
          <w:titlePg/>
          <w:docGrid w:linePitch="360"/>
        </w:sectPr>
      </w:pPr>
      <w:bookmarkStart w:id="4" w:name="_Management_responsibilities"/>
      <w:bookmarkEnd w:id="4"/>
    </w:p>
    <w:p w:rsidR="00F535A6" w:rsidRPr="00F535A6" w:rsidRDefault="00F535A6" w:rsidP="00F535A6">
      <w:pPr>
        <w:keepNext/>
        <w:keepLines/>
        <w:spacing w:before="240"/>
        <w:outlineLvl w:val="0"/>
        <w:rPr>
          <w:rFonts w:eastAsiaTheme="majorEastAsia" w:cstheme="majorBidi"/>
          <w:b/>
          <w:color w:val="EA7600"/>
          <w:sz w:val="28"/>
          <w:szCs w:val="32"/>
          <w:lang w:val="en-GB"/>
        </w:rPr>
      </w:pPr>
      <w:bookmarkStart w:id="5" w:name="_Toc33533899"/>
      <w:r w:rsidRPr="00F535A6">
        <w:rPr>
          <w:rFonts w:eastAsiaTheme="majorEastAsia" w:cstheme="majorBidi"/>
          <w:b/>
          <w:color w:val="EA7600"/>
          <w:sz w:val="28"/>
          <w:szCs w:val="32"/>
          <w:lang w:val="en-GB"/>
        </w:rPr>
        <w:lastRenderedPageBreak/>
        <w:t>Management responsibilities</w:t>
      </w:r>
      <w:bookmarkStart w:id="6" w:name="_Guidance_to_support"/>
      <w:bookmarkEnd w:id="6"/>
    </w:p>
    <w:p w:rsidR="007058CE" w:rsidRPr="007058CE" w:rsidRDefault="007058CE" w:rsidP="007058CE">
      <w:pPr>
        <w:pStyle w:val="Heading2"/>
        <w:rPr>
          <w:lang w:val="en-GB"/>
        </w:rPr>
      </w:pPr>
      <w:r w:rsidRPr="007058CE">
        <w:rPr>
          <w:lang w:val="en-GB"/>
        </w:rPr>
        <w:t xml:space="preserve">Head of Department </w:t>
      </w:r>
    </w:p>
    <w:p w:rsidR="007058CE" w:rsidRPr="007058CE" w:rsidRDefault="007058CE" w:rsidP="007058CE">
      <w:pPr>
        <w:rPr>
          <w:lang w:val="en-GB"/>
        </w:rPr>
      </w:pPr>
      <w:r w:rsidRPr="007058CE">
        <w:rPr>
          <w:lang w:val="en-GB"/>
        </w:rPr>
        <w:t xml:space="preserve">The Head of Department is responsible for </w:t>
      </w:r>
      <w:r>
        <w:rPr>
          <w:lang w:val="en-GB"/>
        </w:rPr>
        <w:t xml:space="preserve">ensuring </w:t>
      </w:r>
      <w:r w:rsidRPr="007058CE">
        <w:rPr>
          <w:lang w:val="en-GB"/>
        </w:rPr>
        <w:t xml:space="preserve">any statutory requirements for departmental equipment </w:t>
      </w:r>
      <w:r>
        <w:rPr>
          <w:lang w:val="en-GB"/>
        </w:rPr>
        <w:t xml:space="preserve">are complied with </w:t>
      </w:r>
      <w:r w:rsidRPr="007058CE">
        <w:rPr>
          <w:lang w:val="en-GB"/>
        </w:rPr>
        <w:t xml:space="preserve">before equipment is used by employees. Examples of such </w:t>
      </w:r>
      <w:r>
        <w:rPr>
          <w:lang w:val="en-GB"/>
        </w:rPr>
        <w:t>requirements are:</w:t>
      </w:r>
    </w:p>
    <w:p w:rsidR="007058CE" w:rsidRPr="007058CE" w:rsidRDefault="007058CE" w:rsidP="007058CE">
      <w:pPr>
        <w:pStyle w:val="ListParagraph"/>
        <w:numPr>
          <w:ilvl w:val="0"/>
          <w:numId w:val="31"/>
        </w:numPr>
        <w:spacing w:before="120" w:after="120"/>
        <w:ind w:left="714" w:hanging="357"/>
        <w:contextualSpacing w:val="0"/>
        <w:rPr>
          <w:lang w:val="en-GB"/>
        </w:rPr>
      </w:pPr>
      <w:r w:rsidRPr="007058CE">
        <w:rPr>
          <w:lang w:val="en-GB"/>
        </w:rPr>
        <w:t xml:space="preserve">Written scheme </w:t>
      </w:r>
      <w:r>
        <w:rPr>
          <w:lang w:val="en-GB"/>
        </w:rPr>
        <w:t>of examination</w:t>
      </w:r>
      <w:r w:rsidRPr="007058CE">
        <w:rPr>
          <w:lang w:val="en-GB"/>
        </w:rPr>
        <w:t xml:space="preserve"> </w:t>
      </w:r>
      <w:r>
        <w:rPr>
          <w:lang w:val="en-GB"/>
        </w:rPr>
        <w:t xml:space="preserve">as applied to </w:t>
      </w:r>
      <w:r w:rsidRPr="007058CE">
        <w:rPr>
          <w:lang w:val="en-GB"/>
        </w:rPr>
        <w:t>departmental pressure systems.</w:t>
      </w:r>
    </w:p>
    <w:p w:rsidR="007058CE" w:rsidRPr="007058CE" w:rsidRDefault="007058CE" w:rsidP="007058CE">
      <w:pPr>
        <w:pStyle w:val="ListParagraph"/>
        <w:numPr>
          <w:ilvl w:val="0"/>
          <w:numId w:val="31"/>
        </w:numPr>
        <w:spacing w:before="120" w:after="120"/>
        <w:ind w:left="714" w:hanging="357"/>
        <w:contextualSpacing w:val="0"/>
        <w:rPr>
          <w:lang w:val="en-GB"/>
        </w:rPr>
      </w:pPr>
      <w:r>
        <w:rPr>
          <w:lang w:val="en-GB"/>
        </w:rPr>
        <w:t>Servicing of f</w:t>
      </w:r>
      <w:r w:rsidRPr="007058CE">
        <w:rPr>
          <w:lang w:val="en-GB"/>
        </w:rPr>
        <w:t>ume cupboard</w:t>
      </w:r>
      <w:r>
        <w:rPr>
          <w:lang w:val="en-GB"/>
        </w:rPr>
        <w:t xml:space="preserve">s and </w:t>
      </w:r>
      <w:r w:rsidRPr="007058CE">
        <w:rPr>
          <w:lang w:val="en-GB"/>
        </w:rPr>
        <w:t xml:space="preserve">other local exhaust ventilation (LEV) </w:t>
      </w:r>
      <w:r>
        <w:rPr>
          <w:lang w:val="en-GB"/>
        </w:rPr>
        <w:t xml:space="preserve">as </w:t>
      </w:r>
      <w:r w:rsidRPr="007058CE">
        <w:rPr>
          <w:lang w:val="en-GB"/>
        </w:rPr>
        <w:t>required every 14 months.</w:t>
      </w:r>
    </w:p>
    <w:p w:rsidR="007058CE" w:rsidRPr="007058CE" w:rsidRDefault="007058CE" w:rsidP="007058CE">
      <w:pPr>
        <w:pStyle w:val="ListParagraph"/>
        <w:numPr>
          <w:ilvl w:val="0"/>
          <w:numId w:val="31"/>
        </w:numPr>
        <w:spacing w:before="120" w:after="120"/>
        <w:ind w:left="714" w:hanging="357"/>
        <w:contextualSpacing w:val="0"/>
        <w:rPr>
          <w:lang w:val="en-GB"/>
        </w:rPr>
      </w:pPr>
      <w:r>
        <w:rPr>
          <w:lang w:val="en-GB"/>
        </w:rPr>
        <w:t>Statutory checks of lifting equipment.</w:t>
      </w:r>
    </w:p>
    <w:p w:rsidR="007058CE" w:rsidRPr="007058CE" w:rsidRDefault="007058CE" w:rsidP="007058CE">
      <w:pPr>
        <w:pStyle w:val="ListParagraph"/>
        <w:numPr>
          <w:ilvl w:val="0"/>
          <w:numId w:val="31"/>
        </w:numPr>
        <w:spacing w:before="120" w:after="120"/>
        <w:ind w:left="714" w:hanging="357"/>
        <w:contextualSpacing w:val="0"/>
        <w:rPr>
          <w:lang w:val="en-GB"/>
        </w:rPr>
      </w:pPr>
      <w:r>
        <w:rPr>
          <w:lang w:val="en-GB"/>
        </w:rPr>
        <w:t>M</w:t>
      </w:r>
      <w:r w:rsidRPr="007058CE">
        <w:rPr>
          <w:lang w:val="en-GB"/>
        </w:rPr>
        <w:t xml:space="preserve">aintenance of gas alarms, gas manifolds and regulators. </w:t>
      </w:r>
    </w:p>
    <w:p w:rsidR="007058CE" w:rsidRPr="007058CE" w:rsidRDefault="007058CE" w:rsidP="007058CE">
      <w:pPr>
        <w:rPr>
          <w:lang w:val="en-GB"/>
        </w:rPr>
      </w:pPr>
      <w:r w:rsidRPr="007058CE">
        <w:rPr>
          <w:lang w:val="en-GB"/>
        </w:rPr>
        <w:t xml:space="preserve">Management must prepare a start-up plan ensuring a safe restart, using this guidance to assist, </w:t>
      </w:r>
      <w:r>
        <w:rPr>
          <w:lang w:val="en-GB"/>
        </w:rPr>
        <w:t xml:space="preserve">to </w:t>
      </w:r>
      <w:r w:rsidRPr="007058CE">
        <w:rPr>
          <w:lang w:val="en-GB"/>
        </w:rPr>
        <w:t>cover any department-specific issues not written here. It will include details on how to apply, monitor and review such plans.</w:t>
      </w:r>
      <w:r>
        <w:rPr>
          <w:lang w:val="en-GB"/>
        </w:rPr>
        <w:t xml:space="preserve"> </w:t>
      </w:r>
      <w:r w:rsidRPr="007058CE">
        <w:rPr>
          <w:lang w:val="en-GB"/>
        </w:rPr>
        <w:t xml:space="preserve">They must ensure staff </w:t>
      </w:r>
      <w:r>
        <w:rPr>
          <w:lang w:val="en-GB"/>
        </w:rPr>
        <w:t xml:space="preserve">and students </w:t>
      </w:r>
      <w:r w:rsidRPr="007058CE">
        <w:rPr>
          <w:lang w:val="en-GB"/>
        </w:rPr>
        <w:t xml:space="preserve">returning </w:t>
      </w:r>
      <w:r>
        <w:rPr>
          <w:lang w:val="en-GB"/>
        </w:rPr>
        <w:t xml:space="preserve">are </w:t>
      </w:r>
      <w:r w:rsidRPr="007058CE">
        <w:rPr>
          <w:lang w:val="en-GB"/>
        </w:rPr>
        <w:t>aware of the n</w:t>
      </w:r>
      <w:r>
        <w:rPr>
          <w:lang w:val="en-GB"/>
        </w:rPr>
        <w:t>ew arrangements in place and have</w:t>
      </w:r>
      <w:r w:rsidRPr="007058CE">
        <w:rPr>
          <w:lang w:val="en-GB"/>
        </w:rPr>
        <w:t xml:space="preserve"> been trained as required.</w:t>
      </w:r>
    </w:p>
    <w:p w:rsidR="007058CE" w:rsidRPr="007058CE" w:rsidRDefault="007058CE" w:rsidP="007058CE">
      <w:pPr>
        <w:pStyle w:val="Heading2"/>
        <w:rPr>
          <w:lang w:val="en-GB"/>
        </w:rPr>
      </w:pPr>
      <w:r w:rsidRPr="007058CE">
        <w:rPr>
          <w:lang w:val="en-GB"/>
        </w:rPr>
        <w:t>Principal Investigators and Academic Supervisors</w:t>
      </w:r>
    </w:p>
    <w:p w:rsidR="002D6010" w:rsidRDefault="007058CE" w:rsidP="007058CE">
      <w:pPr>
        <w:rPr>
          <w:lang w:val="en-GB"/>
        </w:rPr>
      </w:pPr>
      <w:r w:rsidRPr="007058CE">
        <w:rPr>
          <w:lang w:val="en-GB"/>
        </w:rPr>
        <w:t>All PIs and supervisors are responsible to ensure their staff have risk assessments in place for their activities. It is likely that new circumstances</w:t>
      </w:r>
      <w:r w:rsidR="007B2C1A">
        <w:rPr>
          <w:lang w:val="en-GB"/>
        </w:rPr>
        <w:t xml:space="preserve"> to prevent COVID-19 spreading and adapting to social distancing</w:t>
      </w:r>
      <w:r w:rsidRPr="007058CE">
        <w:rPr>
          <w:lang w:val="en-GB"/>
        </w:rPr>
        <w:t xml:space="preserve"> require these risk assessments to be </w:t>
      </w:r>
      <w:r w:rsidR="002D6010">
        <w:rPr>
          <w:lang w:val="en-GB"/>
        </w:rPr>
        <w:t>updated</w:t>
      </w:r>
      <w:r w:rsidRPr="007058CE">
        <w:rPr>
          <w:lang w:val="en-GB"/>
        </w:rPr>
        <w:t xml:space="preserve">. As there may still be reduced support regarding supervision, </w:t>
      </w:r>
      <w:r w:rsidR="002D6010">
        <w:rPr>
          <w:lang w:val="en-GB"/>
        </w:rPr>
        <w:t>first aid</w:t>
      </w:r>
      <w:r w:rsidRPr="007058CE">
        <w:rPr>
          <w:lang w:val="en-GB"/>
        </w:rPr>
        <w:t xml:space="preserve"> and FEM cover</w:t>
      </w:r>
      <w:r w:rsidR="002D6010">
        <w:rPr>
          <w:lang w:val="en-GB"/>
        </w:rPr>
        <w:t xml:space="preserve">; </w:t>
      </w:r>
      <w:r w:rsidRPr="007058CE">
        <w:rPr>
          <w:lang w:val="en-GB"/>
        </w:rPr>
        <w:t xml:space="preserve">risk assessments must be revised even for standard activities. Supervision of staff in buildings with reduced numbers where lone working is more likely, is </w:t>
      </w:r>
      <w:r w:rsidR="002D6010">
        <w:rPr>
          <w:lang w:val="en-GB"/>
        </w:rPr>
        <w:t xml:space="preserve">also </w:t>
      </w:r>
      <w:r w:rsidRPr="007058CE">
        <w:rPr>
          <w:lang w:val="en-GB"/>
        </w:rPr>
        <w:t xml:space="preserve">the responsibility of the line manager or supervisor. </w:t>
      </w:r>
    </w:p>
    <w:p w:rsidR="007058CE" w:rsidRPr="007058CE" w:rsidRDefault="002D6010" w:rsidP="007058CE">
      <w:pPr>
        <w:rPr>
          <w:lang w:val="en-GB"/>
        </w:rPr>
      </w:pPr>
      <w:r>
        <w:rPr>
          <w:lang w:val="en-GB"/>
        </w:rPr>
        <w:t xml:space="preserve">Updates to </w:t>
      </w:r>
      <w:r w:rsidR="007058CE" w:rsidRPr="007058CE">
        <w:rPr>
          <w:lang w:val="en-GB"/>
        </w:rPr>
        <w:t>risk assessment</w:t>
      </w:r>
      <w:r>
        <w:rPr>
          <w:lang w:val="en-GB"/>
        </w:rPr>
        <w:t>s</w:t>
      </w:r>
      <w:r w:rsidR="007058CE" w:rsidRPr="007058CE">
        <w:rPr>
          <w:lang w:val="en-GB"/>
        </w:rPr>
        <w:t xml:space="preserve"> must </w:t>
      </w:r>
      <w:r>
        <w:rPr>
          <w:lang w:val="en-GB"/>
        </w:rPr>
        <w:t xml:space="preserve">also include </w:t>
      </w:r>
      <w:r w:rsidR="007058CE" w:rsidRPr="007058CE">
        <w:rPr>
          <w:lang w:val="en-GB"/>
        </w:rPr>
        <w:t>a</w:t>
      </w:r>
      <w:r>
        <w:rPr>
          <w:lang w:val="en-GB"/>
        </w:rPr>
        <w:t xml:space="preserve">ny activity that was performed </w:t>
      </w:r>
      <w:r w:rsidR="007058CE" w:rsidRPr="007058CE">
        <w:rPr>
          <w:lang w:val="en-GB"/>
        </w:rPr>
        <w:t>recently during the lockdown.</w:t>
      </w:r>
    </w:p>
    <w:p w:rsidR="007058CE" w:rsidRPr="007058CE" w:rsidRDefault="007058CE" w:rsidP="007058CE">
      <w:pPr>
        <w:pStyle w:val="Heading2"/>
        <w:rPr>
          <w:lang w:val="en-GB"/>
        </w:rPr>
      </w:pPr>
      <w:r w:rsidRPr="007058CE">
        <w:rPr>
          <w:lang w:val="en-GB"/>
        </w:rPr>
        <w:t>Laboratory Managers</w:t>
      </w:r>
    </w:p>
    <w:p w:rsidR="007058CE" w:rsidRPr="007058CE" w:rsidRDefault="007058CE" w:rsidP="007058CE">
      <w:pPr>
        <w:rPr>
          <w:lang w:val="en-GB"/>
        </w:rPr>
      </w:pPr>
      <w:r w:rsidRPr="007058CE">
        <w:rPr>
          <w:lang w:val="en-GB"/>
        </w:rPr>
        <w:t>Laboratory managers must do a final check of their areas of responsibility to ensure the work area and specialist equipment is ready for activities and the departmental plan for restart has been complied with.</w:t>
      </w:r>
    </w:p>
    <w:p w:rsidR="007058CE" w:rsidRPr="007058CE" w:rsidRDefault="002D6010" w:rsidP="002D6010">
      <w:pPr>
        <w:pStyle w:val="Heading2"/>
        <w:rPr>
          <w:lang w:val="en-GB"/>
        </w:rPr>
      </w:pPr>
      <w:r>
        <w:rPr>
          <w:lang w:val="en-GB"/>
        </w:rPr>
        <w:t>All staff and students</w:t>
      </w:r>
    </w:p>
    <w:p w:rsidR="007058CE" w:rsidRPr="007058CE" w:rsidRDefault="002D6010" w:rsidP="007058CE">
      <w:pPr>
        <w:rPr>
          <w:lang w:val="en-GB"/>
        </w:rPr>
      </w:pPr>
      <w:r>
        <w:rPr>
          <w:lang w:val="en-GB"/>
        </w:rPr>
        <w:t xml:space="preserve">Staff and students </w:t>
      </w:r>
      <w:r w:rsidR="007058CE" w:rsidRPr="007058CE">
        <w:rPr>
          <w:lang w:val="en-GB"/>
        </w:rPr>
        <w:t xml:space="preserve">must take all reasonable precautions to protect themselves from the </w:t>
      </w:r>
      <w:r>
        <w:rPr>
          <w:lang w:val="en-GB"/>
        </w:rPr>
        <w:t>SARS-CoV</w:t>
      </w:r>
      <w:r w:rsidR="007058CE" w:rsidRPr="007058CE">
        <w:rPr>
          <w:lang w:val="en-GB"/>
        </w:rPr>
        <w:t>-2</w:t>
      </w:r>
      <w:r>
        <w:rPr>
          <w:lang w:val="en-GB"/>
        </w:rPr>
        <w:t xml:space="preserve"> virus. They should </w:t>
      </w:r>
      <w:r w:rsidR="007058CE" w:rsidRPr="007058CE">
        <w:rPr>
          <w:lang w:val="en-GB"/>
        </w:rPr>
        <w:t xml:space="preserve">familiarise themselves with departmental </w:t>
      </w:r>
      <w:r>
        <w:rPr>
          <w:lang w:val="en-GB"/>
        </w:rPr>
        <w:t xml:space="preserve">ways of </w:t>
      </w:r>
      <w:r w:rsidR="007058CE" w:rsidRPr="007058CE">
        <w:rPr>
          <w:lang w:val="en-GB"/>
        </w:rPr>
        <w:t>working and social distan</w:t>
      </w:r>
      <w:r>
        <w:rPr>
          <w:lang w:val="en-GB"/>
        </w:rPr>
        <w:t>cing arrangements</w:t>
      </w:r>
      <w:r w:rsidR="007058CE" w:rsidRPr="007058CE">
        <w:rPr>
          <w:lang w:val="en-GB"/>
        </w:rPr>
        <w:t xml:space="preserve">. This </w:t>
      </w:r>
      <w:r>
        <w:rPr>
          <w:lang w:val="en-GB"/>
        </w:rPr>
        <w:t xml:space="preserve">may </w:t>
      </w:r>
      <w:r w:rsidR="007058CE" w:rsidRPr="007058CE">
        <w:rPr>
          <w:lang w:val="en-GB"/>
        </w:rPr>
        <w:t>change often and at short notice.</w:t>
      </w:r>
    </w:p>
    <w:p w:rsidR="007058CE" w:rsidRPr="007058CE" w:rsidRDefault="002D6010" w:rsidP="007058CE">
      <w:pPr>
        <w:rPr>
          <w:lang w:val="en-GB"/>
        </w:rPr>
      </w:pPr>
      <w:r>
        <w:rPr>
          <w:lang w:val="en-GB"/>
        </w:rPr>
        <w:t xml:space="preserve">Staff and students </w:t>
      </w:r>
      <w:r w:rsidR="007058CE" w:rsidRPr="007058CE">
        <w:rPr>
          <w:lang w:val="en-GB"/>
        </w:rPr>
        <w:t>must be aware that although they may have performed their activity regularly, even during lockdown, their previous risk assessment</w:t>
      </w:r>
      <w:r>
        <w:rPr>
          <w:lang w:val="en-GB"/>
        </w:rPr>
        <w:t>s</w:t>
      </w:r>
      <w:r w:rsidR="007058CE" w:rsidRPr="007058CE">
        <w:rPr>
          <w:lang w:val="en-GB"/>
        </w:rPr>
        <w:t xml:space="preserve"> </w:t>
      </w:r>
      <w:r>
        <w:rPr>
          <w:lang w:val="en-GB"/>
        </w:rPr>
        <w:t xml:space="preserve">are </w:t>
      </w:r>
      <w:r w:rsidR="007058CE" w:rsidRPr="007058CE">
        <w:rPr>
          <w:lang w:val="en-GB"/>
        </w:rPr>
        <w:t xml:space="preserve">no longer suitable </w:t>
      </w:r>
      <w:r>
        <w:rPr>
          <w:lang w:val="en-GB"/>
        </w:rPr>
        <w:t xml:space="preserve">or sufficient due to newly </w:t>
      </w:r>
      <w:r w:rsidR="007058CE" w:rsidRPr="007058CE">
        <w:rPr>
          <w:lang w:val="en-GB"/>
        </w:rPr>
        <w:t xml:space="preserve">published </w:t>
      </w:r>
      <w:r>
        <w:rPr>
          <w:lang w:val="en-GB"/>
        </w:rPr>
        <w:t xml:space="preserve">return to </w:t>
      </w:r>
      <w:r w:rsidR="007058CE" w:rsidRPr="007058CE">
        <w:rPr>
          <w:lang w:val="en-GB"/>
        </w:rPr>
        <w:t>UCL and department</w:t>
      </w:r>
      <w:r>
        <w:rPr>
          <w:lang w:val="en-GB"/>
        </w:rPr>
        <w:t>al</w:t>
      </w:r>
      <w:r w:rsidR="007058CE" w:rsidRPr="007058CE">
        <w:rPr>
          <w:lang w:val="en-GB"/>
        </w:rPr>
        <w:t xml:space="preserve"> risk assessments</w:t>
      </w:r>
      <w:r w:rsidR="00E233D7">
        <w:rPr>
          <w:lang w:val="en-GB"/>
        </w:rPr>
        <w:t>, and so must be revised</w:t>
      </w:r>
      <w:r w:rsidR="007058CE" w:rsidRPr="007058CE">
        <w:rPr>
          <w:lang w:val="en-GB"/>
        </w:rPr>
        <w:t>.</w:t>
      </w:r>
    </w:p>
    <w:p w:rsidR="007058CE" w:rsidRDefault="002D6010" w:rsidP="007058CE">
      <w:pPr>
        <w:rPr>
          <w:lang w:val="en-GB"/>
        </w:rPr>
      </w:pPr>
      <w:r>
        <w:rPr>
          <w:lang w:val="en-GB"/>
        </w:rPr>
        <w:t xml:space="preserve">Staff and students </w:t>
      </w:r>
      <w:r w:rsidR="007058CE" w:rsidRPr="007058CE">
        <w:rPr>
          <w:lang w:val="en-GB"/>
        </w:rPr>
        <w:t xml:space="preserve">have a duty of care to themselves and to others </w:t>
      </w:r>
      <w:r>
        <w:rPr>
          <w:lang w:val="en-GB"/>
        </w:rPr>
        <w:t xml:space="preserve">who </w:t>
      </w:r>
      <w:r w:rsidR="007058CE" w:rsidRPr="007058CE">
        <w:rPr>
          <w:lang w:val="en-GB"/>
        </w:rPr>
        <w:t>may be working during the phased restart, so as to comply with departmental working and social distancing arrangements and not to impact their own or others health and safety.</w:t>
      </w:r>
      <w:bookmarkStart w:id="7" w:name="_Toc30086197"/>
      <w:bookmarkStart w:id="8" w:name="_Toc30086253"/>
      <w:bookmarkStart w:id="9" w:name="_Toc30086311"/>
      <w:bookmarkStart w:id="10" w:name="_Toc30086368"/>
      <w:bookmarkStart w:id="11" w:name="_Toc30086428"/>
      <w:bookmarkStart w:id="12" w:name="_Toc30086536"/>
      <w:bookmarkStart w:id="13" w:name="_Toc30086590"/>
      <w:bookmarkStart w:id="14" w:name="_Toc30086646"/>
      <w:bookmarkStart w:id="15" w:name="_Toc30096798"/>
      <w:bookmarkStart w:id="16" w:name="_Toc30086198"/>
      <w:bookmarkStart w:id="17" w:name="_Toc30086254"/>
      <w:bookmarkStart w:id="18" w:name="_Toc30086312"/>
      <w:bookmarkStart w:id="19" w:name="_Toc30086369"/>
      <w:bookmarkStart w:id="20" w:name="_Toc30086429"/>
      <w:bookmarkStart w:id="21" w:name="_Toc30086537"/>
      <w:bookmarkStart w:id="22" w:name="_Toc30086591"/>
      <w:bookmarkStart w:id="23" w:name="_Toc30086647"/>
      <w:bookmarkStart w:id="24" w:name="_Toc30096799"/>
      <w:bookmarkStart w:id="25" w:name="_Toc30086199"/>
      <w:bookmarkStart w:id="26" w:name="_Toc30086255"/>
      <w:bookmarkStart w:id="27" w:name="_Toc30086313"/>
      <w:bookmarkStart w:id="28" w:name="_Toc30086370"/>
      <w:bookmarkStart w:id="29" w:name="_Toc30086430"/>
      <w:bookmarkStart w:id="30" w:name="_Toc30086538"/>
      <w:bookmarkStart w:id="31" w:name="_Toc30086592"/>
      <w:bookmarkStart w:id="32" w:name="_Toc30086648"/>
      <w:bookmarkStart w:id="33" w:name="_Toc30096800"/>
      <w:bookmarkStart w:id="34" w:name="_Toc30086202"/>
      <w:bookmarkStart w:id="35" w:name="_Toc30086258"/>
      <w:bookmarkStart w:id="36" w:name="_Toc30086316"/>
      <w:bookmarkStart w:id="37" w:name="_Toc30086373"/>
      <w:bookmarkStart w:id="38" w:name="_Toc30086433"/>
      <w:bookmarkStart w:id="39" w:name="_Toc30086541"/>
      <w:bookmarkStart w:id="40" w:name="_Toc30086595"/>
      <w:bookmarkStart w:id="41" w:name="_Toc30086651"/>
      <w:bookmarkStart w:id="42" w:name="_Toc30096803"/>
      <w:bookmarkStart w:id="43" w:name="_Toc30086203"/>
      <w:bookmarkStart w:id="44" w:name="_Toc30086259"/>
      <w:bookmarkStart w:id="45" w:name="_Toc30086317"/>
      <w:bookmarkStart w:id="46" w:name="_Toc30086374"/>
      <w:bookmarkStart w:id="47" w:name="_Toc30086434"/>
      <w:bookmarkStart w:id="48" w:name="_Toc30086542"/>
      <w:bookmarkStart w:id="49" w:name="_Toc30086596"/>
      <w:bookmarkStart w:id="50" w:name="_Toc30086652"/>
      <w:bookmarkStart w:id="51" w:name="_Toc30096804"/>
      <w:bookmarkStart w:id="52" w:name="_Toc30086210"/>
      <w:bookmarkStart w:id="53" w:name="_Toc30086266"/>
      <w:bookmarkStart w:id="54" w:name="_Toc30086324"/>
      <w:bookmarkStart w:id="55" w:name="_Toc30086381"/>
      <w:bookmarkStart w:id="56" w:name="_Toc30086441"/>
      <w:bookmarkStart w:id="57" w:name="_Toc30086549"/>
      <w:bookmarkStart w:id="58" w:name="_Toc30086603"/>
      <w:bookmarkStart w:id="59" w:name="_Toc30086659"/>
      <w:bookmarkStart w:id="60" w:name="_Toc30096811"/>
      <w:bookmarkEnd w:id="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B07ADB" w:rsidRDefault="00B07ADB" w:rsidP="007058CE">
      <w:pPr>
        <w:rPr>
          <w:lang w:val="en-GB"/>
        </w:rPr>
      </w:pPr>
    </w:p>
    <w:p w:rsidR="00B07ADB" w:rsidRPr="007058CE" w:rsidRDefault="00B07ADB" w:rsidP="007058CE">
      <w:pPr>
        <w:rPr>
          <w:lang w:val="en-GB"/>
        </w:rPr>
        <w:sectPr w:rsidR="00B07ADB" w:rsidRPr="007058CE" w:rsidSect="00733B1F">
          <w:pgSz w:w="11900" w:h="16840"/>
          <w:pgMar w:top="1134" w:right="1134" w:bottom="1134" w:left="1134" w:header="709" w:footer="709" w:gutter="0"/>
          <w:cols w:space="708"/>
          <w:titlePg/>
          <w:docGrid w:linePitch="360"/>
        </w:sectPr>
      </w:pPr>
    </w:p>
    <w:p w:rsidR="006924EC" w:rsidRDefault="006924EC" w:rsidP="00E46C63">
      <w:pPr>
        <w:pStyle w:val="Heading1"/>
        <w:rPr>
          <w:lang w:val="en-GB"/>
        </w:rPr>
      </w:pPr>
      <w:bookmarkStart w:id="61" w:name="_Guidance_to_support_1"/>
      <w:bookmarkEnd w:id="61"/>
      <w:r>
        <w:rPr>
          <w:lang w:val="en-GB"/>
        </w:rPr>
        <w:lastRenderedPageBreak/>
        <w:t>Guidance to support the checklist</w:t>
      </w:r>
      <w:r w:rsidR="00733B1F">
        <w:rPr>
          <w:lang w:val="en-GB"/>
        </w:rPr>
        <w:t xml:space="preserve"> items</w:t>
      </w:r>
    </w:p>
    <w:p w:rsidR="002D6010" w:rsidRDefault="002D6010" w:rsidP="006924EC">
      <w:pPr>
        <w:pStyle w:val="Heading2"/>
        <w:rPr>
          <w:lang w:val="en-GB"/>
        </w:rPr>
      </w:pPr>
      <w:bookmarkStart w:id="62" w:name="_1._Planning_for_1"/>
      <w:bookmarkStart w:id="63" w:name="_Social_distancing"/>
      <w:bookmarkEnd w:id="62"/>
      <w:bookmarkEnd w:id="63"/>
      <w:r>
        <w:rPr>
          <w:lang w:val="en-GB"/>
        </w:rPr>
        <w:t>Social distancing</w:t>
      </w:r>
    </w:p>
    <w:p w:rsidR="002D6010" w:rsidRPr="002D6010" w:rsidRDefault="00CD0A5D" w:rsidP="002D6010">
      <w:pPr>
        <w:rPr>
          <w:lang w:val="en-GB"/>
        </w:rPr>
      </w:pPr>
      <w:r>
        <w:rPr>
          <w:lang w:val="en-GB"/>
        </w:rPr>
        <w:t>T</w:t>
      </w:r>
      <w:r w:rsidR="002D6010" w:rsidRPr="002D6010">
        <w:rPr>
          <w:lang w:val="en-GB"/>
        </w:rPr>
        <w:t xml:space="preserve">he Health and Safety Executive have declared that employers not ensuring social distancing may be </w:t>
      </w:r>
      <w:r>
        <w:rPr>
          <w:lang w:val="en-GB"/>
        </w:rPr>
        <w:t xml:space="preserve">subject to </w:t>
      </w:r>
      <w:r w:rsidR="002D6010" w:rsidRPr="002D6010">
        <w:rPr>
          <w:lang w:val="en-GB"/>
        </w:rPr>
        <w:t xml:space="preserve">enforcement </w:t>
      </w:r>
      <w:r>
        <w:rPr>
          <w:lang w:val="en-GB"/>
        </w:rPr>
        <w:t xml:space="preserve">action, including prosecution. It is therefore essential </w:t>
      </w:r>
      <w:r w:rsidR="002D6010" w:rsidRPr="002D6010">
        <w:rPr>
          <w:lang w:val="en-GB"/>
        </w:rPr>
        <w:t>to focus on 2 m</w:t>
      </w:r>
      <w:r>
        <w:rPr>
          <w:lang w:val="en-GB"/>
        </w:rPr>
        <w:t>etres</w:t>
      </w:r>
      <w:r w:rsidR="002D6010" w:rsidRPr="002D6010">
        <w:rPr>
          <w:lang w:val="en-GB"/>
        </w:rPr>
        <w:t xml:space="preserve"> social </w:t>
      </w:r>
      <w:r>
        <w:rPr>
          <w:lang w:val="en-GB"/>
        </w:rPr>
        <w:t xml:space="preserve">distancing. There are </w:t>
      </w:r>
      <w:r w:rsidRPr="002D6010">
        <w:rPr>
          <w:lang w:val="en-GB"/>
        </w:rPr>
        <w:t>options if social distancing is not possible</w:t>
      </w:r>
      <w:r>
        <w:rPr>
          <w:lang w:val="en-GB"/>
        </w:rPr>
        <w:t>, but the following must be considered:</w:t>
      </w:r>
    </w:p>
    <w:p w:rsidR="002D6010" w:rsidRPr="002D6010" w:rsidRDefault="002D6010" w:rsidP="002D6010">
      <w:pPr>
        <w:pStyle w:val="ListParagraph"/>
        <w:numPr>
          <w:ilvl w:val="1"/>
          <w:numId w:val="33"/>
        </w:numPr>
        <w:spacing w:before="120" w:after="120"/>
        <w:ind w:left="1797"/>
        <w:contextualSpacing w:val="0"/>
        <w:rPr>
          <w:lang w:val="en-GB"/>
        </w:rPr>
      </w:pPr>
      <w:r w:rsidRPr="002D6010">
        <w:rPr>
          <w:lang w:val="en-GB"/>
        </w:rPr>
        <w:t>The activity must have vital importance to the business</w:t>
      </w:r>
      <w:r w:rsidR="00CD0A5D">
        <w:rPr>
          <w:lang w:val="en-GB"/>
        </w:rPr>
        <w:t>.</w:t>
      </w:r>
    </w:p>
    <w:p w:rsidR="002D6010" w:rsidRPr="002D6010" w:rsidRDefault="002D6010" w:rsidP="002D6010">
      <w:pPr>
        <w:pStyle w:val="ListParagraph"/>
        <w:numPr>
          <w:ilvl w:val="1"/>
          <w:numId w:val="33"/>
        </w:numPr>
        <w:spacing w:before="120" w:after="120"/>
        <w:ind w:left="1797"/>
        <w:contextualSpacing w:val="0"/>
        <w:rPr>
          <w:lang w:val="en-GB"/>
        </w:rPr>
      </w:pPr>
      <w:r w:rsidRPr="002D6010">
        <w:rPr>
          <w:lang w:val="en-GB"/>
        </w:rPr>
        <w:t>Consider whether that activity needs to continue for the business to operate</w:t>
      </w:r>
      <w:r w:rsidR="00CD0A5D">
        <w:rPr>
          <w:lang w:val="en-GB"/>
        </w:rPr>
        <w:t>.</w:t>
      </w:r>
    </w:p>
    <w:p w:rsidR="002D6010" w:rsidRPr="002D6010" w:rsidRDefault="00CD0A5D" w:rsidP="002D6010">
      <w:pPr>
        <w:pStyle w:val="ListParagraph"/>
        <w:numPr>
          <w:ilvl w:val="1"/>
          <w:numId w:val="33"/>
        </w:numPr>
        <w:spacing w:before="120" w:after="120"/>
        <w:ind w:left="1797"/>
        <w:contextualSpacing w:val="0"/>
        <w:rPr>
          <w:lang w:val="en-GB"/>
        </w:rPr>
      </w:pPr>
      <w:r>
        <w:rPr>
          <w:lang w:val="en-GB"/>
        </w:rPr>
        <w:t>Increase</w:t>
      </w:r>
      <w:r w:rsidR="002D6010" w:rsidRPr="002D6010">
        <w:rPr>
          <w:lang w:val="en-GB"/>
        </w:rPr>
        <w:t xml:space="preserve"> the frequency of hand washing for 20s and </w:t>
      </w:r>
      <w:r>
        <w:rPr>
          <w:lang w:val="en-GB"/>
        </w:rPr>
        <w:t>clean surfaces more often</w:t>
      </w:r>
      <w:r w:rsidR="002D6010" w:rsidRPr="002D6010">
        <w:rPr>
          <w:lang w:val="en-GB"/>
        </w:rPr>
        <w:t>.</w:t>
      </w:r>
    </w:p>
    <w:p w:rsidR="002D6010" w:rsidRPr="002D6010" w:rsidRDefault="002D6010" w:rsidP="002D6010">
      <w:pPr>
        <w:pStyle w:val="ListParagraph"/>
        <w:numPr>
          <w:ilvl w:val="1"/>
          <w:numId w:val="33"/>
        </w:numPr>
        <w:spacing w:before="120" w:after="120"/>
        <w:ind w:left="1797"/>
        <w:contextualSpacing w:val="0"/>
        <w:rPr>
          <w:lang w:val="en-GB"/>
        </w:rPr>
      </w:pPr>
      <w:r w:rsidRPr="002D6010">
        <w:rPr>
          <w:lang w:val="en-GB"/>
        </w:rPr>
        <w:t>Keeping the activity tim</w:t>
      </w:r>
      <w:r w:rsidR="00CD0A5D">
        <w:rPr>
          <w:lang w:val="en-GB"/>
        </w:rPr>
        <w:t>e involved as short as possible, less than 15 minutes.</w:t>
      </w:r>
    </w:p>
    <w:p w:rsidR="002D6010" w:rsidRPr="002D6010" w:rsidRDefault="002D6010" w:rsidP="002D6010">
      <w:pPr>
        <w:pStyle w:val="ListParagraph"/>
        <w:numPr>
          <w:ilvl w:val="1"/>
          <w:numId w:val="33"/>
        </w:numPr>
        <w:spacing w:before="120" w:after="120"/>
        <w:ind w:left="1797"/>
        <w:contextualSpacing w:val="0"/>
        <w:rPr>
          <w:lang w:val="en-GB"/>
        </w:rPr>
      </w:pPr>
      <w:r w:rsidRPr="002D6010">
        <w:rPr>
          <w:lang w:val="en-GB"/>
        </w:rPr>
        <w:t>Use screens or barriers to separate people from each other.</w:t>
      </w:r>
    </w:p>
    <w:p w:rsidR="002D6010" w:rsidRPr="002D6010" w:rsidRDefault="002D6010" w:rsidP="002D6010">
      <w:pPr>
        <w:pStyle w:val="ListParagraph"/>
        <w:numPr>
          <w:ilvl w:val="1"/>
          <w:numId w:val="33"/>
        </w:numPr>
        <w:spacing w:before="120" w:after="120"/>
        <w:ind w:left="1797"/>
        <w:contextualSpacing w:val="0"/>
        <w:rPr>
          <w:lang w:val="en-GB"/>
        </w:rPr>
      </w:pPr>
      <w:r w:rsidRPr="002D6010">
        <w:rPr>
          <w:lang w:val="en-GB"/>
        </w:rPr>
        <w:t>Use back-to-back or side-to-side working (rather than face-to-face)</w:t>
      </w:r>
      <w:r w:rsidR="00CD0A5D">
        <w:rPr>
          <w:lang w:val="en-GB"/>
        </w:rPr>
        <w:t>.</w:t>
      </w:r>
    </w:p>
    <w:p w:rsidR="002D6010" w:rsidRPr="002D6010" w:rsidRDefault="002D6010" w:rsidP="002D6010">
      <w:pPr>
        <w:pStyle w:val="ListParagraph"/>
        <w:numPr>
          <w:ilvl w:val="1"/>
          <w:numId w:val="33"/>
        </w:numPr>
        <w:spacing w:before="120" w:after="120"/>
        <w:ind w:left="1797"/>
        <w:contextualSpacing w:val="0"/>
        <w:rPr>
          <w:lang w:val="en-GB"/>
        </w:rPr>
      </w:pPr>
      <w:r w:rsidRPr="002D6010">
        <w:rPr>
          <w:lang w:val="en-GB"/>
        </w:rPr>
        <w:t>Reduce the number of people each person has contact with by using ‘fixed teams or partnering’</w:t>
      </w:r>
      <w:r w:rsidR="00CD0A5D">
        <w:rPr>
          <w:lang w:val="en-GB"/>
        </w:rPr>
        <w:t>.</w:t>
      </w:r>
    </w:p>
    <w:p w:rsidR="002D6010" w:rsidRPr="002D6010" w:rsidRDefault="002D6010" w:rsidP="002D6010">
      <w:pPr>
        <w:rPr>
          <w:lang w:val="en-GB"/>
        </w:rPr>
      </w:pPr>
      <w:r w:rsidRPr="002D6010">
        <w:rPr>
          <w:lang w:val="en-GB"/>
        </w:rPr>
        <w:t>Reduce the numbers in classroom, laboratory and office activities, to enable people to sit at least 2 metres</w:t>
      </w:r>
      <w:r w:rsidR="00CD0A5D">
        <w:rPr>
          <w:lang w:val="en-GB"/>
        </w:rPr>
        <w:t xml:space="preserve"> apart. This may be achieved by:</w:t>
      </w:r>
    </w:p>
    <w:p w:rsidR="002D6010" w:rsidRPr="00CD0A5D" w:rsidRDefault="002D6010" w:rsidP="00CD0A5D">
      <w:pPr>
        <w:pStyle w:val="ListParagraph"/>
        <w:numPr>
          <w:ilvl w:val="1"/>
          <w:numId w:val="33"/>
        </w:numPr>
        <w:spacing w:before="120" w:after="120"/>
        <w:ind w:left="1797"/>
        <w:contextualSpacing w:val="0"/>
        <w:rPr>
          <w:lang w:val="en-GB"/>
        </w:rPr>
      </w:pPr>
      <w:r w:rsidRPr="00CD0A5D">
        <w:rPr>
          <w:lang w:val="en-GB"/>
        </w:rPr>
        <w:t>Using daily shift systems for staff</w:t>
      </w:r>
      <w:r w:rsidR="00CD0A5D">
        <w:rPr>
          <w:lang w:val="en-GB"/>
        </w:rPr>
        <w:t>.</w:t>
      </w:r>
    </w:p>
    <w:p w:rsidR="002D6010" w:rsidRPr="00CD0A5D" w:rsidRDefault="002D6010" w:rsidP="00CD0A5D">
      <w:pPr>
        <w:pStyle w:val="ListParagraph"/>
        <w:numPr>
          <w:ilvl w:val="1"/>
          <w:numId w:val="33"/>
        </w:numPr>
        <w:spacing w:before="120" w:after="120"/>
        <w:ind w:left="1797"/>
        <w:contextualSpacing w:val="0"/>
        <w:rPr>
          <w:lang w:val="en-GB"/>
        </w:rPr>
      </w:pPr>
      <w:r w:rsidRPr="00CD0A5D">
        <w:rPr>
          <w:lang w:val="en-GB"/>
        </w:rPr>
        <w:t>Extending hours, but only if support is available and can be arranged</w:t>
      </w:r>
      <w:r w:rsidR="00CD0A5D">
        <w:rPr>
          <w:lang w:val="en-GB"/>
        </w:rPr>
        <w:t>.</w:t>
      </w:r>
    </w:p>
    <w:p w:rsidR="002D6010" w:rsidRPr="00CD0A5D" w:rsidRDefault="002D6010" w:rsidP="00CD0A5D">
      <w:pPr>
        <w:pStyle w:val="ListParagraph"/>
        <w:numPr>
          <w:ilvl w:val="1"/>
          <w:numId w:val="33"/>
        </w:numPr>
        <w:spacing w:before="120" w:after="120"/>
        <w:ind w:left="1797"/>
        <w:contextualSpacing w:val="0"/>
        <w:rPr>
          <w:lang w:val="en-GB"/>
        </w:rPr>
      </w:pPr>
      <w:r w:rsidRPr="00CD0A5D">
        <w:rPr>
          <w:lang w:val="en-GB"/>
        </w:rPr>
        <w:t>Using alternate or nominated days for staff and students to be at UCL to reduce the population in office or lab areas</w:t>
      </w:r>
      <w:r w:rsidR="00CD0A5D">
        <w:rPr>
          <w:lang w:val="en-GB"/>
        </w:rPr>
        <w:t>.</w:t>
      </w:r>
    </w:p>
    <w:p w:rsidR="002D6010" w:rsidRPr="00CD0A5D" w:rsidRDefault="002D6010" w:rsidP="00CD0A5D">
      <w:pPr>
        <w:pStyle w:val="ListParagraph"/>
        <w:numPr>
          <w:ilvl w:val="1"/>
          <w:numId w:val="33"/>
        </w:numPr>
        <w:spacing w:before="120" w:after="120"/>
        <w:ind w:left="1797"/>
        <w:contextualSpacing w:val="0"/>
        <w:rPr>
          <w:lang w:val="en-GB"/>
        </w:rPr>
      </w:pPr>
      <w:r w:rsidRPr="00CD0A5D">
        <w:rPr>
          <w:lang w:val="en-GB"/>
        </w:rPr>
        <w:t>Asking individuals to continue to work from home where possible</w:t>
      </w:r>
      <w:r w:rsidR="00CD0A5D">
        <w:rPr>
          <w:lang w:val="en-GB"/>
        </w:rPr>
        <w:t>.</w:t>
      </w:r>
    </w:p>
    <w:p w:rsidR="002D6010" w:rsidRPr="00CD0A5D" w:rsidRDefault="002D6010" w:rsidP="00CD0A5D">
      <w:pPr>
        <w:pStyle w:val="ListParagraph"/>
        <w:numPr>
          <w:ilvl w:val="1"/>
          <w:numId w:val="33"/>
        </w:numPr>
        <w:spacing w:before="120" w:after="120"/>
        <w:ind w:left="1797"/>
        <w:contextualSpacing w:val="0"/>
        <w:rPr>
          <w:lang w:val="en-GB"/>
        </w:rPr>
      </w:pPr>
      <w:r w:rsidRPr="00CD0A5D">
        <w:rPr>
          <w:lang w:val="en-GB"/>
        </w:rPr>
        <w:t>Stagger lunch hours and breaks to relieve demand for access to any communal facilities needed.</w:t>
      </w:r>
    </w:p>
    <w:p w:rsidR="002D6010" w:rsidRPr="002D6010" w:rsidRDefault="002D6010" w:rsidP="002D6010">
      <w:pPr>
        <w:rPr>
          <w:lang w:val="en-GB"/>
        </w:rPr>
      </w:pPr>
      <w:r w:rsidRPr="002D6010">
        <w:rPr>
          <w:lang w:val="en-GB"/>
        </w:rPr>
        <w:t>Ensure desk spacing for all office or communal study areas allows for 2 m</w:t>
      </w:r>
      <w:r w:rsidR="00CD0A5D">
        <w:rPr>
          <w:lang w:val="en-GB"/>
        </w:rPr>
        <w:t>etre</w:t>
      </w:r>
      <w:r w:rsidRPr="002D6010">
        <w:rPr>
          <w:lang w:val="en-GB"/>
        </w:rPr>
        <w:t xml:space="preserve"> separation. This may require desks to be removed or ‘closed’ or that alternate ones are used. </w:t>
      </w:r>
    </w:p>
    <w:p w:rsidR="002D6010" w:rsidRPr="002D6010" w:rsidRDefault="002D6010" w:rsidP="002D6010">
      <w:pPr>
        <w:rPr>
          <w:lang w:val="en-GB"/>
        </w:rPr>
      </w:pPr>
      <w:r w:rsidRPr="002D6010">
        <w:rPr>
          <w:lang w:val="en-GB"/>
        </w:rPr>
        <w:t>Where there may be queues, such as to enter buildings, in canteens or to use facilities, put markers for the queue and 2 m</w:t>
      </w:r>
      <w:r w:rsidR="00CD0A5D">
        <w:rPr>
          <w:lang w:val="en-GB"/>
        </w:rPr>
        <w:t>etre</w:t>
      </w:r>
      <w:r w:rsidRPr="002D6010">
        <w:rPr>
          <w:lang w:val="en-GB"/>
        </w:rPr>
        <w:t xml:space="preserve"> distances in place so that individuals can wait in turn calmly.</w:t>
      </w:r>
    </w:p>
    <w:p w:rsidR="002D6010" w:rsidRPr="002D6010" w:rsidRDefault="002D6010" w:rsidP="002D6010">
      <w:pPr>
        <w:rPr>
          <w:lang w:val="en-GB"/>
        </w:rPr>
      </w:pPr>
      <w:r w:rsidRPr="002D6010">
        <w:rPr>
          <w:lang w:val="en-GB"/>
        </w:rPr>
        <w:t xml:space="preserve">Ensure traffic routes are </w:t>
      </w:r>
      <w:r w:rsidR="00CD0A5D">
        <w:rPr>
          <w:lang w:val="en-GB"/>
        </w:rPr>
        <w:t xml:space="preserve">identified </w:t>
      </w:r>
      <w:r w:rsidRPr="002D6010">
        <w:rPr>
          <w:lang w:val="en-GB"/>
        </w:rPr>
        <w:t>at entrances, exits and throughou</w:t>
      </w:r>
      <w:r w:rsidR="00CD0A5D">
        <w:rPr>
          <w:lang w:val="en-GB"/>
        </w:rPr>
        <w:t>t the work</w:t>
      </w:r>
      <w:r w:rsidRPr="002D6010">
        <w:rPr>
          <w:lang w:val="en-GB"/>
        </w:rPr>
        <w:t>place. A major source of contact is for those entering and leaving a building or moving through it. It may be possible to arrange a single route in and out of any building, room, laboratory or office and a separate route to leave (except in emergency). Crossing on stairs should be prevented where possible through defining traffic routes.</w:t>
      </w:r>
    </w:p>
    <w:p w:rsidR="002D6010" w:rsidRDefault="002D6010" w:rsidP="002D6010">
      <w:pPr>
        <w:rPr>
          <w:lang w:val="en-GB"/>
        </w:rPr>
      </w:pPr>
      <w:r w:rsidRPr="002D6010">
        <w:rPr>
          <w:lang w:val="en-GB"/>
        </w:rPr>
        <w:t xml:space="preserve">Agile working should be suspended so that individuals have more control over the work area they will be using. In a phased restart, fewer numbers will mean space is available in the first instance. If the same space must be occupied by different people on the same day, or by different shifts, apply a clean desk policy and users should </w:t>
      </w:r>
      <w:r w:rsidR="00371A24" w:rsidRPr="002D6010">
        <w:rPr>
          <w:lang w:val="en-GB"/>
        </w:rPr>
        <w:t>wash</w:t>
      </w:r>
      <w:r w:rsidR="00371A24">
        <w:rPr>
          <w:lang w:val="en-GB"/>
        </w:rPr>
        <w:t xml:space="preserve"> their hands for 20 seconds</w:t>
      </w:r>
      <w:r w:rsidRPr="002D6010">
        <w:rPr>
          <w:lang w:val="en-GB"/>
        </w:rPr>
        <w:t xml:space="preserve"> and clean the station before and after each session.</w:t>
      </w:r>
    </w:p>
    <w:p w:rsidR="002D6010" w:rsidRPr="002D6010" w:rsidRDefault="002D6010" w:rsidP="002D6010">
      <w:pPr>
        <w:rPr>
          <w:lang w:val="en-GB"/>
        </w:rPr>
      </w:pPr>
      <w:r w:rsidRPr="002D6010">
        <w:rPr>
          <w:lang w:val="en-GB"/>
        </w:rPr>
        <w:t>Changing facilities or shower rooms, if kept open, should be restricted to one person at a time.</w:t>
      </w:r>
      <w:r w:rsidR="00371A24">
        <w:rPr>
          <w:lang w:val="en-GB"/>
        </w:rPr>
        <w:t xml:space="preserve"> </w:t>
      </w:r>
      <w:r w:rsidRPr="002D6010">
        <w:rPr>
          <w:lang w:val="en-GB"/>
        </w:rPr>
        <w:t>Keep group activities in the department suspended as per government guidelines.</w:t>
      </w:r>
    </w:p>
    <w:p w:rsidR="002D6010" w:rsidRPr="002D6010" w:rsidRDefault="002D6010" w:rsidP="002D6010">
      <w:pPr>
        <w:rPr>
          <w:lang w:val="en-GB"/>
        </w:rPr>
      </w:pPr>
      <w:r w:rsidRPr="002D6010">
        <w:rPr>
          <w:lang w:val="en-GB"/>
        </w:rPr>
        <w:t>Do not share food, cups or kitchen utensils. If possible, it may be better to shut canteen areas and provide t</w:t>
      </w:r>
      <w:r w:rsidR="00371A24">
        <w:rPr>
          <w:lang w:val="en-GB"/>
        </w:rPr>
        <w:t>rolley service for coffee / tea.</w:t>
      </w:r>
    </w:p>
    <w:p w:rsidR="002D6010" w:rsidRPr="002D6010" w:rsidRDefault="002D6010" w:rsidP="002D6010">
      <w:pPr>
        <w:rPr>
          <w:lang w:val="en-GB"/>
        </w:rPr>
      </w:pPr>
      <w:r w:rsidRPr="002D6010">
        <w:rPr>
          <w:lang w:val="en-GB"/>
        </w:rPr>
        <w:lastRenderedPageBreak/>
        <w:t>Use videoconferencing, even when speaking to colleagues within the department to ensure social distancing and reduce movement around site. Do not hold face-to-face meetings. If you must have a meeting that cannot be carried out electronically, hold them in large, well ventilated spaces that allow sufficient space to socially distance. As guidance, a meeting of 5 people will require a room for a minimum of 20 people to ensure 25% occupation is not exceeded.</w:t>
      </w:r>
    </w:p>
    <w:p w:rsidR="002D6010" w:rsidRPr="002D6010" w:rsidRDefault="002D6010" w:rsidP="002D6010">
      <w:pPr>
        <w:rPr>
          <w:lang w:val="en-GB"/>
        </w:rPr>
      </w:pPr>
      <w:r w:rsidRPr="002D6010">
        <w:rPr>
          <w:lang w:val="en-GB"/>
        </w:rPr>
        <w:t>Do not shake hands or approach within 2 m</w:t>
      </w:r>
      <w:r w:rsidR="00371A24">
        <w:rPr>
          <w:lang w:val="en-GB"/>
        </w:rPr>
        <w:t>etres</w:t>
      </w:r>
      <w:r w:rsidRPr="002D6010">
        <w:rPr>
          <w:lang w:val="en-GB"/>
        </w:rPr>
        <w:t xml:space="preserve"> when greeting colleagues</w:t>
      </w:r>
      <w:r w:rsidR="00371A24">
        <w:rPr>
          <w:lang w:val="en-GB"/>
        </w:rPr>
        <w:t>.</w:t>
      </w:r>
    </w:p>
    <w:p w:rsidR="006924EC" w:rsidRPr="006924EC" w:rsidRDefault="006924EC" w:rsidP="006924EC">
      <w:pPr>
        <w:pStyle w:val="Heading2"/>
        <w:rPr>
          <w:lang w:val="en-GB"/>
        </w:rPr>
      </w:pPr>
      <w:bookmarkStart w:id="64" w:name="_1._Planning_for_3"/>
      <w:bookmarkEnd w:id="64"/>
      <w:r w:rsidRPr="006924EC">
        <w:rPr>
          <w:lang w:val="en-GB"/>
        </w:rPr>
        <w:t>Planning for restart – what to do before people return.</w:t>
      </w:r>
    </w:p>
    <w:p w:rsidR="006924EC" w:rsidRPr="006924EC" w:rsidRDefault="00733B1F" w:rsidP="006924EC">
      <w:pPr>
        <w:rPr>
          <w:lang w:val="en-GB"/>
        </w:rPr>
      </w:pPr>
      <w:r>
        <w:rPr>
          <w:lang w:val="en-GB"/>
        </w:rPr>
        <w:t xml:space="preserve">Departments using the </w:t>
      </w:r>
      <w:r w:rsidR="006924EC" w:rsidRPr="006924EC">
        <w:rPr>
          <w:lang w:val="en-GB"/>
        </w:rPr>
        <w:t>checklist should understand that Estates should first prepare the building for safe re-occupancy. Departments’ plans must therefore consider the subsequent safe operation and occupancy of the premises in respect to social distancing and hygiene measures, changes in risk level of activities and to people. Any building change requirements as part of a departmental plan must be submitted to Estates for consideration before re-occupancy.</w:t>
      </w:r>
    </w:p>
    <w:p w:rsidR="006924EC" w:rsidRPr="006924EC" w:rsidRDefault="006924EC" w:rsidP="006924EC">
      <w:pPr>
        <w:rPr>
          <w:lang w:val="en-GB"/>
        </w:rPr>
      </w:pPr>
      <w:r w:rsidRPr="006924EC">
        <w:rPr>
          <w:lang w:val="en-GB"/>
        </w:rPr>
        <w:t>Work areas must be prepared and checked so they are able to be used to restart work before anyone enters the area to start work. The first staff to arrive will be part of the effort to ensure a safe restart before activities begin. Staff who are the initial wave of a phased restart must have plenty of notice so they can engage with management.</w:t>
      </w:r>
    </w:p>
    <w:p w:rsidR="006924EC" w:rsidRPr="006924EC" w:rsidRDefault="006924EC" w:rsidP="006924EC">
      <w:pPr>
        <w:rPr>
          <w:lang w:val="en-GB"/>
        </w:rPr>
      </w:pPr>
      <w:r w:rsidRPr="006924EC">
        <w:rPr>
          <w:lang w:val="en-GB"/>
        </w:rPr>
        <w:t>The new arrangements for departments are:</w:t>
      </w:r>
    </w:p>
    <w:p w:rsidR="006924EC" w:rsidRPr="006924EC" w:rsidRDefault="006924EC" w:rsidP="006924EC">
      <w:pPr>
        <w:pStyle w:val="ListParagraph"/>
        <w:numPr>
          <w:ilvl w:val="0"/>
          <w:numId w:val="13"/>
        </w:numPr>
        <w:spacing w:before="120" w:after="120"/>
        <w:ind w:left="1077"/>
        <w:contextualSpacing w:val="0"/>
        <w:rPr>
          <w:lang w:val="en-GB"/>
        </w:rPr>
      </w:pPr>
      <w:r w:rsidRPr="006924EC">
        <w:rPr>
          <w:lang w:val="en-GB"/>
        </w:rPr>
        <w:t xml:space="preserve">First to ensure the building is in safe condition (Prepare the building). Estates are responsible for the building but if there are concerns or repairs needed that have arisen, the departments should raise these before general reoccupation. Traffic routes must be developed to enter and leave the building and to move around floors (one way systems). These will not apply to emergency evacuation. Ensure staff have card access enabled appropriately and the building is secure. </w:t>
      </w:r>
    </w:p>
    <w:p w:rsidR="006924EC" w:rsidRPr="006924EC" w:rsidRDefault="006924EC" w:rsidP="006924EC">
      <w:pPr>
        <w:pStyle w:val="ListParagraph"/>
        <w:numPr>
          <w:ilvl w:val="0"/>
          <w:numId w:val="13"/>
        </w:numPr>
        <w:spacing w:before="120" w:after="120"/>
        <w:ind w:left="1077"/>
        <w:contextualSpacing w:val="0"/>
        <w:rPr>
          <w:lang w:val="en-GB"/>
        </w:rPr>
      </w:pPr>
      <w:r w:rsidRPr="006924EC">
        <w:rPr>
          <w:lang w:val="en-GB"/>
        </w:rPr>
        <w:t xml:space="preserve">The second is to ensure safe equipment and facilities within the department, and safe start up. This will rely on department experts and technical staff being present and to ensure that restarting equipment is done as per manufacturers’ instructions and that equipment utilities, for example vacuum lines or gas supplies, are operational and as required before restarting. Activities such as the sharing of essential equipment, using control stations and the potential communal use of tools must be risk assessed for each activity.   </w:t>
      </w:r>
    </w:p>
    <w:p w:rsidR="006924EC" w:rsidRPr="006924EC" w:rsidRDefault="006924EC" w:rsidP="006924EC">
      <w:pPr>
        <w:pStyle w:val="ListParagraph"/>
        <w:numPr>
          <w:ilvl w:val="0"/>
          <w:numId w:val="13"/>
        </w:numPr>
        <w:spacing w:before="120" w:after="120"/>
        <w:ind w:left="1077"/>
        <w:contextualSpacing w:val="0"/>
        <w:rPr>
          <w:lang w:val="en-GB"/>
        </w:rPr>
      </w:pPr>
      <w:r w:rsidRPr="006924EC">
        <w:rPr>
          <w:lang w:val="en-GB"/>
        </w:rPr>
        <w:t>Finally, the staff asked, or offering to return must be considered individually where their personal risks to COVID-19 are proven to be increased (Prepare your people). They must have a very clear induction and training on the new departmental arrangements in place and how they are expected to work and behave and how the department will support them and respond to concerns and developments, such as issues overlooked before the restart (Communication). Departments will need to define social distancing measures (Create a social distancing plan). The use of building plans showing one-way entry, exit and circulation will avoid confusion.</w:t>
      </w:r>
    </w:p>
    <w:p w:rsidR="006924EC" w:rsidRDefault="006924EC" w:rsidP="006924EC">
      <w:pPr>
        <w:rPr>
          <w:lang w:val="en-GB"/>
        </w:rPr>
      </w:pPr>
      <w:r w:rsidRPr="006924EC">
        <w:rPr>
          <w:lang w:val="en-GB"/>
        </w:rPr>
        <w:t xml:space="preserve">Where there is shared space between different organisations, such as UCL and the NHS, or between two UCL departments, written agreements to assure coordination and cooperation should be in place as described on the </w:t>
      </w:r>
      <w:hyperlink r:id="rId21" w:history="1">
        <w:r w:rsidRPr="006924EC">
          <w:rPr>
            <w:rStyle w:val="Hyperlink"/>
            <w:lang w:val="en-GB"/>
          </w:rPr>
          <w:t>Safety Services website</w:t>
        </w:r>
      </w:hyperlink>
      <w:r w:rsidRPr="006924EC">
        <w:rPr>
          <w:lang w:val="en-GB"/>
        </w:rPr>
        <w:t>. It is vital that measures to control COVID-19 are known and compatible through cooperation and coordination between different employers within the same workspace</w:t>
      </w:r>
      <w:r w:rsidR="00FA5B84">
        <w:rPr>
          <w:lang w:val="en-GB"/>
        </w:rPr>
        <w:t>.</w:t>
      </w:r>
    </w:p>
    <w:p w:rsidR="00FA5B84" w:rsidRPr="00FA5B84" w:rsidRDefault="00FA5B84" w:rsidP="00FA5B84">
      <w:pPr>
        <w:rPr>
          <w:lang w:val="en-GB"/>
        </w:rPr>
      </w:pPr>
      <w:r>
        <w:rPr>
          <w:lang w:val="en-GB"/>
        </w:rPr>
        <w:t>Equipment managed by departments may need to have statutory checks completed before restart. Examples of such equipment are:</w:t>
      </w:r>
    </w:p>
    <w:p w:rsidR="00FA5B84" w:rsidRPr="00FA5B84" w:rsidRDefault="00FA5B84" w:rsidP="00FA5B84">
      <w:pPr>
        <w:pStyle w:val="ListParagraph"/>
        <w:numPr>
          <w:ilvl w:val="0"/>
          <w:numId w:val="18"/>
        </w:numPr>
        <w:spacing w:before="120" w:after="120"/>
        <w:contextualSpacing w:val="0"/>
        <w:rPr>
          <w:lang w:val="en-GB"/>
        </w:rPr>
      </w:pPr>
      <w:r>
        <w:rPr>
          <w:lang w:val="en-GB"/>
        </w:rPr>
        <w:t>Pressure vessels.</w:t>
      </w:r>
    </w:p>
    <w:p w:rsidR="00FA5B84" w:rsidRPr="00FA5B84" w:rsidRDefault="00FA5B84" w:rsidP="00FA5B84">
      <w:pPr>
        <w:pStyle w:val="ListParagraph"/>
        <w:numPr>
          <w:ilvl w:val="0"/>
          <w:numId w:val="18"/>
        </w:numPr>
        <w:spacing w:before="120" w:after="120"/>
        <w:contextualSpacing w:val="0"/>
        <w:rPr>
          <w:lang w:val="en-GB"/>
        </w:rPr>
      </w:pPr>
      <w:r>
        <w:rPr>
          <w:lang w:val="en-GB"/>
        </w:rPr>
        <w:t>Lifting equipment.</w:t>
      </w:r>
    </w:p>
    <w:p w:rsidR="00FA5B84" w:rsidRPr="00FA5B84" w:rsidRDefault="00FA5B84" w:rsidP="00FA5B84">
      <w:pPr>
        <w:pStyle w:val="ListParagraph"/>
        <w:numPr>
          <w:ilvl w:val="0"/>
          <w:numId w:val="18"/>
        </w:numPr>
        <w:spacing w:before="120" w:after="120"/>
        <w:contextualSpacing w:val="0"/>
        <w:rPr>
          <w:lang w:val="en-GB"/>
        </w:rPr>
      </w:pPr>
      <w:r>
        <w:rPr>
          <w:lang w:val="en-GB"/>
        </w:rPr>
        <w:lastRenderedPageBreak/>
        <w:t>Local Exhaust Ventilation (LEV).</w:t>
      </w:r>
    </w:p>
    <w:p w:rsidR="00FA5B84" w:rsidRPr="00FA5B84" w:rsidRDefault="00FA5B84" w:rsidP="00FA5B84">
      <w:pPr>
        <w:pStyle w:val="ListParagraph"/>
        <w:numPr>
          <w:ilvl w:val="0"/>
          <w:numId w:val="18"/>
        </w:numPr>
        <w:spacing w:before="120" w:after="120"/>
        <w:contextualSpacing w:val="0"/>
        <w:rPr>
          <w:lang w:val="en-GB"/>
        </w:rPr>
      </w:pPr>
      <w:r>
        <w:rPr>
          <w:lang w:val="en-GB"/>
        </w:rPr>
        <w:t>Fire alarm systems.</w:t>
      </w:r>
    </w:p>
    <w:p w:rsidR="00FA5B84" w:rsidRDefault="00FA5B84" w:rsidP="00FA5B84">
      <w:pPr>
        <w:pStyle w:val="ListParagraph"/>
        <w:numPr>
          <w:ilvl w:val="0"/>
          <w:numId w:val="18"/>
        </w:numPr>
        <w:spacing w:before="120" w:after="120"/>
        <w:contextualSpacing w:val="0"/>
        <w:rPr>
          <w:lang w:val="en-GB"/>
        </w:rPr>
      </w:pPr>
      <w:r w:rsidRPr="00FA5B84">
        <w:rPr>
          <w:lang w:val="en-GB"/>
        </w:rPr>
        <w:t>Gas cylinder manifolds</w:t>
      </w:r>
      <w:r>
        <w:rPr>
          <w:lang w:val="en-GB"/>
        </w:rPr>
        <w:t>.</w:t>
      </w:r>
    </w:p>
    <w:p w:rsidR="00733B1F" w:rsidRPr="00E733EB" w:rsidRDefault="00733B1F" w:rsidP="00545A88">
      <w:pPr>
        <w:pStyle w:val="Heading2"/>
        <w:rPr>
          <w:lang w:val="en-GB"/>
        </w:rPr>
      </w:pPr>
      <w:bookmarkStart w:id="65" w:name="_2._Immediate_actions_1"/>
      <w:bookmarkEnd w:id="65"/>
      <w:r w:rsidRPr="00E733EB">
        <w:rPr>
          <w:lang w:val="en-GB"/>
        </w:rPr>
        <w:t>Actions once you have restarted</w:t>
      </w:r>
    </w:p>
    <w:p w:rsidR="00545A88" w:rsidRPr="004A2321" w:rsidRDefault="00733B1F" w:rsidP="00733B1F">
      <w:pPr>
        <w:rPr>
          <w:lang w:val="en-GB"/>
        </w:rPr>
      </w:pPr>
      <w:r w:rsidRPr="00E733EB">
        <w:rPr>
          <w:lang w:val="en-GB"/>
        </w:rPr>
        <w:t>In addition to the items in the checklist above, further actions will be required during the first few weeks back in your building.</w:t>
      </w:r>
      <w:r w:rsidRPr="004A2321">
        <w:rPr>
          <w:lang w:val="en-GB"/>
        </w:rPr>
        <w:t xml:space="preserve"> </w:t>
      </w:r>
    </w:p>
    <w:p w:rsidR="00545A88" w:rsidRPr="00545A88" w:rsidRDefault="00545A88" w:rsidP="00545A88">
      <w:pPr>
        <w:spacing w:before="120" w:after="120"/>
        <w:rPr>
          <w:lang w:val="en-GB"/>
        </w:rPr>
      </w:pPr>
      <w:r>
        <w:rPr>
          <w:lang w:val="en-GB"/>
        </w:rPr>
        <w:t xml:space="preserve">Consideration must be given to briefings such as </w:t>
      </w:r>
      <w:r w:rsidRPr="00545A88">
        <w:rPr>
          <w:lang w:val="en-GB"/>
        </w:rPr>
        <w:t xml:space="preserve">on evacuation </w:t>
      </w:r>
      <w:r>
        <w:rPr>
          <w:lang w:val="en-GB"/>
        </w:rPr>
        <w:t>and social distancing. The key messages around evacuation are as follows:</w:t>
      </w:r>
    </w:p>
    <w:p w:rsidR="00545A88" w:rsidRPr="00545A88" w:rsidRDefault="00545A88" w:rsidP="00545A88">
      <w:pPr>
        <w:pStyle w:val="ListParagraph"/>
        <w:numPr>
          <w:ilvl w:val="0"/>
          <w:numId w:val="23"/>
        </w:numPr>
        <w:spacing w:before="120" w:after="120"/>
        <w:ind w:left="1077"/>
        <w:contextualSpacing w:val="0"/>
        <w:rPr>
          <w:lang w:val="en-GB"/>
        </w:rPr>
      </w:pPr>
      <w:r w:rsidRPr="00545A88">
        <w:rPr>
          <w:lang w:val="en-GB"/>
        </w:rPr>
        <w:t xml:space="preserve">Evacuation routes </w:t>
      </w:r>
      <w:r>
        <w:rPr>
          <w:lang w:val="en-GB"/>
        </w:rPr>
        <w:t xml:space="preserve">and exits </w:t>
      </w:r>
      <w:r w:rsidRPr="00545A88">
        <w:rPr>
          <w:lang w:val="en-GB"/>
        </w:rPr>
        <w:t>are unchanged</w:t>
      </w:r>
      <w:r>
        <w:rPr>
          <w:lang w:val="en-GB"/>
        </w:rPr>
        <w:t>,</w:t>
      </w:r>
      <w:r w:rsidRPr="00545A88">
        <w:rPr>
          <w:lang w:val="en-GB"/>
        </w:rPr>
        <w:t xml:space="preserve"> regardless of </w:t>
      </w:r>
      <w:r>
        <w:rPr>
          <w:lang w:val="en-GB"/>
        </w:rPr>
        <w:t>one</w:t>
      </w:r>
      <w:r w:rsidRPr="00545A88">
        <w:rPr>
          <w:lang w:val="en-GB"/>
        </w:rPr>
        <w:t>-way systems</w:t>
      </w:r>
      <w:r>
        <w:rPr>
          <w:lang w:val="en-GB"/>
        </w:rPr>
        <w:t>.</w:t>
      </w:r>
    </w:p>
    <w:p w:rsidR="00545A88" w:rsidRPr="00545A88" w:rsidRDefault="00545A88" w:rsidP="00545A88">
      <w:pPr>
        <w:pStyle w:val="ListParagraph"/>
        <w:numPr>
          <w:ilvl w:val="0"/>
          <w:numId w:val="23"/>
        </w:numPr>
        <w:spacing w:before="120" w:after="120"/>
        <w:ind w:left="1077"/>
        <w:contextualSpacing w:val="0"/>
        <w:rPr>
          <w:lang w:val="en-GB"/>
        </w:rPr>
      </w:pPr>
      <w:r w:rsidRPr="00545A88">
        <w:rPr>
          <w:lang w:val="en-GB"/>
        </w:rPr>
        <w:t>Use every evacuation route so one route is not crowded at the stairs and exits and social distancing does not fail</w:t>
      </w:r>
      <w:r>
        <w:rPr>
          <w:lang w:val="en-GB"/>
        </w:rPr>
        <w:t>.</w:t>
      </w:r>
    </w:p>
    <w:p w:rsidR="00545A88" w:rsidRPr="00545A88" w:rsidRDefault="00545A88" w:rsidP="00545A88">
      <w:pPr>
        <w:pStyle w:val="ListParagraph"/>
        <w:numPr>
          <w:ilvl w:val="0"/>
          <w:numId w:val="23"/>
        </w:numPr>
        <w:spacing w:before="120" w:after="120"/>
        <w:ind w:left="1077"/>
        <w:contextualSpacing w:val="0"/>
        <w:rPr>
          <w:lang w:val="en-GB"/>
        </w:rPr>
      </w:pPr>
      <w:r w:rsidRPr="00545A88">
        <w:rPr>
          <w:lang w:val="en-GB"/>
        </w:rPr>
        <w:t>Keep as far apart as reasonably practicable during evacuation and at fire assembly points (there will be fewer occupants).</w:t>
      </w:r>
    </w:p>
    <w:p w:rsidR="00545A88" w:rsidRPr="00545A88" w:rsidRDefault="00545A88" w:rsidP="00545A88">
      <w:pPr>
        <w:pStyle w:val="ListParagraph"/>
        <w:numPr>
          <w:ilvl w:val="0"/>
          <w:numId w:val="23"/>
        </w:numPr>
        <w:spacing w:before="120" w:after="120"/>
        <w:ind w:left="1077"/>
        <w:contextualSpacing w:val="0"/>
        <w:rPr>
          <w:lang w:val="en-GB"/>
        </w:rPr>
      </w:pPr>
      <w:r w:rsidRPr="00545A88">
        <w:rPr>
          <w:lang w:val="en-GB"/>
        </w:rPr>
        <w:t>At Fire Assembly Points, maintain social dista</w:t>
      </w:r>
      <w:r w:rsidR="00B80BA8">
        <w:rPr>
          <w:lang w:val="en-GB"/>
        </w:rPr>
        <w:t>ncing.</w:t>
      </w:r>
    </w:p>
    <w:p w:rsidR="00545A88" w:rsidRPr="00545A88" w:rsidRDefault="00545A88" w:rsidP="00545A88">
      <w:pPr>
        <w:pStyle w:val="ListParagraph"/>
        <w:numPr>
          <w:ilvl w:val="0"/>
          <w:numId w:val="23"/>
        </w:numPr>
        <w:spacing w:before="120" w:after="120"/>
        <w:ind w:left="1077"/>
        <w:contextualSpacing w:val="0"/>
        <w:rPr>
          <w:lang w:val="en-GB"/>
        </w:rPr>
      </w:pPr>
      <w:r w:rsidRPr="00545A88">
        <w:rPr>
          <w:lang w:val="en-GB"/>
        </w:rPr>
        <w:t>On the all clear to return to the building, re-enter the building by staggering the return.</w:t>
      </w:r>
    </w:p>
    <w:p w:rsidR="00545A88" w:rsidRDefault="00545A88" w:rsidP="00545A88">
      <w:pPr>
        <w:pStyle w:val="ListParagraph"/>
        <w:numPr>
          <w:ilvl w:val="0"/>
          <w:numId w:val="23"/>
        </w:numPr>
        <w:spacing w:before="120" w:after="120"/>
        <w:ind w:left="1077"/>
        <w:contextualSpacing w:val="0"/>
        <w:rPr>
          <w:lang w:val="en-GB"/>
        </w:rPr>
      </w:pPr>
      <w:r w:rsidRPr="00545A88">
        <w:rPr>
          <w:lang w:val="en-GB"/>
        </w:rPr>
        <w:t xml:space="preserve">On returning, ask occupants to wash </w:t>
      </w:r>
      <w:r w:rsidR="00B80BA8">
        <w:rPr>
          <w:lang w:val="en-GB"/>
        </w:rPr>
        <w:t>or sanitise their hands.</w:t>
      </w:r>
    </w:p>
    <w:p w:rsidR="00521B85" w:rsidRDefault="002E0469" w:rsidP="00521B85">
      <w:pPr>
        <w:rPr>
          <w:lang w:val="en-GB"/>
        </w:rPr>
      </w:pPr>
      <w:bookmarkStart w:id="66" w:name="_3._Ongoing_actions"/>
      <w:bookmarkEnd w:id="66"/>
      <w:r w:rsidRPr="002E0469">
        <w:rPr>
          <w:lang w:val="en-GB"/>
        </w:rPr>
        <w:t xml:space="preserve">As more staff enter the workplace, ensure staff are aware of the actions carried out in the first phase of a restart, such as training in the new arrangements, social distancing measures, fire safety refresher and </w:t>
      </w:r>
      <w:r>
        <w:rPr>
          <w:lang w:val="en-GB"/>
        </w:rPr>
        <w:t>any changes to risk assessments</w:t>
      </w:r>
      <w:r w:rsidRPr="002E0469">
        <w:rPr>
          <w:lang w:val="en-GB"/>
        </w:rPr>
        <w:t>.</w:t>
      </w:r>
    </w:p>
    <w:p w:rsidR="003333DB" w:rsidRPr="00B37466" w:rsidRDefault="003333DB" w:rsidP="00B37466">
      <w:pPr>
        <w:pStyle w:val="Heading2"/>
        <w:rPr>
          <w:lang w:val="en-GB"/>
        </w:rPr>
      </w:pPr>
      <w:r w:rsidRPr="00EA05C2">
        <w:rPr>
          <w:lang w:val="en-GB"/>
        </w:rPr>
        <w:t>Document control</w:t>
      </w:r>
    </w:p>
    <w:tbl>
      <w:tblPr>
        <w:tblStyle w:val="TableGrid"/>
        <w:tblW w:w="0" w:type="auto"/>
        <w:tblInd w:w="-5" w:type="dxa"/>
        <w:tblLook w:val="04A0" w:firstRow="1" w:lastRow="0" w:firstColumn="1" w:lastColumn="0" w:noHBand="0" w:noVBand="1"/>
      </w:tblPr>
      <w:tblGrid>
        <w:gridCol w:w="1701"/>
        <w:gridCol w:w="5387"/>
      </w:tblGrid>
      <w:tr w:rsidR="003333DB" w:rsidTr="008939C6">
        <w:tc>
          <w:tcPr>
            <w:tcW w:w="1701" w:type="dxa"/>
          </w:tcPr>
          <w:p w:rsidR="003333DB" w:rsidRDefault="008939C6" w:rsidP="006924EC">
            <w:r>
              <w:t>Version 1</w:t>
            </w:r>
          </w:p>
        </w:tc>
        <w:tc>
          <w:tcPr>
            <w:tcW w:w="5387" w:type="dxa"/>
          </w:tcPr>
          <w:p w:rsidR="003333DB" w:rsidRPr="00A0786C" w:rsidRDefault="008939C6" w:rsidP="008939C6">
            <w:r>
              <w:t>Published 29</w:t>
            </w:r>
            <w:r w:rsidRPr="008939C6">
              <w:rPr>
                <w:vertAlign w:val="superscript"/>
              </w:rPr>
              <w:t>th</w:t>
            </w:r>
            <w:r>
              <w:t xml:space="preserve"> May, 2020 as a checklist in two parts.</w:t>
            </w:r>
          </w:p>
        </w:tc>
      </w:tr>
      <w:tr w:rsidR="008939C6" w:rsidTr="008939C6">
        <w:tc>
          <w:tcPr>
            <w:tcW w:w="1701" w:type="dxa"/>
          </w:tcPr>
          <w:p w:rsidR="008939C6" w:rsidRPr="00EA05C2" w:rsidRDefault="00733B1F" w:rsidP="006924EC">
            <w:r>
              <w:t>Version 2</w:t>
            </w:r>
          </w:p>
        </w:tc>
        <w:tc>
          <w:tcPr>
            <w:tcW w:w="5387" w:type="dxa"/>
          </w:tcPr>
          <w:p w:rsidR="008939C6" w:rsidRDefault="008939C6" w:rsidP="008939C6">
            <w:r>
              <w:t>Published 5</w:t>
            </w:r>
            <w:r w:rsidRPr="008939C6">
              <w:rPr>
                <w:vertAlign w:val="superscript"/>
              </w:rPr>
              <w:t>th</w:t>
            </w:r>
            <w:r>
              <w:t xml:space="preserve"> June, 2020 as a combined checklist. Duplicated items removed, structure improved and additional links added.</w:t>
            </w:r>
          </w:p>
        </w:tc>
      </w:tr>
      <w:tr w:rsidR="00733B1F" w:rsidTr="008939C6">
        <w:tc>
          <w:tcPr>
            <w:tcW w:w="1701" w:type="dxa"/>
          </w:tcPr>
          <w:p w:rsidR="00733B1F" w:rsidRPr="00E733EB" w:rsidRDefault="00733B1F" w:rsidP="006924EC">
            <w:r w:rsidRPr="00E733EB">
              <w:t>Version 3</w:t>
            </w:r>
          </w:p>
        </w:tc>
        <w:tc>
          <w:tcPr>
            <w:tcW w:w="5387" w:type="dxa"/>
          </w:tcPr>
          <w:p w:rsidR="00733B1F" w:rsidRPr="00E733EB" w:rsidRDefault="00733B1F" w:rsidP="00BC6151">
            <w:r w:rsidRPr="00E733EB">
              <w:t xml:space="preserve">Published </w:t>
            </w:r>
            <w:r w:rsidR="00BC6151">
              <w:t>13</w:t>
            </w:r>
            <w:r w:rsidRPr="00E733EB">
              <w:rPr>
                <w:vertAlign w:val="superscript"/>
              </w:rPr>
              <w:t>th</w:t>
            </w:r>
            <w:r w:rsidRPr="00E733EB">
              <w:t xml:space="preserve"> July, 2020 reflecting lessons learned from the initial restart activities. Structure changed, with some items previously included </w:t>
            </w:r>
            <w:r w:rsidR="00BC6151">
              <w:t>in a combined checklist</w:t>
            </w:r>
            <w:r w:rsidRPr="00E733EB">
              <w:t xml:space="preserve"> moved into </w:t>
            </w:r>
            <w:r w:rsidR="00BC6151">
              <w:t>this</w:t>
            </w:r>
            <w:r w:rsidRPr="00E733EB">
              <w:t xml:space="preserve"> document to be used once a building, or departmental area, is approved to reopen. </w:t>
            </w:r>
          </w:p>
        </w:tc>
      </w:tr>
    </w:tbl>
    <w:p w:rsidR="00793C27" w:rsidRDefault="00793C27" w:rsidP="00793C27"/>
    <w:sectPr w:rsidR="00793C27" w:rsidSect="00733B1F">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7D" w:rsidRDefault="0041097D" w:rsidP="00036543">
      <w:r>
        <w:separator/>
      </w:r>
    </w:p>
  </w:endnote>
  <w:endnote w:type="continuationSeparator" w:id="0">
    <w:p w:rsidR="0041097D" w:rsidRDefault="0041097D" w:rsidP="000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58" w:rsidRPr="00124A3E" w:rsidRDefault="00F96C58" w:rsidP="003333DB">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sidR="002817E7">
      <w:rPr>
        <w:rFonts w:cs="Arial"/>
        <w:b/>
        <w:bCs/>
        <w:noProof/>
        <w:sz w:val="20"/>
        <w:szCs w:val="20"/>
      </w:rPr>
      <w:t>11</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sidR="002817E7">
      <w:rPr>
        <w:rFonts w:cs="Arial"/>
        <w:b/>
        <w:bCs/>
        <w:noProof/>
        <w:sz w:val="20"/>
        <w:szCs w:val="20"/>
      </w:rPr>
      <w:t>11</w:t>
    </w:r>
    <w:r w:rsidRPr="001F77BF">
      <w:rPr>
        <w:rFonts w:cs="Arial"/>
        <w:b/>
        <w:bCs/>
        <w:sz w:val="20"/>
        <w:szCs w:val="20"/>
      </w:rPr>
      <w:fldChar w:fldCharType="end"/>
    </w:r>
  </w:p>
  <w:p w:rsidR="00F96C58" w:rsidRDefault="00F96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58" w:rsidRPr="00B37466" w:rsidRDefault="00F96C58" w:rsidP="00B37466">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sidR="002817E7">
      <w:rPr>
        <w:rFonts w:cs="Arial"/>
        <w:b/>
        <w:bCs/>
        <w:noProof/>
        <w:sz w:val="20"/>
        <w:szCs w:val="20"/>
      </w:rPr>
      <w:t>9</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sidR="002817E7">
      <w:rPr>
        <w:rFonts w:cs="Arial"/>
        <w:b/>
        <w:bCs/>
        <w:noProof/>
        <w:sz w:val="20"/>
        <w:szCs w:val="20"/>
      </w:rPr>
      <w:t>11</w:t>
    </w:r>
    <w:r w:rsidRPr="001F77BF">
      <w:rPr>
        <w:rFonts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7D" w:rsidRDefault="0041097D" w:rsidP="00036543">
      <w:r>
        <w:separator/>
      </w:r>
    </w:p>
  </w:footnote>
  <w:footnote w:type="continuationSeparator" w:id="0">
    <w:p w:rsidR="0041097D" w:rsidRDefault="0041097D" w:rsidP="00036543">
      <w:r>
        <w:continuationSeparator/>
      </w:r>
    </w:p>
  </w:footnote>
  <w:footnote w:id="1">
    <w:p w:rsidR="00A766F5" w:rsidRPr="00A766F5" w:rsidRDefault="00A766F5">
      <w:pPr>
        <w:pStyle w:val="FootnoteText"/>
        <w:rPr>
          <w:lang w:val="en-GB"/>
        </w:rPr>
      </w:pPr>
      <w:r>
        <w:rPr>
          <w:rStyle w:val="FootnoteReference"/>
        </w:rPr>
        <w:footnoteRef/>
      </w:r>
      <w:r>
        <w:t xml:space="preserve"> </w:t>
      </w:r>
      <w:r>
        <w:rPr>
          <w:lang w:val="en-GB"/>
        </w:rPr>
        <w:t xml:space="preserve">Department in the context of this document refers to principal organisational units below Faculty level. </w:t>
      </w:r>
      <w:r w:rsidR="00A511C6">
        <w:rPr>
          <w:lang w:val="en-GB"/>
        </w:rPr>
        <w:t xml:space="preserve">These groups may be called School, </w:t>
      </w:r>
      <w:r>
        <w:rPr>
          <w:lang w:val="en-GB"/>
        </w:rPr>
        <w:t>Division, Institute</w:t>
      </w:r>
      <w:r w:rsidR="00A511C6">
        <w:rPr>
          <w:lang w:val="en-GB"/>
        </w:rPr>
        <w:t xml:space="preserve"> or </w:t>
      </w:r>
      <w:r>
        <w:rPr>
          <w:lang w:val="en-GB"/>
        </w:rPr>
        <w:t>Office</w:t>
      </w:r>
      <w:r w:rsidR="00A511C6">
        <w:rPr>
          <w:lang w:val="en-GB"/>
        </w:rPr>
        <w:t xml:space="preserve"> but are referred to here as departments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58" w:rsidRDefault="00F96C58" w:rsidP="00037929">
    <w:pPr>
      <w:pStyle w:val="NoSpacing"/>
    </w:pPr>
    <w:r>
      <w:rPr>
        <w:noProof/>
        <w:lang w:val="en-GB" w:eastAsia="en-GB"/>
      </w:rPr>
      <mc:AlternateContent>
        <mc:Choice Requires="wps">
          <w:drawing>
            <wp:anchor distT="0" distB="0" distL="114300" distR="114300" simplePos="0" relativeHeight="251661312" behindDoc="0" locked="0" layoutInCell="1" allowOverlap="1" wp14:anchorId="0EC6F3B9" wp14:editId="34756BDC">
              <wp:simplePos x="0" y="0"/>
              <wp:positionH relativeFrom="page">
                <wp:posOffset>360045</wp:posOffset>
              </wp:positionH>
              <wp:positionV relativeFrom="page">
                <wp:posOffset>360045</wp:posOffset>
              </wp:positionV>
              <wp:extent cx="2790000" cy="43560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790000" cy="43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96C58" w:rsidRPr="0084319C" w:rsidRDefault="00F96C58" w:rsidP="00037929">
                          <w:pPr>
                            <w:pStyle w:val="NoSpacing"/>
                            <w:rPr>
                              <w:b/>
                            </w:rPr>
                          </w:pPr>
                          <w:r w:rsidRPr="0084319C">
                            <w:rPr>
                              <w:b/>
                            </w:rPr>
                            <w:t>UCL SAFETY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F3B9" id="_x0000_t202" coordsize="21600,21600" o:spt="202" path="m,l,21600r21600,l21600,xe">
              <v:stroke joinstyle="miter"/>
              <v:path gradientshapeok="t" o:connecttype="rect"/>
            </v:shapetype>
            <v:shape id="Text Box 3" o:spid="_x0000_s1026" type="#_x0000_t202" style="position:absolute;margin-left:28.35pt;margin-top:28.35pt;width:219.7pt;height:3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" filled="f" stroked="f">
              <v:textbox>
                <w:txbxContent>
                  <w:p w:rsidR="00F96C58" w:rsidRPr="0084319C" w:rsidRDefault="00F96C58" w:rsidP="00037929">
                    <w:pPr>
                      <w:pStyle w:val="NoSpacing"/>
                      <w:rPr>
                        <w:b/>
                      </w:rPr>
                    </w:pPr>
                    <w:r w:rsidRPr="0084319C">
                      <w:rPr>
                        <w:b/>
                      </w:rPr>
                      <w:t>UCL SAFETY SERVICES</w:t>
                    </w:r>
                  </w:p>
                </w:txbxContent>
              </v:textbox>
              <w10:wrap anchorx="page" anchory="page"/>
            </v:shape>
          </w:pict>
        </mc:Fallback>
      </mc:AlternateContent>
    </w:r>
    <w:r>
      <w:rPr>
        <w:noProof/>
        <w:lang w:val="en-GB" w:eastAsia="en-GB"/>
      </w:rPr>
      <w:drawing>
        <wp:anchor distT="0" distB="0" distL="114300" distR="114300" simplePos="0" relativeHeight="251658239" behindDoc="1" locked="0" layoutInCell="1" allowOverlap="1" wp14:anchorId="762D36A4" wp14:editId="158D10C6">
          <wp:simplePos x="0" y="0"/>
          <wp:positionH relativeFrom="page">
            <wp:align>left</wp:align>
          </wp:positionH>
          <wp:positionV relativeFrom="paragraph">
            <wp:posOffset>-448310</wp:posOffset>
          </wp:positionV>
          <wp:extent cx="7556500" cy="1445895"/>
          <wp:effectExtent l="0" t="0" r="6350" b="1905"/>
          <wp:wrapSquare wrapText="bothSides"/>
          <wp:docPr id="1" name="Picture 1" descr="Macintosh HD:Users:janineshalan:Dropbox:Logo:UCL-BANNERS:a4 _coated_eps_reformatted:a4_portrait_eps_coated:LightBlue55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LightBlue55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C58" w:rsidRDefault="00F96C58" w:rsidP="0003792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94F"/>
    <w:multiLevelType w:val="hybridMultilevel"/>
    <w:tmpl w:val="D8163BE4"/>
    <w:lvl w:ilvl="0" w:tplc="D910F0A0">
      <w:numFmt w:val="bullet"/>
      <w:lvlText w:val=""/>
      <w:lvlJc w:val="left"/>
      <w:pPr>
        <w:ind w:left="1080" w:hanging="720"/>
      </w:pPr>
      <w:rPr>
        <w:rFonts w:ascii="Symbol" w:eastAsiaTheme="minorEastAsia" w:hAnsi="Symbol" w:cstheme="minorBidi" w:hint="default"/>
      </w:rPr>
    </w:lvl>
    <w:lvl w:ilvl="1" w:tplc="D910F0A0">
      <w:numFmt w:val="bullet"/>
      <w:lvlText w:val=""/>
      <w:lvlJc w:val="left"/>
      <w:pPr>
        <w:ind w:left="1800" w:hanging="720"/>
      </w:pPr>
      <w:rPr>
        <w:rFonts w:ascii="Symbol" w:eastAsiaTheme="minorEastAsia"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E1BF5"/>
    <w:multiLevelType w:val="hybridMultilevel"/>
    <w:tmpl w:val="5C323D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F20BFA"/>
    <w:multiLevelType w:val="hybridMultilevel"/>
    <w:tmpl w:val="150A8B7A"/>
    <w:lvl w:ilvl="0" w:tplc="7CC2B2D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029A1"/>
    <w:multiLevelType w:val="hybridMultilevel"/>
    <w:tmpl w:val="5E2078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8C3953"/>
    <w:multiLevelType w:val="hybridMultilevel"/>
    <w:tmpl w:val="CDE8BC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7970D3"/>
    <w:multiLevelType w:val="hybridMultilevel"/>
    <w:tmpl w:val="18606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A0B24"/>
    <w:multiLevelType w:val="hybridMultilevel"/>
    <w:tmpl w:val="A6ACB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CA0D1A"/>
    <w:multiLevelType w:val="hybridMultilevel"/>
    <w:tmpl w:val="9CC4A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D659A"/>
    <w:multiLevelType w:val="hybridMultilevel"/>
    <w:tmpl w:val="0CE4E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A3F35"/>
    <w:multiLevelType w:val="hybridMultilevel"/>
    <w:tmpl w:val="DFB0F7E6"/>
    <w:lvl w:ilvl="0" w:tplc="A22CEA08">
      <w:start w:val="1"/>
      <w:numFmt w:val="decimal"/>
      <w:lvlText w:val="%1."/>
      <w:lvlJc w:val="left"/>
      <w:pPr>
        <w:ind w:left="1074" w:hanging="360"/>
      </w:pPr>
      <w:rPr>
        <w:rFonts w:hint="default"/>
        <w:b/>
        <w:color w:val="0000FF" w:themeColor="hyperlink"/>
        <w:u w:val="single"/>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 w15:restartNumberingAfterBreak="0">
    <w:nsid w:val="30945450"/>
    <w:multiLevelType w:val="hybridMultilevel"/>
    <w:tmpl w:val="714C1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F305F2"/>
    <w:multiLevelType w:val="hybridMultilevel"/>
    <w:tmpl w:val="D2BC2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A918DD"/>
    <w:multiLevelType w:val="hybridMultilevel"/>
    <w:tmpl w:val="EDE40B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5B67E8"/>
    <w:multiLevelType w:val="hybridMultilevel"/>
    <w:tmpl w:val="E1C27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8F7277"/>
    <w:multiLevelType w:val="hybridMultilevel"/>
    <w:tmpl w:val="017C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17C4B"/>
    <w:multiLevelType w:val="hybridMultilevel"/>
    <w:tmpl w:val="5A18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E646C"/>
    <w:multiLevelType w:val="hybridMultilevel"/>
    <w:tmpl w:val="B96AB458"/>
    <w:lvl w:ilvl="0" w:tplc="D910F0A0">
      <w:numFmt w:val="bullet"/>
      <w:lvlText w:val=""/>
      <w:lvlJc w:val="left"/>
      <w:pPr>
        <w:ind w:left="720" w:hanging="72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E747B4"/>
    <w:multiLevelType w:val="hybridMultilevel"/>
    <w:tmpl w:val="25BE41BA"/>
    <w:lvl w:ilvl="0" w:tplc="D910F0A0">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49CE"/>
    <w:multiLevelType w:val="hybridMultilevel"/>
    <w:tmpl w:val="780CE3F4"/>
    <w:lvl w:ilvl="0" w:tplc="D910F0A0">
      <w:numFmt w:val="bullet"/>
      <w:lvlText w:val=""/>
      <w:lvlJc w:val="left"/>
      <w:pPr>
        <w:ind w:left="1080" w:hanging="720"/>
      </w:pPr>
      <w:rPr>
        <w:rFonts w:ascii="Symbol" w:eastAsiaTheme="minorEastAsia" w:hAnsi="Symbol" w:cstheme="minorBidi" w:hint="default"/>
      </w:rPr>
    </w:lvl>
    <w:lvl w:ilvl="1" w:tplc="8E06F4EE">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D6EEB"/>
    <w:multiLevelType w:val="multilevel"/>
    <w:tmpl w:val="62AE2D7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A66CE3"/>
    <w:multiLevelType w:val="hybridMultilevel"/>
    <w:tmpl w:val="1332A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E777B3"/>
    <w:multiLevelType w:val="hybridMultilevel"/>
    <w:tmpl w:val="9B92A80C"/>
    <w:lvl w:ilvl="0" w:tplc="D910F0A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26B92"/>
    <w:multiLevelType w:val="hybridMultilevel"/>
    <w:tmpl w:val="F7E838A4"/>
    <w:lvl w:ilvl="0" w:tplc="7CC2B2D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859E7"/>
    <w:multiLevelType w:val="hybridMultilevel"/>
    <w:tmpl w:val="65FE2D32"/>
    <w:lvl w:ilvl="0" w:tplc="D910F0A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F0D1D"/>
    <w:multiLevelType w:val="hybridMultilevel"/>
    <w:tmpl w:val="BBD69D0A"/>
    <w:lvl w:ilvl="0" w:tplc="D910F0A0">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92D40"/>
    <w:multiLevelType w:val="hybridMultilevel"/>
    <w:tmpl w:val="446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B06E9"/>
    <w:multiLevelType w:val="hybridMultilevel"/>
    <w:tmpl w:val="A0D810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2D2C55"/>
    <w:multiLevelType w:val="hybridMultilevel"/>
    <w:tmpl w:val="C8F6F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BC3A5F"/>
    <w:multiLevelType w:val="hybridMultilevel"/>
    <w:tmpl w:val="06D2FE50"/>
    <w:lvl w:ilvl="0" w:tplc="D910F0A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AE7AA3"/>
    <w:multiLevelType w:val="hybridMultilevel"/>
    <w:tmpl w:val="19DEA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AF1D62"/>
    <w:multiLevelType w:val="hybridMultilevel"/>
    <w:tmpl w:val="D4507F00"/>
    <w:lvl w:ilvl="0" w:tplc="D910F0A0">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F5711"/>
    <w:multiLevelType w:val="hybridMultilevel"/>
    <w:tmpl w:val="FCF02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59422B2"/>
    <w:multiLevelType w:val="hybridMultilevel"/>
    <w:tmpl w:val="6840F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5833DB"/>
    <w:multiLevelType w:val="hybridMultilevel"/>
    <w:tmpl w:val="2ACAE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EC6170"/>
    <w:multiLevelType w:val="hybridMultilevel"/>
    <w:tmpl w:val="C1BCEA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D43CB7"/>
    <w:multiLevelType w:val="hybridMultilevel"/>
    <w:tmpl w:val="145669AE"/>
    <w:lvl w:ilvl="0" w:tplc="D910F0A0">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C0622"/>
    <w:multiLevelType w:val="hybridMultilevel"/>
    <w:tmpl w:val="12B610DE"/>
    <w:lvl w:ilvl="0" w:tplc="D910F0A0">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1537EF"/>
    <w:multiLevelType w:val="hybridMultilevel"/>
    <w:tmpl w:val="1B667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F862522"/>
    <w:multiLevelType w:val="hybridMultilevel"/>
    <w:tmpl w:val="75F23EB2"/>
    <w:lvl w:ilvl="0" w:tplc="D910F0A0">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CC4A4E"/>
    <w:multiLevelType w:val="hybridMultilevel"/>
    <w:tmpl w:val="AA004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2ED32F7"/>
    <w:multiLevelType w:val="hybridMultilevel"/>
    <w:tmpl w:val="EC92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1232FB"/>
    <w:multiLevelType w:val="hybridMultilevel"/>
    <w:tmpl w:val="07966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374808"/>
    <w:multiLevelType w:val="hybridMultilevel"/>
    <w:tmpl w:val="3DB80ABE"/>
    <w:lvl w:ilvl="0" w:tplc="D910F0A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150A82"/>
    <w:multiLevelType w:val="hybridMultilevel"/>
    <w:tmpl w:val="303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E9215D"/>
    <w:multiLevelType w:val="hybridMultilevel"/>
    <w:tmpl w:val="05F26FBE"/>
    <w:lvl w:ilvl="0" w:tplc="7CC2B2D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43"/>
  </w:num>
  <w:num w:numId="4">
    <w:abstractNumId w:val="41"/>
  </w:num>
  <w:num w:numId="5">
    <w:abstractNumId w:val="14"/>
  </w:num>
  <w:num w:numId="6">
    <w:abstractNumId w:val="24"/>
  </w:num>
  <w:num w:numId="7">
    <w:abstractNumId w:val="16"/>
  </w:num>
  <w:num w:numId="8">
    <w:abstractNumId w:val="30"/>
  </w:num>
  <w:num w:numId="9">
    <w:abstractNumId w:val="26"/>
  </w:num>
  <w:num w:numId="10">
    <w:abstractNumId w:val="7"/>
  </w:num>
  <w:num w:numId="11">
    <w:abstractNumId w:val="5"/>
  </w:num>
  <w:num w:numId="12">
    <w:abstractNumId w:val="29"/>
  </w:num>
  <w:num w:numId="13">
    <w:abstractNumId w:val="18"/>
  </w:num>
  <w:num w:numId="14">
    <w:abstractNumId w:val="17"/>
  </w:num>
  <w:num w:numId="15">
    <w:abstractNumId w:val="35"/>
  </w:num>
  <w:num w:numId="16">
    <w:abstractNumId w:val="2"/>
  </w:num>
  <w:num w:numId="17">
    <w:abstractNumId w:val="22"/>
  </w:num>
  <w:num w:numId="18">
    <w:abstractNumId w:val="38"/>
  </w:num>
  <w:num w:numId="19">
    <w:abstractNumId w:val="3"/>
  </w:num>
  <w:num w:numId="20">
    <w:abstractNumId w:val="6"/>
  </w:num>
  <w:num w:numId="21">
    <w:abstractNumId w:val="23"/>
  </w:num>
  <w:num w:numId="22">
    <w:abstractNumId w:val="44"/>
  </w:num>
  <w:num w:numId="23">
    <w:abstractNumId w:val="36"/>
  </w:num>
  <w:num w:numId="24">
    <w:abstractNumId w:val="8"/>
  </w:num>
  <w:num w:numId="25">
    <w:abstractNumId w:val="10"/>
  </w:num>
  <w:num w:numId="26">
    <w:abstractNumId w:val="15"/>
  </w:num>
  <w:num w:numId="27">
    <w:abstractNumId w:val="12"/>
  </w:num>
  <w:num w:numId="28">
    <w:abstractNumId w:val="33"/>
  </w:num>
  <w:num w:numId="29">
    <w:abstractNumId w:val="27"/>
  </w:num>
  <w:num w:numId="30">
    <w:abstractNumId w:val="19"/>
  </w:num>
  <w:num w:numId="31">
    <w:abstractNumId w:val="42"/>
  </w:num>
  <w:num w:numId="32">
    <w:abstractNumId w:val="28"/>
  </w:num>
  <w:num w:numId="33">
    <w:abstractNumId w:val="0"/>
  </w:num>
  <w:num w:numId="34">
    <w:abstractNumId w:val="20"/>
  </w:num>
  <w:num w:numId="35">
    <w:abstractNumId w:val="13"/>
  </w:num>
  <w:num w:numId="36">
    <w:abstractNumId w:val="31"/>
  </w:num>
  <w:num w:numId="37">
    <w:abstractNumId w:val="34"/>
  </w:num>
  <w:num w:numId="38">
    <w:abstractNumId w:val="21"/>
  </w:num>
  <w:num w:numId="39">
    <w:abstractNumId w:val="4"/>
  </w:num>
  <w:num w:numId="40">
    <w:abstractNumId w:val="1"/>
  </w:num>
  <w:num w:numId="41">
    <w:abstractNumId w:val="32"/>
  </w:num>
  <w:num w:numId="42">
    <w:abstractNumId w:val="9"/>
  </w:num>
  <w:num w:numId="43">
    <w:abstractNumId w:val="40"/>
  </w:num>
  <w:num w:numId="44">
    <w:abstractNumId w:val="2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82"/>
    <w:rsid w:val="000224F5"/>
    <w:rsid w:val="000310AD"/>
    <w:rsid w:val="00036543"/>
    <w:rsid w:val="00037929"/>
    <w:rsid w:val="000716EB"/>
    <w:rsid w:val="000834DC"/>
    <w:rsid w:val="000B3F34"/>
    <w:rsid w:val="000C2212"/>
    <w:rsid w:val="000F4DBE"/>
    <w:rsid w:val="00103E10"/>
    <w:rsid w:val="00120FB4"/>
    <w:rsid w:val="001307E9"/>
    <w:rsid w:val="00143DF4"/>
    <w:rsid w:val="00151712"/>
    <w:rsid w:val="00163FF3"/>
    <w:rsid w:val="00171912"/>
    <w:rsid w:val="001731B7"/>
    <w:rsid w:val="00175552"/>
    <w:rsid w:val="00184B7C"/>
    <w:rsid w:val="00192E80"/>
    <w:rsid w:val="00196F1C"/>
    <w:rsid w:val="001E1F20"/>
    <w:rsid w:val="001E545D"/>
    <w:rsid w:val="001F77BF"/>
    <w:rsid w:val="00243C59"/>
    <w:rsid w:val="002539BD"/>
    <w:rsid w:val="002817E7"/>
    <w:rsid w:val="002907B7"/>
    <w:rsid w:val="00296485"/>
    <w:rsid w:val="002A54D5"/>
    <w:rsid w:val="002A5C2B"/>
    <w:rsid w:val="002A7B98"/>
    <w:rsid w:val="002D1961"/>
    <w:rsid w:val="002D312D"/>
    <w:rsid w:val="002D6010"/>
    <w:rsid w:val="002E0469"/>
    <w:rsid w:val="002E3A08"/>
    <w:rsid w:val="00306A4D"/>
    <w:rsid w:val="00307687"/>
    <w:rsid w:val="00326D92"/>
    <w:rsid w:val="003333DB"/>
    <w:rsid w:val="00355E81"/>
    <w:rsid w:val="00371A24"/>
    <w:rsid w:val="0037696D"/>
    <w:rsid w:val="00387E85"/>
    <w:rsid w:val="003A3874"/>
    <w:rsid w:val="003C5F3F"/>
    <w:rsid w:val="003D3EC4"/>
    <w:rsid w:val="003D4B19"/>
    <w:rsid w:val="0041097D"/>
    <w:rsid w:val="00411396"/>
    <w:rsid w:val="004272E0"/>
    <w:rsid w:val="00435C17"/>
    <w:rsid w:val="00451F49"/>
    <w:rsid w:val="0045616B"/>
    <w:rsid w:val="00471710"/>
    <w:rsid w:val="004A2321"/>
    <w:rsid w:val="004E6596"/>
    <w:rsid w:val="0050042D"/>
    <w:rsid w:val="0050609D"/>
    <w:rsid w:val="005167E4"/>
    <w:rsid w:val="00516C78"/>
    <w:rsid w:val="00521B85"/>
    <w:rsid w:val="00527745"/>
    <w:rsid w:val="00533BFA"/>
    <w:rsid w:val="00545A88"/>
    <w:rsid w:val="005569E7"/>
    <w:rsid w:val="005A22CE"/>
    <w:rsid w:val="005A2DB7"/>
    <w:rsid w:val="005C4F66"/>
    <w:rsid w:val="005D37C6"/>
    <w:rsid w:val="005E2C21"/>
    <w:rsid w:val="005E51DC"/>
    <w:rsid w:val="00623E3C"/>
    <w:rsid w:val="006271D0"/>
    <w:rsid w:val="006375B3"/>
    <w:rsid w:val="00645467"/>
    <w:rsid w:val="006924EC"/>
    <w:rsid w:val="00694C31"/>
    <w:rsid w:val="006C52CB"/>
    <w:rsid w:val="006D4E73"/>
    <w:rsid w:val="0070501C"/>
    <w:rsid w:val="007058CE"/>
    <w:rsid w:val="00733B1F"/>
    <w:rsid w:val="00750CC7"/>
    <w:rsid w:val="00765D0D"/>
    <w:rsid w:val="00770317"/>
    <w:rsid w:val="00793C27"/>
    <w:rsid w:val="007B2C1A"/>
    <w:rsid w:val="007B4792"/>
    <w:rsid w:val="007B5651"/>
    <w:rsid w:val="007B70E9"/>
    <w:rsid w:val="007C4BE6"/>
    <w:rsid w:val="007D4D98"/>
    <w:rsid w:val="007D7DC1"/>
    <w:rsid w:val="0081192E"/>
    <w:rsid w:val="00814010"/>
    <w:rsid w:val="00814E6C"/>
    <w:rsid w:val="0082503D"/>
    <w:rsid w:val="0084319C"/>
    <w:rsid w:val="00854A1D"/>
    <w:rsid w:val="008601D2"/>
    <w:rsid w:val="00890016"/>
    <w:rsid w:val="008939C6"/>
    <w:rsid w:val="008A7E73"/>
    <w:rsid w:val="008C3F3E"/>
    <w:rsid w:val="00901E82"/>
    <w:rsid w:val="00914C2B"/>
    <w:rsid w:val="009150B7"/>
    <w:rsid w:val="009201E5"/>
    <w:rsid w:val="00944A81"/>
    <w:rsid w:val="009523FC"/>
    <w:rsid w:val="00984150"/>
    <w:rsid w:val="00987092"/>
    <w:rsid w:val="009931E3"/>
    <w:rsid w:val="009D084E"/>
    <w:rsid w:val="009D3FE9"/>
    <w:rsid w:val="009F1348"/>
    <w:rsid w:val="00A0651C"/>
    <w:rsid w:val="00A511C6"/>
    <w:rsid w:val="00A63F8F"/>
    <w:rsid w:val="00A766F5"/>
    <w:rsid w:val="00A835E5"/>
    <w:rsid w:val="00AB1672"/>
    <w:rsid w:val="00AE6EBA"/>
    <w:rsid w:val="00B03BF0"/>
    <w:rsid w:val="00B07ADB"/>
    <w:rsid w:val="00B14050"/>
    <w:rsid w:val="00B21E26"/>
    <w:rsid w:val="00B37466"/>
    <w:rsid w:val="00B80BA8"/>
    <w:rsid w:val="00B85A6D"/>
    <w:rsid w:val="00B860EB"/>
    <w:rsid w:val="00BB12BF"/>
    <w:rsid w:val="00BB1E0D"/>
    <w:rsid w:val="00BB38ED"/>
    <w:rsid w:val="00BB46AB"/>
    <w:rsid w:val="00BC6151"/>
    <w:rsid w:val="00BE6618"/>
    <w:rsid w:val="00BF44C6"/>
    <w:rsid w:val="00C11A50"/>
    <w:rsid w:val="00C152FC"/>
    <w:rsid w:val="00C23B9C"/>
    <w:rsid w:val="00C65429"/>
    <w:rsid w:val="00CB315F"/>
    <w:rsid w:val="00CB57C4"/>
    <w:rsid w:val="00CC6CEA"/>
    <w:rsid w:val="00CD0A5D"/>
    <w:rsid w:val="00D076D4"/>
    <w:rsid w:val="00D542CD"/>
    <w:rsid w:val="00DB35E9"/>
    <w:rsid w:val="00DC3B51"/>
    <w:rsid w:val="00DE190B"/>
    <w:rsid w:val="00E233D7"/>
    <w:rsid w:val="00E41326"/>
    <w:rsid w:val="00E46C63"/>
    <w:rsid w:val="00E57D4B"/>
    <w:rsid w:val="00E6256E"/>
    <w:rsid w:val="00E733EB"/>
    <w:rsid w:val="00EA3A98"/>
    <w:rsid w:val="00EB20F7"/>
    <w:rsid w:val="00EB6EF4"/>
    <w:rsid w:val="00ED1CC6"/>
    <w:rsid w:val="00ED5C0A"/>
    <w:rsid w:val="00EF0267"/>
    <w:rsid w:val="00F00DC8"/>
    <w:rsid w:val="00F455EA"/>
    <w:rsid w:val="00F535A6"/>
    <w:rsid w:val="00F63771"/>
    <w:rsid w:val="00F649BE"/>
    <w:rsid w:val="00F7628A"/>
    <w:rsid w:val="00F77ECB"/>
    <w:rsid w:val="00F91741"/>
    <w:rsid w:val="00F96C58"/>
    <w:rsid w:val="00FA4932"/>
    <w:rsid w:val="00FA5B84"/>
    <w:rsid w:val="00FC0BCF"/>
    <w:rsid w:val="00FC5568"/>
    <w:rsid w:val="00FD2C56"/>
    <w:rsid w:val="00FE040A"/>
    <w:rsid w:val="00FE0A53"/>
    <w:rsid w:val="00FE6AC0"/>
    <w:rsid w:val="00FF5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82B5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B85"/>
    <w:pPr>
      <w:spacing w:before="160" w:after="160"/>
    </w:pPr>
    <w:rPr>
      <w:rFonts w:ascii="Arial" w:hAnsi="Arial"/>
      <w:sz w:val="22"/>
    </w:rPr>
  </w:style>
  <w:style w:type="paragraph" w:styleId="Heading1">
    <w:name w:val="heading 1"/>
    <w:basedOn w:val="Normal"/>
    <w:next w:val="Normal"/>
    <w:link w:val="Heading1Char"/>
    <w:uiPriority w:val="9"/>
    <w:qFormat/>
    <w:rsid w:val="00B37466"/>
    <w:pPr>
      <w:keepNext/>
      <w:keepLines/>
      <w:spacing w:before="240"/>
      <w:outlineLvl w:val="0"/>
    </w:pPr>
    <w:rPr>
      <w:rFonts w:eastAsiaTheme="majorEastAsia" w:cstheme="majorBidi"/>
      <w:b/>
      <w:color w:val="EA7600"/>
      <w:sz w:val="28"/>
      <w:szCs w:val="32"/>
    </w:rPr>
  </w:style>
  <w:style w:type="paragraph" w:styleId="Heading2">
    <w:name w:val="heading 2"/>
    <w:basedOn w:val="Normal"/>
    <w:next w:val="Normal"/>
    <w:link w:val="Heading2Char"/>
    <w:uiPriority w:val="9"/>
    <w:unhideWhenUsed/>
    <w:qFormat/>
    <w:rsid w:val="00037929"/>
    <w:pPr>
      <w:keepNext/>
      <w:keepLines/>
      <w:spacing w:before="280" w:after="28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37466"/>
    <w:pPr>
      <w:keepNext/>
      <w:keepLines/>
      <w:outlineLvl w:val="2"/>
    </w:pPr>
    <w:rPr>
      <w:rFonts w:ascii="Garamond" w:eastAsiaTheme="majorEastAsia" w:hAnsi="Garamond"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FC"/>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2FC"/>
    <w:rPr>
      <w:rFonts w:ascii="Lucida Grande" w:hAnsi="Lucida Grande"/>
      <w:sz w:val="18"/>
      <w:szCs w:val="18"/>
    </w:rPr>
  </w:style>
  <w:style w:type="paragraph" w:styleId="Header">
    <w:name w:val="header"/>
    <w:basedOn w:val="Normal"/>
    <w:link w:val="HeaderChar"/>
    <w:uiPriority w:val="99"/>
    <w:unhideWhenUsed/>
    <w:rsid w:val="00036543"/>
    <w:pPr>
      <w:tabs>
        <w:tab w:val="center" w:pos="4513"/>
        <w:tab w:val="right" w:pos="9026"/>
      </w:tabs>
    </w:pPr>
  </w:style>
  <w:style w:type="character" w:customStyle="1" w:styleId="HeaderChar">
    <w:name w:val="Header Char"/>
    <w:basedOn w:val="DefaultParagraphFont"/>
    <w:link w:val="Header"/>
    <w:uiPriority w:val="99"/>
    <w:rsid w:val="00036543"/>
  </w:style>
  <w:style w:type="paragraph" w:styleId="Footer">
    <w:name w:val="footer"/>
    <w:basedOn w:val="Normal"/>
    <w:link w:val="FooterChar"/>
    <w:unhideWhenUsed/>
    <w:rsid w:val="00036543"/>
    <w:pPr>
      <w:tabs>
        <w:tab w:val="center" w:pos="4513"/>
        <w:tab w:val="right" w:pos="9026"/>
      </w:tabs>
    </w:pPr>
  </w:style>
  <w:style w:type="character" w:customStyle="1" w:styleId="FooterChar">
    <w:name w:val="Footer Char"/>
    <w:basedOn w:val="DefaultParagraphFont"/>
    <w:link w:val="Footer"/>
    <w:rsid w:val="00036543"/>
  </w:style>
  <w:style w:type="paragraph" w:styleId="ListParagraph">
    <w:name w:val="List Paragraph"/>
    <w:basedOn w:val="Normal"/>
    <w:uiPriority w:val="34"/>
    <w:qFormat/>
    <w:rsid w:val="007D7DC1"/>
    <w:pPr>
      <w:ind w:left="720"/>
      <w:contextualSpacing/>
    </w:pPr>
  </w:style>
  <w:style w:type="table" w:styleId="TableGrid">
    <w:name w:val="Table Grid"/>
    <w:basedOn w:val="TableNormal"/>
    <w:uiPriority w:val="59"/>
    <w:rsid w:val="0033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7466"/>
    <w:rPr>
      <w:rFonts w:ascii="Arial" w:eastAsiaTheme="majorEastAsia" w:hAnsi="Arial" w:cstheme="majorBidi"/>
      <w:b/>
      <w:color w:val="EA7600"/>
      <w:sz w:val="28"/>
      <w:szCs w:val="32"/>
    </w:rPr>
  </w:style>
  <w:style w:type="character" w:customStyle="1" w:styleId="Heading2Char">
    <w:name w:val="Heading 2 Char"/>
    <w:basedOn w:val="DefaultParagraphFont"/>
    <w:link w:val="Heading2"/>
    <w:uiPriority w:val="9"/>
    <w:rsid w:val="00037929"/>
    <w:rPr>
      <w:rFonts w:ascii="Arial" w:eastAsiaTheme="majorEastAsia" w:hAnsi="Arial" w:cstheme="majorBidi"/>
      <w:b/>
      <w:szCs w:val="26"/>
    </w:rPr>
  </w:style>
  <w:style w:type="character" w:customStyle="1" w:styleId="Heading3Char">
    <w:name w:val="Heading 3 Char"/>
    <w:basedOn w:val="DefaultParagraphFont"/>
    <w:link w:val="Heading3"/>
    <w:uiPriority w:val="9"/>
    <w:rsid w:val="00B37466"/>
    <w:rPr>
      <w:rFonts w:ascii="Garamond" w:eastAsiaTheme="majorEastAsia" w:hAnsi="Garamond" w:cstheme="majorBidi"/>
    </w:rPr>
  </w:style>
  <w:style w:type="paragraph" w:styleId="NoSpacing">
    <w:name w:val="No Spacing"/>
    <w:uiPriority w:val="1"/>
    <w:qFormat/>
    <w:rsid w:val="0084319C"/>
    <w:rPr>
      <w:rFonts w:ascii="Arial" w:hAnsi="Arial"/>
      <w:sz w:val="22"/>
    </w:rPr>
  </w:style>
  <w:style w:type="character" w:styleId="Hyperlink">
    <w:name w:val="Hyperlink"/>
    <w:basedOn w:val="DefaultParagraphFont"/>
    <w:uiPriority w:val="99"/>
    <w:unhideWhenUsed/>
    <w:rsid w:val="00D542CD"/>
    <w:rPr>
      <w:color w:val="0000FF" w:themeColor="hyperlink"/>
      <w:u w:val="single"/>
    </w:rPr>
  </w:style>
  <w:style w:type="character" w:styleId="FollowedHyperlink">
    <w:name w:val="FollowedHyperlink"/>
    <w:basedOn w:val="DefaultParagraphFont"/>
    <w:uiPriority w:val="99"/>
    <w:semiHidden/>
    <w:unhideWhenUsed/>
    <w:rsid w:val="00F63771"/>
    <w:rPr>
      <w:color w:val="800080" w:themeColor="followedHyperlink"/>
      <w:u w:val="single"/>
    </w:rPr>
  </w:style>
  <w:style w:type="character" w:styleId="CommentReference">
    <w:name w:val="annotation reference"/>
    <w:basedOn w:val="DefaultParagraphFont"/>
    <w:uiPriority w:val="99"/>
    <w:semiHidden/>
    <w:unhideWhenUsed/>
    <w:rsid w:val="005E2C21"/>
    <w:rPr>
      <w:sz w:val="16"/>
      <w:szCs w:val="16"/>
    </w:rPr>
  </w:style>
  <w:style w:type="paragraph" w:styleId="CommentText">
    <w:name w:val="annotation text"/>
    <w:basedOn w:val="Normal"/>
    <w:link w:val="CommentTextChar"/>
    <w:uiPriority w:val="99"/>
    <w:semiHidden/>
    <w:unhideWhenUsed/>
    <w:rsid w:val="005E2C21"/>
    <w:rPr>
      <w:sz w:val="20"/>
      <w:szCs w:val="20"/>
    </w:rPr>
  </w:style>
  <w:style w:type="character" w:customStyle="1" w:styleId="CommentTextChar">
    <w:name w:val="Comment Text Char"/>
    <w:basedOn w:val="DefaultParagraphFont"/>
    <w:link w:val="CommentText"/>
    <w:uiPriority w:val="99"/>
    <w:semiHidden/>
    <w:rsid w:val="005E2C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2C21"/>
    <w:rPr>
      <w:b/>
      <w:bCs/>
    </w:rPr>
  </w:style>
  <w:style w:type="character" w:customStyle="1" w:styleId="CommentSubjectChar">
    <w:name w:val="Comment Subject Char"/>
    <w:basedOn w:val="CommentTextChar"/>
    <w:link w:val="CommentSubject"/>
    <w:uiPriority w:val="99"/>
    <w:semiHidden/>
    <w:rsid w:val="005E2C21"/>
    <w:rPr>
      <w:rFonts w:ascii="Arial" w:hAnsi="Arial"/>
      <w:b/>
      <w:bCs/>
      <w:sz w:val="20"/>
      <w:szCs w:val="20"/>
    </w:rPr>
  </w:style>
  <w:style w:type="paragraph" w:styleId="FootnoteText">
    <w:name w:val="footnote text"/>
    <w:basedOn w:val="Normal"/>
    <w:link w:val="FootnoteTextChar"/>
    <w:uiPriority w:val="99"/>
    <w:semiHidden/>
    <w:unhideWhenUsed/>
    <w:rsid w:val="00A766F5"/>
    <w:pPr>
      <w:spacing w:before="0" w:after="0"/>
    </w:pPr>
    <w:rPr>
      <w:sz w:val="20"/>
      <w:szCs w:val="20"/>
    </w:rPr>
  </w:style>
  <w:style w:type="character" w:customStyle="1" w:styleId="FootnoteTextChar">
    <w:name w:val="Footnote Text Char"/>
    <w:basedOn w:val="DefaultParagraphFont"/>
    <w:link w:val="FootnoteText"/>
    <w:uiPriority w:val="99"/>
    <w:semiHidden/>
    <w:rsid w:val="00A766F5"/>
    <w:rPr>
      <w:rFonts w:ascii="Arial" w:hAnsi="Arial"/>
      <w:sz w:val="20"/>
      <w:szCs w:val="20"/>
    </w:rPr>
  </w:style>
  <w:style w:type="character" w:styleId="FootnoteReference">
    <w:name w:val="footnote reference"/>
    <w:basedOn w:val="DefaultParagraphFont"/>
    <w:uiPriority w:val="99"/>
    <w:semiHidden/>
    <w:unhideWhenUsed/>
    <w:rsid w:val="00A766F5"/>
    <w:rPr>
      <w:vertAlign w:val="superscript"/>
    </w:rPr>
  </w:style>
  <w:style w:type="table" w:customStyle="1" w:styleId="TableGrid1">
    <w:name w:val="Table Grid1"/>
    <w:basedOn w:val="TableNormal"/>
    <w:next w:val="TableGrid"/>
    <w:uiPriority w:val="59"/>
    <w:rsid w:val="00500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0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0276">
      <w:bodyDiv w:val="1"/>
      <w:marLeft w:val="0"/>
      <w:marRight w:val="0"/>
      <w:marTop w:val="0"/>
      <w:marBottom w:val="0"/>
      <w:divBdr>
        <w:top w:val="none" w:sz="0" w:space="0" w:color="auto"/>
        <w:left w:val="none" w:sz="0" w:space="0" w:color="auto"/>
        <w:bottom w:val="none" w:sz="0" w:space="0" w:color="auto"/>
        <w:right w:val="none" w:sz="0" w:space="0" w:color="auto"/>
      </w:divBdr>
    </w:div>
    <w:div w:id="1716352819">
      <w:bodyDiv w:val="1"/>
      <w:marLeft w:val="0"/>
      <w:marRight w:val="0"/>
      <w:marTop w:val="0"/>
      <w:marBottom w:val="0"/>
      <w:divBdr>
        <w:top w:val="none" w:sz="0" w:space="0" w:color="auto"/>
        <w:left w:val="none" w:sz="0" w:space="0" w:color="auto"/>
        <w:bottom w:val="none" w:sz="0" w:space="0" w:color="auto"/>
        <w:right w:val="none" w:sz="0" w:space="0" w:color="auto"/>
      </w:divBdr>
    </w:div>
    <w:div w:id="1993017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labs-and-research-facilities" TargetMode="External"/><Relationship Id="rId13" Type="http://schemas.openxmlformats.org/officeDocument/2006/relationships/hyperlink" Target="https://search2.ucl.ac.uk/s/redirect?collection=website-meta&amp;url=https%3A%2F%2Fwww.ucl.ac.uk%2Fsafety-services%2Fsites%2Fsafety-services%2Ffiles%2Ftn-077a.pdf&amp;index_url=https%3A%2F%2Fwww.ucl.ac.uk%2Fsafety-services%2Fsites%2Fsafety-services%2Ffiles%2Ftn-077a.pdf&amp;auth=X%2B9CH4XA9utMI9bHbFy67g&amp;profile=_website&amp;rank=1&amp;query=TN077a" TargetMode="External"/><Relationship Id="rId18" Type="http://schemas.openxmlformats.org/officeDocument/2006/relationships/hyperlink" Target="mailto:radreporting@ucl.ac.uk"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ucl.ac.uk/safety-services/a-z/shared-workplac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adreporting@ucl.ac.uk"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safety@ucl.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ucl.oshens.com/AIR2/Incbook/incbook_tab_begin.aspx?First=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cl.oshens.com/AIR2/Incbook/incbook_tab_begin.aspx?First=1" TargetMode="External"/><Relationship Id="rId4" Type="http://schemas.openxmlformats.org/officeDocument/2006/relationships/settings" Target="settings.xml"/><Relationship Id="rId9" Type="http://schemas.openxmlformats.org/officeDocument/2006/relationships/hyperlink" Target="https://www.ucl.ac.uk/coronavirus/" TargetMode="External"/><Relationship Id="rId14" Type="http://schemas.openxmlformats.org/officeDocument/2006/relationships/hyperlink" Target="https://www.ucl.ac.uk/safety-services/sites/safety-services/files/fa-box-checklist.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239B3019B484E8506F97C167B2EF6" ma:contentTypeVersion="9" ma:contentTypeDescription="Create a new document." ma:contentTypeScope="" ma:versionID="b276ec4f90f2849982eac362b405eda6">
  <xsd:schema xmlns:xsd="http://www.w3.org/2001/XMLSchema" xmlns:xs="http://www.w3.org/2001/XMLSchema" xmlns:p="http://schemas.microsoft.com/office/2006/metadata/properties" xmlns:ns2="b8fa45e8-66d1-4946-b254-fe9c7416cba8" targetNamespace="http://schemas.microsoft.com/office/2006/metadata/properties" ma:root="true" ma:fieldsID="44b24a3d7cbecb7534aa0e8e3ce49627" ns2:_="">
    <xsd:import namespace="b8fa45e8-66d1-4946-b254-fe9c7416c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a45e8-66d1-4946-b254-fe9c7416c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6C06A-53BF-435A-B55E-47FC81E51483}">
  <ds:schemaRefs>
    <ds:schemaRef ds:uri="http://schemas.openxmlformats.org/officeDocument/2006/bibliography"/>
  </ds:schemaRefs>
</ds:datastoreItem>
</file>

<file path=customXml/itemProps2.xml><?xml version="1.0" encoding="utf-8"?>
<ds:datastoreItem xmlns:ds="http://schemas.openxmlformats.org/officeDocument/2006/customXml" ds:itemID="{C8FB5E8C-5701-47B3-8F50-E7A6A70D7B5A}"/>
</file>

<file path=customXml/itemProps3.xml><?xml version="1.0" encoding="utf-8"?>
<ds:datastoreItem xmlns:ds="http://schemas.openxmlformats.org/officeDocument/2006/customXml" ds:itemID="{A0C92733-8523-4C63-9B98-6BB361A34311}"/>
</file>

<file path=customXml/itemProps4.xml><?xml version="1.0" encoding="utf-8"?>
<ds:datastoreItem xmlns:ds="http://schemas.openxmlformats.org/officeDocument/2006/customXml" ds:itemID="{60244254-7785-4C46-9CC6-9E4A474A383A}"/>
</file>

<file path=docProps/app.xml><?xml version="1.0" encoding="utf-8"?>
<Properties xmlns="http://schemas.openxmlformats.org/officeDocument/2006/extended-properties" xmlns:vt="http://schemas.openxmlformats.org/officeDocument/2006/docPropsVTypes">
  <Template>Normal.dotm</Template>
  <TotalTime>2</TotalTime>
  <Pages>11</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Shalan</dc:creator>
  <cp:keywords/>
  <dc:description/>
  <cp:lastModifiedBy>Ramsay, Hayley</cp:lastModifiedBy>
  <cp:revision>3</cp:revision>
  <dcterms:created xsi:type="dcterms:W3CDTF">2020-07-16T14:21:00Z</dcterms:created>
  <dcterms:modified xsi:type="dcterms:W3CDTF">2020-07-16T14:23:00Z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0x010100D9A239B3019B484E8506F97C167B2EF6</vt:lpwstr>
  </property>
</Properties>
</file>