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6038" w14:textId="41514CBD" w:rsidR="006148C8" w:rsidRDefault="006148C8" w:rsidP="00B37466">
      <w:pPr>
        <w:pStyle w:val="Heading1"/>
        <w:rPr>
          <w:lang w:val="en-GB"/>
        </w:rPr>
      </w:pPr>
      <w:r w:rsidRPr="006148C8">
        <w:rPr>
          <w:lang w:val="en-GB"/>
        </w:rPr>
        <w:t>Genetic Modification Safety Committee (GMSC) Guidance</w:t>
      </w:r>
    </w:p>
    <w:p w14:paraId="6EE959A4" w14:textId="3E23E5EA" w:rsidR="00765D0D" w:rsidRPr="00B37466" w:rsidRDefault="006148C8" w:rsidP="006148C8">
      <w:pPr>
        <w:pStyle w:val="Heading2"/>
        <w:rPr>
          <w:rFonts w:asciiTheme="minorHAnsi" w:eastAsiaTheme="minorEastAsia" w:hAnsiTheme="minorHAnsi" w:cstheme="minorBidi"/>
          <w:szCs w:val="24"/>
        </w:rPr>
      </w:pPr>
      <w:r>
        <w:rPr>
          <w:lang w:val="en-GB"/>
        </w:rPr>
        <w:t>L</w:t>
      </w:r>
      <w:r w:rsidR="00221198">
        <w:rPr>
          <w:lang w:val="en-GB"/>
        </w:rPr>
        <w:t>abora</w:t>
      </w:r>
      <w:r w:rsidR="00853AFA">
        <w:rPr>
          <w:lang w:val="en-GB"/>
        </w:rPr>
        <w:t xml:space="preserve">tory work </w:t>
      </w:r>
      <w:r w:rsidR="00853AFA" w:rsidRPr="00EF0092">
        <w:rPr>
          <w:lang w:val="en-GB"/>
        </w:rPr>
        <w:t xml:space="preserve">with </w:t>
      </w:r>
      <w:r w:rsidR="00EF6CBB" w:rsidRPr="00EF0092">
        <w:rPr>
          <w:lang w:val="en-GB"/>
        </w:rPr>
        <w:t xml:space="preserve">COVID-19 samples and </w:t>
      </w:r>
      <w:r w:rsidR="00853AFA" w:rsidRPr="00EF0092">
        <w:rPr>
          <w:lang w:val="en-GB"/>
        </w:rPr>
        <w:t>SARS</w:t>
      </w:r>
      <w:r w:rsidR="00853AFA">
        <w:rPr>
          <w:lang w:val="en-GB"/>
        </w:rPr>
        <w:t>-CoV-2 virus</w:t>
      </w:r>
    </w:p>
    <w:p w14:paraId="6CA9DC25" w14:textId="77777777" w:rsidR="00EF6CBB" w:rsidRDefault="00EF6CBB" w:rsidP="00EF6CBB">
      <w:pPr>
        <w:pStyle w:val="Heading2"/>
        <w:rPr>
          <w:lang w:val="en-GB"/>
        </w:rPr>
      </w:pPr>
      <w:r w:rsidRPr="00EF6CBB">
        <w:rPr>
          <w:lang w:val="en-GB"/>
        </w:rPr>
        <w:t xml:space="preserve">What is it for? </w:t>
      </w:r>
    </w:p>
    <w:p w14:paraId="7E136DC2" w14:textId="4AF679C2" w:rsidR="00EF6CBB" w:rsidRPr="00EF0092" w:rsidRDefault="00221198" w:rsidP="00B21E26">
      <w:pPr>
        <w:rPr>
          <w:rFonts w:eastAsia="Calibri" w:cs="Arial"/>
          <w:szCs w:val="22"/>
          <w:lang w:val="en-GB"/>
        </w:rPr>
      </w:pPr>
      <w:r w:rsidRPr="00674F03">
        <w:rPr>
          <w:rFonts w:eastAsia="Calibri" w:cs="Arial"/>
          <w:szCs w:val="22"/>
          <w:lang w:val="en-GB"/>
        </w:rPr>
        <w:t xml:space="preserve">This </w:t>
      </w:r>
      <w:r w:rsidRPr="00EF0092">
        <w:rPr>
          <w:rFonts w:eastAsia="Calibri" w:cs="Arial"/>
          <w:szCs w:val="22"/>
          <w:lang w:val="en-GB"/>
        </w:rPr>
        <w:t xml:space="preserve">guidance is </w:t>
      </w:r>
      <w:r w:rsidR="00210951" w:rsidRPr="00EF0092">
        <w:rPr>
          <w:rFonts w:eastAsia="Calibri" w:cs="Arial"/>
          <w:szCs w:val="22"/>
          <w:lang w:val="en-GB"/>
        </w:rPr>
        <w:t xml:space="preserve">written </w:t>
      </w:r>
      <w:r w:rsidR="00EF6CBB" w:rsidRPr="00EF0092">
        <w:rPr>
          <w:rFonts w:eastAsia="Calibri" w:cs="Arial"/>
          <w:szCs w:val="22"/>
          <w:lang w:val="en-GB"/>
        </w:rPr>
        <w:t xml:space="preserve">to set out required risk controls </w:t>
      </w:r>
      <w:r w:rsidR="00210951" w:rsidRPr="00EF0092">
        <w:rPr>
          <w:rFonts w:eastAsia="Calibri" w:cs="Arial"/>
          <w:szCs w:val="22"/>
          <w:lang w:val="en-GB"/>
        </w:rPr>
        <w:t xml:space="preserve">for </w:t>
      </w:r>
      <w:r w:rsidR="00EF6CBB" w:rsidRPr="00EF0092">
        <w:rPr>
          <w:rFonts w:eastAsia="Calibri" w:cs="Arial"/>
          <w:szCs w:val="22"/>
          <w:lang w:val="en-GB"/>
        </w:rPr>
        <w:t>receiving, handling, storing</w:t>
      </w:r>
      <w:r w:rsidR="00210951" w:rsidRPr="00EF0092">
        <w:rPr>
          <w:rFonts w:eastAsia="Calibri" w:cs="Arial"/>
          <w:szCs w:val="22"/>
          <w:lang w:val="en-GB"/>
        </w:rPr>
        <w:t xml:space="preserve"> or otherwise work</w:t>
      </w:r>
      <w:r w:rsidR="00EF6CBB" w:rsidRPr="00EF0092">
        <w:rPr>
          <w:rFonts w:eastAsia="Calibri" w:cs="Arial"/>
          <w:szCs w:val="22"/>
          <w:lang w:val="en-GB"/>
        </w:rPr>
        <w:t>ing</w:t>
      </w:r>
      <w:r w:rsidR="00210951" w:rsidRPr="00EF0092">
        <w:rPr>
          <w:rFonts w:eastAsia="Calibri" w:cs="Arial"/>
          <w:szCs w:val="22"/>
          <w:lang w:val="en-GB"/>
        </w:rPr>
        <w:t xml:space="preserve"> </w:t>
      </w:r>
      <w:r w:rsidRPr="00EF0092">
        <w:rPr>
          <w:rFonts w:eastAsia="Calibri" w:cs="Arial"/>
          <w:szCs w:val="22"/>
          <w:lang w:val="en-GB"/>
        </w:rPr>
        <w:t xml:space="preserve">with samples from patients with suspected or laboratory-confirmed </w:t>
      </w:r>
      <w:r w:rsidR="00853AFA" w:rsidRPr="00EF0092">
        <w:rPr>
          <w:rFonts w:eastAsia="Calibri" w:cs="Arial"/>
          <w:szCs w:val="22"/>
          <w:lang w:val="en-GB"/>
        </w:rPr>
        <w:t>COVID</w:t>
      </w:r>
      <w:r w:rsidRPr="00EF0092">
        <w:rPr>
          <w:rFonts w:eastAsia="Calibri" w:cs="Arial"/>
          <w:szCs w:val="22"/>
          <w:lang w:val="en-GB"/>
        </w:rPr>
        <w:t>-19</w:t>
      </w:r>
      <w:r w:rsidR="00210951" w:rsidRPr="00EF0092">
        <w:rPr>
          <w:rFonts w:eastAsia="Calibri" w:cs="Arial"/>
          <w:szCs w:val="22"/>
          <w:lang w:val="en-GB"/>
        </w:rPr>
        <w:t xml:space="preserve">; or those planning </w:t>
      </w:r>
      <w:r w:rsidR="00487D9D" w:rsidRPr="00EF0092">
        <w:rPr>
          <w:rFonts w:eastAsia="Calibri" w:cs="Arial"/>
          <w:szCs w:val="22"/>
          <w:lang w:val="en-GB"/>
        </w:rPr>
        <w:t xml:space="preserve">to </w:t>
      </w:r>
      <w:r w:rsidR="00210951" w:rsidRPr="00EF0092">
        <w:rPr>
          <w:rFonts w:eastAsia="Calibri" w:cs="Arial"/>
          <w:szCs w:val="22"/>
          <w:lang w:val="en-GB"/>
        </w:rPr>
        <w:t>work with the SARS-CoV-2 virus directly</w:t>
      </w:r>
      <w:r w:rsidRPr="00EF0092">
        <w:rPr>
          <w:rFonts w:eastAsia="Calibri" w:cs="Arial"/>
          <w:szCs w:val="22"/>
          <w:lang w:val="en-GB"/>
        </w:rPr>
        <w:t>.</w:t>
      </w:r>
      <w:r w:rsidR="00F860A1" w:rsidRPr="00EF0092">
        <w:rPr>
          <w:rFonts w:eastAsia="Calibri" w:cs="Arial"/>
          <w:szCs w:val="22"/>
          <w:lang w:val="en-GB"/>
        </w:rPr>
        <w:t xml:space="preserve"> </w:t>
      </w:r>
    </w:p>
    <w:p w14:paraId="1E6D7346" w14:textId="40103B87" w:rsidR="00EF6CBB" w:rsidRPr="00EF0092" w:rsidRDefault="00EF6CBB" w:rsidP="00EF6CBB">
      <w:pPr>
        <w:pStyle w:val="Heading2"/>
        <w:rPr>
          <w:lang w:val="en-GB"/>
        </w:rPr>
      </w:pPr>
      <w:r w:rsidRPr="00EF0092">
        <w:rPr>
          <w:lang w:val="en-GB"/>
        </w:rPr>
        <w:t xml:space="preserve">What about my regular samples? </w:t>
      </w:r>
    </w:p>
    <w:p w14:paraId="4BECC47E" w14:textId="4BA61531" w:rsidR="00EF6CBB" w:rsidRPr="00EF0092" w:rsidRDefault="00EF6CBB" w:rsidP="00B21E26">
      <w:pPr>
        <w:rPr>
          <w:rFonts w:eastAsia="Calibri" w:cs="Arial"/>
          <w:szCs w:val="22"/>
          <w:lang w:val="en-GB"/>
        </w:rPr>
      </w:pPr>
      <w:r w:rsidRPr="00EF0092">
        <w:rPr>
          <w:rFonts w:eastAsia="Calibri" w:cs="Arial"/>
          <w:szCs w:val="22"/>
          <w:lang w:val="en-GB"/>
        </w:rPr>
        <w:t xml:space="preserve">This document should be used to determine controls for all respiratory samples, faecal samples, urine, CSF and amniotic fluid during the present pandemic. </w:t>
      </w:r>
    </w:p>
    <w:p w14:paraId="7C23CC21" w14:textId="77777777" w:rsidR="00EF6CBB" w:rsidRPr="00EF0092" w:rsidRDefault="00EF6CBB" w:rsidP="00EF6CBB">
      <w:pPr>
        <w:pStyle w:val="Heading2"/>
        <w:rPr>
          <w:lang w:val="en-GB"/>
        </w:rPr>
      </w:pPr>
      <w:r w:rsidRPr="00EF0092">
        <w:rPr>
          <w:lang w:val="en-GB"/>
        </w:rPr>
        <w:t xml:space="preserve">What about blood and unfixed tissues? </w:t>
      </w:r>
    </w:p>
    <w:p w14:paraId="366C7F1B" w14:textId="3306972D" w:rsidR="00483956" w:rsidRDefault="00EF6CBB" w:rsidP="00B21E26">
      <w:pPr>
        <w:rPr>
          <w:rFonts w:eastAsia="Calibri" w:cs="Arial"/>
          <w:szCs w:val="22"/>
          <w:lang w:val="en-GB"/>
        </w:rPr>
      </w:pPr>
      <w:r w:rsidRPr="00EF0092">
        <w:rPr>
          <w:rFonts w:eastAsia="Calibri" w:cs="Arial"/>
          <w:szCs w:val="22"/>
          <w:lang w:val="en-GB"/>
        </w:rPr>
        <w:t xml:space="preserve">The guidance below </w:t>
      </w:r>
      <w:r w:rsidR="00674F03" w:rsidRPr="00EF0092">
        <w:rPr>
          <w:rFonts w:eastAsia="Calibri" w:cs="Arial"/>
          <w:szCs w:val="22"/>
          <w:lang w:val="en-GB"/>
        </w:rPr>
        <w:t xml:space="preserve">does not apply to handling of </w:t>
      </w:r>
      <w:r w:rsidR="00C55E9C" w:rsidRPr="00EF0092">
        <w:rPr>
          <w:rFonts w:eastAsia="Calibri" w:cs="Arial"/>
          <w:szCs w:val="22"/>
          <w:lang w:val="en-GB"/>
        </w:rPr>
        <w:t xml:space="preserve">blood </w:t>
      </w:r>
      <w:r w:rsidR="00674F03" w:rsidRPr="00EF0092">
        <w:rPr>
          <w:rFonts w:eastAsia="Calibri" w:cs="Arial"/>
          <w:szCs w:val="22"/>
          <w:lang w:val="en-GB"/>
        </w:rPr>
        <w:t xml:space="preserve">and </w:t>
      </w:r>
      <w:r w:rsidRPr="00EF0092">
        <w:rPr>
          <w:rFonts w:eastAsia="Calibri" w:cs="Arial"/>
          <w:szCs w:val="22"/>
          <w:lang w:val="en-GB"/>
        </w:rPr>
        <w:t xml:space="preserve">human tissues from patients of unknown or presumed COVID-19 negative status. In these cases, you should follow the guidance on </w:t>
      </w:r>
      <w:hyperlink r:id="rId11" w:history="1">
        <w:r w:rsidRPr="00694937">
          <w:rPr>
            <w:rStyle w:val="Hyperlink"/>
            <w:rFonts w:eastAsia="Calibri" w:cs="Arial"/>
            <w:szCs w:val="22"/>
            <w:lang w:val="en-GB"/>
          </w:rPr>
          <w:t>safe working with blood, bodily fluids and human tissue</w:t>
        </w:r>
      </w:hyperlink>
      <w:r w:rsidR="00694937">
        <w:rPr>
          <w:rFonts w:eastAsia="Calibri" w:cs="Arial"/>
          <w:szCs w:val="22"/>
          <w:lang w:val="en-GB"/>
        </w:rPr>
        <w:t>.</w:t>
      </w:r>
    </w:p>
    <w:p w14:paraId="1EE279A2" w14:textId="2465FB85" w:rsidR="00AF137E" w:rsidRPr="00AF137E" w:rsidRDefault="00AF137E" w:rsidP="00AF137E">
      <w:pPr>
        <w:pStyle w:val="Heading2"/>
      </w:pPr>
      <w:r w:rsidRPr="00AF137E">
        <w:t>SARS-CoV-2 Hazard Group</w:t>
      </w:r>
    </w:p>
    <w:p w14:paraId="162AA1C7" w14:textId="5C2AAB3D" w:rsidR="00674F03" w:rsidRPr="00EF0092" w:rsidRDefault="00483956" w:rsidP="00210951">
      <w:pPr>
        <w:rPr>
          <w:rFonts w:eastAsia="Calibri" w:cs="Arial"/>
          <w:szCs w:val="22"/>
          <w:lang w:val="en-GB"/>
        </w:rPr>
      </w:pPr>
      <w:r w:rsidRPr="00EF0092">
        <w:rPr>
          <w:rFonts w:eastAsia="Calibri" w:cs="Arial"/>
          <w:szCs w:val="22"/>
          <w:lang w:val="en-GB"/>
        </w:rPr>
        <w:t xml:space="preserve">The UK’s Advisory Committee on Dangerous Pathogens (ACDP) has agreed on the provisional classification of SARS-CoV-2 as </w:t>
      </w:r>
      <w:r w:rsidR="00EF6CBB" w:rsidRPr="00EF0092">
        <w:rPr>
          <w:rFonts w:eastAsia="Calibri" w:cs="Arial"/>
          <w:szCs w:val="22"/>
          <w:lang w:val="en-GB"/>
        </w:rPr>
        <w:t>a hazard g</w:t>
      </w:r>
      <w:r w:rsidRPr="00EF0092">
        <w:rPr>
          <w:rFonts w:eastAsia="Calibri" w:cs="Arial"/>
          <w:szCs w:val="22"/>
          <w:lang w:val="en-GB"/>
        </w:rPr>
        <w:t xml:space="preserve">roup 3 pathogen, which means that </w:t>
      </w:r>
      <w:r w:rsidR="00487D9D" w:rsidRPr="00EF0092">
        <w:rPr>
          <w:rFonts w:eastAsia="Calibri" w:cs="Arial"/>
          <w:szCs w:val="22"/>
          <w:lang w:val="en-GB"/>
        </w:rPr>
        <w:t>by</w:t>
      </w:r>
      <w:r w:rsidRPr="00EF0092">
        <w:rPr>
          <w:rFonts w:eastAsia="Calibri" w:cs="Arial"/>
          <w:szCs w:val="22"/>
          <w:lang w:val="en-GB"/>
        </w:rPr>
        <w:t xml:space="preserve"> default it must be handled at Containment Level 3.</w:t>
      </w:r>
      <w:r w:rsidR="00EF6CBB" w:rsidRPr="00EF0092">
        <w:rPr>
          <w:rFonts w:eastAsia="Calibri" w:cs="Arial"/>
          <w:szCs w:val="22"/>
          <w:lang w:val="en-GB"/>
        </w:rPr>
        <w:t xml:space="preserve"> To provide tailored, risk based approached for UCL, </w:t>
      </w:r>
      <w:r w:rsidR="00210951" w:rsidRPr="00EF0092">
        <w:rPr>
          <w:lang w:val="en-GB"/>
        </w:rPr>
        <w:t>The GMSC has agreed approach</w:t>
      </w:r>
      <w:r w:rsidR="00EF6CBB" w:rsidRPr="00EF0092">
        <w:rPr>
          <w:lang w:val="en-GB"/>
        </w:rPr>
        <w:t>es</w:t>
      </w:r>
      <w:r w:rsidR="00210951" w:rsidRPr="00EF0092">
        <w:rPr>
          <w:lang w:val="en-GB"/>
        </w:rPr>
        <w:t xml:space="preserve"> which can be summarised </w:t>
      </w:r>
      <w:r w:rsidR="007279AF" w:rsidRPr="00EF0092">
        <w:rPr>
          <w:lang w:val="en-GB"/>
        </w:rPr>
        <w:t>in 4</w:t>
      </w:r>
      <w:r w:rsidR="00EF6CBB" w:rsidRPr="00EF0092">
        <w:rPr>
          <w:lang w:val="en-GB"/>
        </w:rPr>
        <w:t xml:space="preserve"> categories as below:</w:t>
      </w:r>
    </w:p>
    <w:p w14:paraId="0BB4E13D" w14:textId="0E9C1B0A" w:rsidR="00210951" w:rsidRDefault="00210951" w:rsidP="00487D9D">
      <w:pPr>
        <w:pStyle w:val="ListParagraph"/>
        <w:numPr>
          <w:ilvl w:val="0"/>
          <w:numId w:val="14"/>
        </w:numPr>
        <w:contextualSpacing w:val="0"/>
        <w:rPr>
          <w:lang w:val="en-GB"/>
        </w:rPr>
      </w:pPr>
      <w:r>
        <w:rPr>
          <w:lang w:val="en-GB"/>
        </w:rPr>
        <w:t xml:space="preserve">Receipt and storage </w:t>
      </w:r>
      <w:r w:rsidR="008F79B4" w:rsidRPr="004F26A6">
        <w:rPr>
          <w:b/>
          <w:lang w:val="en-GB"/>
        </w:rPr>
        <w:t>only</w:t>
      </w:r>
      <w:r w:rsidR="008F79B4">
        <w:rPr>
          <w:lang w:val="en-GB"/>
        </w:rPr>
        <w:t xml:space="preserve"> </w:t>
      </w:r>
      <w:r>
        <w:rPr>
          <w:lang w:val="en-GB"/>
        </w:rPr>
        <w:t xml:space="preserve">of </w:t>
      </w:r>
      <w:r w:rsidR="004F26A6">
        <w:rPr>
          <w:lang w:val="en-GB"/>
        </w:rPr>
        <w:t xml:space="preserve">samples </w:t>
      </w:r>
      <w:r>
        <w:rPr>
          <w:lang w:val="en-GB"/>
        </w:rPr>
        <w:t>collect</w:t>
      </w:r>
      <w:r w:rsidR="008F79B4">
        <w:rPr>
          <w:lang w:val="en-GB"/>
        </w:rPr>
        <w:t>ed or processed outside of</w:t>
      </w:r>
      <w:r w:rsidR="004F26A6">
        <w:rPr>
          <w:lang w:val="en-GB"/>
        </w:rPr>
        <w:t xml:space="preserve"> UCL, which must be handled at containment level 3, </w:t>
      </w:r>
      <w:r w:rsidR="00853AFA">
        <w:rPr>
          <w:lang w:val="en-GB"/>
        </w:rPr>
        <w:t xml:space="preserve">is permitted </w:t>
      </w:r>
      <w:r w:rsidR="004F26A6">
        <w:rPr>
          <w:lang w:val="en-GB"/>
        </w:rPr>
        <w:t>in containment l</w:t>
      </w:r>
      <w:r>
        <w:rPr>
          <w:lang w:val="en-GB"/>
        </w:rPr>
        <w:t>evel 2 laboratories</w:t>
      </w:r>
      <w:r w:rsidR="004F26A6">
        <w:rPr>
          <w:lang w:val="en-GB"/>
        </w:rPr>
        <w:t xml:space="preserve"> if storage space is constrained</w:t>
      </w:r>
      <w:r>
        <w:rPr>
          <w:lang w:val="en-GB"/>
        </w:rPr>
        <w:t xml:space="preserve">. </w:t>
      </w:r>
    </w:p>
    <w:p w14:paraId="25C22530" w14:textId="558781DF" w:rsidR="00210951" w:rsidRDefault="00853AFA" w:rsidP="00487D9D">
      <w:pPr>
        <w:pStyle w:val="ListParagraph"/>
        <w:numPr>
          <w:ilvl w:val="0"/>
          <w:numId w:val="14"/>
        </w:numPr>
        <w:contextualSpacing w:val="0"/>
        <w:rPr>
          <w:lang w:val="en-GB"/>
        </w:rPr>
      </w:pPr>
      <w:r>
        <w:rPr>
          <w:lang w:val="en-GB"/>
        </w:rPr>
        <w:t>If</w:t>
      </w:r>
      <w:r w:rsidR="00210951">
        <w:rPr>
          <w:lang w:val="en-GB"/>
        </w:rPr>
        <w:t xml:space="preserve"> government agencies (NHS, PHE etc.) request that UCL laboratories support diagnostic work, this may be permitted at Containment Level 2, strictly following the </w:t>
      </w:r>
      <w:hyperlink r:id="rId12" w:history="1">
        <w:r w:rsidR="00210951" w:rsidRPr="00210951">
          <w:rPr>
            <w:rStyle w:val="Hyperlink"/>
            <w:lang w:val="en-GB"/>
          </w:rPr>
          <w:t>Public Health England</w:t>
        </w:r>
      </w:hyperlink>
      <w:r w:rsidR="00210951">
        <w:rPr>
          <w:lang w:val="en-GB"/>
        </w:rPr>
        <w:t xml:space="preserve"> guidelines for </w:t>
      </w:r>
      <w:r w:rsidR="00210951" w:rsidRPr="00210951">
        <w:rPr>
          <w:lang w:val="en-GB"/>
        </w:rPr>
        <w:t xml:space="preserve">safe handling and processing </w:t>
      </w:r>
      <w:r w:rsidR="00FC3A34">
        <w:rPr>
          <w:lang w:val="en-GB"/>
        </w:rPr>
        <w:t>of</w:t>
      </w:r>
      <w:r w:rsidR="00210951" w:rsidRPr="00210951">
        <w:rPr>
          <w:lang w:val="en-GB"/>
        </w:rPr>
        <w:t xml:space="preserve"> samples in laboratories</w:t>
      </w:r>
      <w:r w:rsidR="00210951">
        <w:rPr>
          <w:lang w:val="en-GB"/>
        </w:rPr>
        <w:t>.</w:t>
      </w:r>
    </w:p>
    <w:p w14:paraId="3EA65BB6" w14:textId="7E653D41" w:rsidR="003C648C" w:rsidRPr="003C648C" w:rsidRDefault="003C648C" w:rsidP="003C648C">
      <w:pPr>
        <w:pStyle w:val="ListParagraph"/>
        <w:numPr>
          <w:ilvl w:val="0"/>
          <w:numId w:val="14"/>
        </w:numPr>
        <w:ind w:left="714" w:hanging="357"/>
        <w:contextualSpacing w:val="0"/>
        <w:rPr>
          <w:lang w:val="en-GB"/>
        </w:rPr>
      </w:pPr>
      <w:r w:rsidRPr="003C648C">
        <w:rPr>
          <w:lang w:val="en-GB"/>
        </w:rPr>
        <w:t xml:space="preserve">Research with samples confirmed as negative, inactivated samples, all blood samples, all </w:t>
      </w:r>
      <w:r w:rsidR="00650D33">
        <w:rPr>
          <w:lang w:val="en-GB"/>
        </w:rPr>
        <w:t xml:space="preserve">urine and </w:t>
      </w:r>
      <w:r w:rsidRPr="003C648C">
        <w:rPr>
          <w:lang w:val="en-GB"/>
        </w:rPr>
        <w:t>CSF samples and specific lower risk respiratory samples may be handled at Containment Level 2.</w:t>
      </w:r>
    </w:p>
    <w:p w14:paraId="0FDF5D7F" w14:textId="5C847714" w:rsidR="00210951" w:rsidRDefault="007279AF" w:rsidP="007279AF">
      <w:pPr>
        <w:pStyle w:val="ListParagraph"/>
        <w:numPr>
          <w:ilvl w:val="0"/>
          <w:numId w:val="14"/>
        </w:numPr>
        <w:contextualSpacing w:val="0"/>
        <w:rPr>
          <w:lang w:val="en-GB"/>
        </w:rPr>
      </w:pPr>
      <w:r w:rsidRPr="00EF0092">
        <w:rPr>
          <w:lang w:val="en-GB"/>
        </w:rPr>
        <w:t>All COVID-19 r</w:t>
      </w:r>
      <w:r w:rsidR="00210951" w:rsidRPr="00EF0092">
        <w:rPr>
          <w:lang w:val="en-GB"/>
        </w:rPr>
        <w:t>esearch</w:t>
      </w:r>
      <w:r w:rsidRPr="00EF0092">
        <w:rPr>
          <w:lang w:val="en-GB"/>
        </w:rPr>
        <w:t xml:space="preserve"> not fitting into the definition</w:t>
      </w:r>
      <w:r w:rsidR="008F79B4" w:rsidRPr="00EF0092">
        <w:rPr>
          <w:lang w:val="en-GB"/>
        </w:rPr>
        <w:t>s</w:t>
      </w:r>
      <w:r w:rsidRPr="00EF0092">
        <w:rPr>
          <w:lang w:val="en-GB"/>
        </w:rPr>
        <w:t xml:space="preserve"> above; </w:t>
      </w:r>
      <w:r w:rsidR="00853AFA" w:rsidRPr="00EF0092">
        <w:rPr>
          <w:lang w:val="en-GB"/>
        </w:rPr>
        <w:t>SARS</w:t>
      </w:r>
      <w:r w:rsidR="00853AFA">
        <w:rPr>
          <w:lang w:val="en-GB"/>
        </w:rPr>
        <w:t xml:space="preserve">-CoV-2 viral culture or </w:t>
      </w:r>
      <w:r w:rsidR="008F79B4">
        <w:rPr>
          <w:lang w:val="en-GB"/>
        </w:rPr>
        <w:t xml:space="preserve">work with </w:t>
      </w:r>
      <w:r>
        <w:rPr>
          <w:lang w:val="en-GB"/>
        </w:rPr>
        <w:t xml:space="preserve">infected </w:t>
      </w:r>
      <w:r w:rsidR="00853AFA">
        <w:rPr>
          <w:lang w:val="en-GB"/>
        </w:rPr>
        <w:t>animals must be carried out at Containment Level 3, in one of UCL’s existing approved facilities.</w:t>
      </w:r>
    </w:p>
    <w:p w14:paraId="7D916407" w14:textId="4DE72526" w:rsidR="00EF0092" w:rsidRDefault="00674F03" w:rsidP="00210951">
      <w:r w:rsidRPr="00CD66EE">
        <w:rPr>
          <w:lang w:val="en-GB"/>
        </w:rPr>
        <w:t xml:space="preserve">A table summarising </w:t>
      </w:r>
      <w:r w:rsidRPr="00CD66EE">
        <w:t xml:space="preserve">the containment level required to work with different sample types is shown </w:t>
      </w:r>
      <w:r w:rsidR="00467724">
        <w:t>below</w:t>
      </w:r>
      <w:r w:rsidRPr="00CD66EE">
        <w:t>.</w:t>
      </w:r>
    </w:p>
    <w:p w14:paraId="57DA4AAF" w14:textId="36A10036" w:rsidR="00EF0092" w:rsidRPr="00650D33" w:rsidRDefault="00EF0092">
      <w:pPr>
        <w:spacing w:before="0" w:after="0"/>
        <w:sectPr w:rsidR="00EF0092" w:rsidRPr="00650D33" w:rsidSect="005B11DE">
          <w:footerReference w:type="default" r:id="rId13"/>
          <w:headerReference w:type="first" r:id="rId14"/>
          <w:footerReference w:type="first" r:id="rId15"/>
          <w:pgSz w:w="11900" w:h="16840"/>
          <w:pgMar w:top="1134" w:right="1134" w:bottom="1134" w:left="1134" w:header="680" w:footer="709" w:gutter="0"/>
          <w:cols w:space="708"/>
          <w:titlePg/>
          <w:docGrid w:linePitch="360"/>
        </w:sectPr>
      </w:pPr>
    </w:p>
    <w:p w14:paraId="7DA3DEB3" w14:textId="578EF2E0" w:rsidR="00EF0092" w:rsidRDefault="00EF0092" w:rsidP="00EF0092">
      <w:pPr>
        <w:pStyle w:val="Heading2"/>
        <w:rPr>
          <w:lang w:val="en-GB"/>
        </w:rPr>
      </w:pPr>
      <w:r>
        <w:rPr>
          <w:lang w:val="en-GB"/>
        </w:rPr>
        <w:lastRenderedPageBreak/>
        <w:t>Summary table for COVID-19 sample types</w:t>
      </w:r>
    </w:p>
    <w:p w14:paraId="12A36AD9" w14:textId="26BD8A56" w:rsidR="00EF0092" w:rsidRDefault="00EF0092" w:rsidP="00EF0092">
      <w:r>
        <w:t>T</w:t>
      </w:r>
      <w:r w:rsidRPr="006F7E30">
        <w:t xml:space="preserve">he table below will help </w:t>
      </w:r>
      <w:r>
        <w:t>you to understand the containment level required to work with different sample types. Click the links to jump to the relevant section, read the guidance notes and ensure a</w:t>
      </w:r>
      <w:r w:rsidRPr="00027D60">
        <w:t xml:space="preserve"> suitable </w:t>
      </w:r>
      <w:hyperlink r:id="rId16" w:history="1">
        <w:r w:rsidRPr="00027D60">
          <w:rPr>
            <w:rStyle w:val="Hyperlink"/>
          </w:rPr>
          <w:t>risk assessment</w:t>
        </w:r>
      </w:hyperlink>
      <w:r w:rsidRPr="00027D60">
        <w:t xml:space="preserve"> </w:t>
      </w:r>
      <w:r>
        <w:t xml:space="preserve">is </w:t>
      </w:r>
      <w:r w:rsidRPr="00027D60">
        <w:t xml:space="preserve">approved before </w:t>
      </w:r>
      <w:r>
        <w:t xml:space="preserve">you begin </w:t>
      </w:r>
      <w:r w:rsidRPr="00027D60">
        <w:t>work.</w:t>
      </w:r>
    </w:p>
    <w:tbl>
      <w:tblPr>
        <w:tblW w:w="13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835"/>
        <w:gridCol w:w="1937"/>
        <w:gridCol w:w="1937"/>
        <w:gridCol w:w="1937"/>
        <w:gridCol w:w="2127"/>
      </w:tblGrid>
      <w:tr w:rsidR="00467724" w:rsidRPr="005B11DE" w14:paraId="1398430A" w14:textId="77777777" w:rsidTr="00467724">
        <w:tc>
          <w:tcPr>
            <w:tcW w:w="2684" w:type="dxa"/>
            <w:shd w:val="clear" w:color="auto" w:fill="CCCCCC"/>
            <w:tcMar>
              <w:top w:w="100" w:type="dxa"/>
              <w:left w:w="100" w:type="dxa"/>
              <w:bottom w:w="100" w:type="dxa"/>
              <w:right w:w="100" w:type="dxa"/>
            </w:tcMar>
            <w:vAlign w:val="center"/>
          </w:tcPr>
          <w:p w14:paraId="2246B703" w14:textId="77777777" w:rsidR="00467724" w:rsidRPr="005B11DE" w:rsidRDefault="00467724" w:rsidP="002261B0">
            <w:pPr>
              <w:spacing w:before="0" w:after="0"/>
              <w:contextualSpacing/>
              <w:rPr>
                <w:rFonts w:eastAsia="Calibri" w:cs="Arial"/>
                <w:b/>
                <w:szCs w:val="22"/>
                <w:lang w:val="en"/>
              </w:rPr>
            </w:pPr>
            <w:r w:rsidRPr="005B11DE">
              <w:rPr>
                <w:rFonts w:eastAsia="Calibri" w:cs="Arial"/>
                <w:b/>
                <w:szCs w:val="22"/>
                <w:lang w:val="en"/>
              </w:rPr>
              <w:t>Sample type</w:t>
            </w:r>
          </w:p>
        </w:tc>
        <w:tc>
          <w:tcPr>
            <w:tcW w:w="2835" w:type="dxa"/>
            <w:shd w:val="clear" w:color="auto" w:fill="auto"/>
            <w:tcMar>
              <w:top w:w="100" w:type="dxa"/>
              <w:left w:w="100" w:type="dxa"/>
              <w:bottom w:w="100" w:type="dxa"/>
              <w:right w:w="100" w:type="dxa"/>
            </w:tcMar>
            <w:vAlign w:val="center"/>
          </w:tcPr>
          <w:p w14:paraId="0DE7C011" w14:textId="7CA35DD9" w:rsidR="00467724" w:rsidRPr="005B11DE" w:rsidRDefault="00467724" w:rsidP="002261B0">
            <w:pPr>
              <w:spacing w:before="0" w:after="0"/>
              <w:contextualSpacing/>
              <w:jc w:val="center"/>
              <w:rPr>
                <w:rFonts w:eastAsia="Calibri" w:cs="Arial"/>
                <w:szCs w:val="22"/>
                <w:lang w:val="en"/>
              </w:rPr>
            </w:pPr>
            <w:r w:rsidRPr="005B11DE">
              <w:rPr>
                <w:rFonts w:eastAsia="Calibri" w:cs="Arial"/>
                <w:b/>
                <w:szCs w:val="22"/>
                <w:lang w:val="en"/>
              </w:rPr>
              <w:t>Respiratory samples</w:t>
            </w:r>
            <w:r w:rsidRPr="005B11DE">
              <w:rPr>
                <w:rFonts w:eastAsia="Calibri" w:cs="Arial"/>
                <w:szCs w:val="22"/>
                <w:lang w:val="en"/>
              </w:rPr>
              <w:t xml:space="preserve">; </w:t>
            </w:r>
            <w:r w:rsidRPr="00674F03">
              <w:rPr>
                <w:rFonts w:eastAsia="Calibri" w:cs="Arial"/>
                <w:sz w:val="20"/>
                <w:szCs w:val="22"/>
                <w:lang w:val="en"/>
              </w:rPr>
              <w:t xml:space="preserve">nasopharyngeal or oropharyngeal swabs, </w:t>
            </w:r>
            <w:proofErr w:type="spellStart"/>
            <w:r w:rsidRPr="00674F03">
              <w:rPr>
                <w:rFonts w:eastAsia="Calibri" w:cs="Arial"/>
                <w:sz w:val="20"/>
                <w:szCs w:val="22"/>
                <w:lang w:val="en"/>
              </w:rPr>
              <w:t>bronchoalveolar</w:t>
            </w:r>
            <w:proofErr w:type="spellEnd"/>
            <w:r w:rsidRPr="00674F03">
              <w:rPr>
                <w:rFonts w:eastAsia="Calibri" w:cs="Arial"/>
                <w:sz w:val="20"/>
                <w:szCs w:val="22"/>
                <w:lang w:val="en"/>
              </w:rPr>
              <w:t xml:space="preserve"> lavage (BAL), aspirate </w:t>
            </w:r>
            <w:r w:rsidRPr="00EF0092">
              <w:rPr>
                <w:rFonts w:eastAsia="Calibri" w:cs="Arial"/>
                <w:sz w:val="20"/>
                <w:szCs w:val="22"/>
                <w:lang w:val="en"/>
              </w:rPr>
              <w:t>samples</w:t>
            </w:r>
            <w:r>
              <w:rPr>
                <w:rFonts w:eastAsia="Calibri" w:cs="Arial"/>
                <w:sz w:val="20"/>
                <w:szCs w:val="22"/>
                <w:lang w:val="en"/>
              </w:rPr>
              <w:t>, saliva</w:t>
            </w:r>
            <w:r w:rsidRPr="00EF0092">
              <w:rPr>
                <w:rFonts w:eastAsia="Calibri" w:cs="Arial"/>
                <w:sz w:val="20"/>
                <w:szCs w:val="22"/>
                <w:lang w:val="en"/>
              </w:rPr>
              <w:t xml:space="preserve"> and sputum.</w:t>
            </w:r>
          </w:p>
        </w:tc>
        <w:tc>
          <w:tcPr>
            <w:tcW w:w="1937" w:type="dxa"/>
            <w:shd w:val="clear" w:color="auto" w:fill="auto"/>
            <w:tcMar>
              <w:top w:w="100" w:type="dxa"/>
              <w:left w:w="100" w:type="dxa"/>
              <w:bottom w:w="100" w:type="dxa"/>
              <w:right w:w="100" w:type="dxa"/>
            </w:tcMar>
            <w:vAlign w:val="center"/>
          </w:tcPr>
          <w:p w14:paraId="0EBFF4B7" w14:textId="77777777" w:rsidR="00467724" w:rsidRPr="005B11DE" w:rsidRDefault="00467724" w:rsidP="002261B0">
            <w:pPr>
              <w:spacing w:before="0" w:after="0"/>
              <w:contextualSpacing/>
              <w:jc w:val="center"/>
              <w:rPr>
                <w:rFonts w:eastAsia="Calibri" w:cs="Arial"/>
                <w:b/>
                <w:szCs w:val="22"/>
                <w:lang w:val="en"/>
              </w:rPr>
            </w:pPr>
            <w:proofErr w:type="spellStart"/>
            <w:r w:rsidRPr="005B11DE">
              <w:rPr>
                <w:rFonts w:eastAsia="Calibri" w:cs="Arial"/>
                <w:b/>
                <w:szCs w:val="22"/>
                <w:lang w:val="en"/>
              </w:rPr>
              <w:t>Faecal</w:t>
            </w:r>
            <w:proofErr w:type="spellEnd"/>
            <w:r w:rsidRPr="005B11DE">
              <w:rPr>
                <w:rFonts w:eastAsia="Calibri" w:cs="Arial"/>
                <w:b/>
                <w:szCs w:val="22"/>
                <w:lang w:val="en"/>
              </w:rPr>
              <w:t xml:space="preserve"> samples</w:t>
            </w:r>
            <w:r>
              <w:rPr>
                <w:rFonts w:eastAsia="Calibri" w:cs="Arial"/>
                <w:b/>
                <w:szCs w:val="22"/>
                <w:lang w:val="en"/>
              </w:rPr>
              <w:t>.</w:t>
            </w:r>
          </w:p>
        </w:tc>
        <w:tc>
          <w:tcPr>
            <w:tcW w:w="1937" w:type="dxa"/>
            <w:shd w:val="clear" w:color="auto" w:fill="auto"/>
            <w:tcMar>
              <w:top w:w="100" w:type="dxa"/>
              <w:left w:w="100" w:type="dxa"/>
              <w:bottom w:w="100" w:type="dxa"/>
              <w:right w:w="100" w:type="dxa"/>
            </w:tcMar>
            <w:vAlign w:val="center"/>
          </w:tcPr>
          <w:p w14:paraId="751BCE38" w14:textId="77777777" w:rsidR="00467724" w:rsidRPr="005B11DE" w:rsidRDefault="00467724" w:rsidP="002261B0">
            <w:pPr>
              <w:spacing w:before="0" w:after="0"/>
              <w:contextualSpacing/>
              <w:jc w:val="center"/>
              <w:rPr>
                <w:rFonts w:eastAsia="Calibri" w:cs="Arial"/>
                <w:szCs w:val="22"/>
                <w:lang w:val="en"/>
              </w:rPr>
            </w:pPr>
            <w:r w:rsidRPr="005B11DE">
              <w:rPr>
                <w:rFonts w:eastAsia="Calibri" w:cs="Arial"/>
                <w:b/>
                <w:szCs w:val="22"/>
                <w:lang w:val="en"/>
              </w:rPr>
              <w:t>Blood samples</w:t>
            </w:r>
            <w:r w:rsidRPr="005B11DE">
              <w:rPr>
                <w:rFonts w:eastAsia="Calibri" w:cs="Arial"/>
                <w:szCs w:val="22"/>
                <w:lang w:val="en"/>
              </w:rPr>
              <w:t>;</w:t>
            </w:r>
          </w:p>
          <w:p w14:paraId="46C32DF5" w14:textId="77777777" w:rsidR="00467724" w:rsidRPr="005B11DE" w:rsidRDefault="00467724" w:rsidP="002261B0">
            <w:pPr>
              <w:spacing w:before="0" w:after="0"/>
              <w:contextualSpacing/>
              <w:jc w:val="center"/>
              <w:rPr>
                <w:rFonts w:eastAsia="Calibri" w:cs="Arial"/>
                <w:szCs w:val="22"/>
                <w:lang w:val="en"/>
              </w:rPr>
            </w:pPr>
            <w:r w:rsidRPr="00674F03">
              <w:rPr>
                <w:rFonts w:eastAsia="Calibri" w:cs="Arial"/>
                <w:sz w:val="20"/>
                <w:szCs w:val="22"/>
                <w:lang w:val="en"/>
              </w:rPr>
              <w:t>Including serum and PBMC</w:t>
            </w:r>
            <w:r>
              <w:rPr>
                <w:rFonts w:eastAsia="Calibri" w:cs="Arial"/>
                <w:sz w:val="20"/>
                <w:szCs w:val="22"/>
                <w:lang w:val="en"/>
              </w:rPr>
              <w:t>.</w:t>
            </w:r>
          </w:p>
        </w:tc>
        <w:tc>
          <w:tcPr>
            <w:tcW w:w="1937" w:type="dxa"/>
            <w:vAlign w:val="center"/>
          </w:tcPr>
          <w:p w14:paraId="308802E7" w14:textId="4FBD6FF0" w:rsidR="00467724" w:rsidRPr="005B11DE" w:rsidRDefault="00467724" w:rsidP="00467724">
            <w:pPr>
              <w:spacing w:before="0" w:after="0"/>
              <w:contextualSpacing/>
              <w:jc w:val="center"/>
              <w:rPr>
                <w:rFonts w:eastAsia="Calibri" w:cs="Arial"/>
                <w:b/>
                <w:szCs w:val="22"/>
                <w:lang w:val="en"/>
              </w:rPr>
            </w:pPr>
            <w:r>
              <w:rPr>
                <w:rFonts w:eastAsia="Calibri" w:cs="Arial"/>
                <w:b/>
                <w:szCs w:val="22"/>
                <w:lang w:val="en"/>
              </w:rPr>
              <w:t xml:space="preserve">CSF </w:t>
            </w:r>
            <w:r w:rsidR="00E9610B" w:rsidRPr="00650D33">
              <w:rPr>
                <w:rFonts w:eastAsia="Calibri" w:cs="Arial"/>
                <w:b/>
                <w:szCs w:val="22"/>
                <w:lang w:val="en"/>
              </w:rPr>
              <w:t xml:space="preserve">and urine </w:t>
            </w:r>
            <w:r w:rsidRPr="00650D33">
              <w:rPr>
                <w:rFonts w:eastAsia="Calibri" w:cs="Arial"/>
                <w:b/>
                <w:szCs w:val="22"/>
                <w:lang w:val="en"/>
              </w:rPr>
              <w:t>samples.</w:t>
            </w:r>
          </w:p>
        </w:tc>
        <w:tc>
          <w:tcPr>
            <w:tcW w:w="2127" w:type="dxa"/>
            <w:shd w:val="clear" w:color="auto" w:fill="auto"/>
            <w:tcMar>
              <w:top w:w="100" w:type="dxa"/>
              <w:left w:w="100" w:type="dxa"/>
              <w:bottom w:w="100" w:type="dxa"/>
              <w:right w:w="100" w:type="dxa"/>
            </w:tcMar>
            <w:vAlign w:val="center"/>
          </w:tcPr>
          <w:p w14:paraId="48C6F455" w14:textId="2C57328D" w:rsidR="00467724" w:rsidRPr="005B11DE" w:rsidRDefault="00467724" w:rsidP="00E9610B">
            <w:pPr>
              <w:spacing w:before="0" w:after="0"/>
              <w:contextualSpacing/>
              <w:jc w:val="center"/>
              <w:rPr>
                <w:rFonts w:eastAsia="Calibri" w:cs="Arial"/>
                <w:szCs w:val="22"/>
                <w:lang w:val="en"/>
              </w:rPr>
            </w:pPr>
            <w:r w:rsidRPr="005B11DE">
              <w:rPr>
                <w:rFonts w:eastAsia="Calibri" w:cs="Arial"/>
                <w:b/>
                <w:szCs w:val="22"/>
                <w:lang w:val="en"/>
              </w:rPr>
              <w:t>Other tissue</w:t>
            </w:r>
            <w:r w:rsidR="00650D33">
              <w:rPr>
                <w:rFonts w:eastAsia="Calibri" w:cs="Arial"/>
                <w:b/>
                <w:szCs w:val="22"/>
                <w:lang w:val="en"/>
              </w:rPr>
              <w:t>s</w:t>
            </w:r>
            <w:r w:rsidRPr="005B11DE">
              <w:rPr>
                <w:rFonts w:eastAsia="Calibri" w:cs="Arial"/>
                <w:b/>
                <w:szCs w:val="22"/>
                <w:lang w:val="en"/>
              </w:rPr>
              <w:t xml:space="preserve"> and fluids</w:t>
            </w:r>
          </w:p>
        </w:tc>
      </w:tr>
      <w:tr w:rsidR="00467724" w:rsidRPr="005B11DE" w14:paraId="44FD955C" w14:textId="77777777" w:rsidTr="00467724">
        <w:tc>
          <w:tcPr>
            <w:tcW w:w="2684" w:type="dxa"/>
            <w:shd w:val="clear" w:color="auto" w:fill="auto"/>
            <w:tcMar>
              <w:top w:w="100" w:type="dxa"/>
              <w:left w:w="100" w:type="dxa"/>
              <w:bottom w:w="100" w:type="dxa"/>
              <w:right w:w="100" w:type="dxa"/>
            </w:tcMar>
            <w:vAlign w:val="center"/>
          </w:tcPr>
          <w:p w14:paraId="53508829" w14:textId="77777777" w:rsidR="00467724" w:rsidRPr="005B11DE" w:rsidRDefault="00467724" w:rsidP="00467724">
            <w:pPr>
              <w:spacing w:before="0" w:after="0"/>
              <w:contextualSpacing/>
              <w:rPr>
                <w:rFonts w:eastAsia="Calibri" w:cs="Arial"/>
                <w:b/>
                <w:szCs w:val="22"/>
                <w:lang w:val="en"/>
              </w:rPr>
            </w:pPr>
            <w:r w:rsidRPr="005B11DE">
              <w:rPr>
                <w:rFonts w:eastAsia="Calibri" w:cs="Arial"/>
                <w:b/>
                <w:szCs w:val="22"/>
                <w:lang w:val="en"/>
              </w:rPr>
              <w:t xml:space="preserve">Confirmed or presumptive </w:t>
            </w:r>
            <w:r>
              <w:rPr>
                <w:rFonts w:eastAsia="Calibri" w:cs="Arial"/>
                <w:b/>
                <w:szCs w:val="22"/>
                <w:lang w:val="en"/>
              </w:rPr>
              <w:t xml:space="preserve">COVID-19 </w:t>
            </w:r>
            <w:r w:rsidRPr="005B11DE">
              <w:rPr>
                <w:rFonts w:eastAsia="Calibri" w:cs="Arial"/>
                <w:b/>
                <w:szCs w:val="22"/>
                <w:lang w:val="en"/>
              </w:rPr>
              <w:t>positive samples</w:t>
            </w:r>
          </w:p>
        </w:tc>
        <w:tc>
          <w:tcPr>
            <w:tcW w:w="2835" w:type="dxa"/>
            <w:shd w:val="clear" w:color="auto" w:fill="F79646" w:themeFill="accent6"/>
            <w:tcMar>
              <w:top w:w="100" w:type="dxa"/>
              <w:left w:w="100" w:type="dxa"/>
              <w:bottom w:w="100" w:type="dxa"/>
              <w:right w:w="100" w:type="dxa"/>
            </w:tcMar>
            <w:vAlign w:val="center"/>
          </w:tcPr>
          <w:p w14:paraId="53846935" w14:textId="77777777" w:rsidR="00467724" w:rsidRPr="00EE0B42" w:rsidRDefault="00473B6E" w:rsidP="00467724">
            <w:pPr>
              <w:spacing w:before="0" w:after="0"/>
              <w:contextualSpacing/>
              <w:jc w:val="center"/>
              <w:rPr>
                <w:rFonts w:eastAsia="Calibri" w:cs="Arial"/>
                <w:b/>
                <w:szCs w:val="22"/>
                <w:lang w:val="en"/>
              </w:rPr>
            </w:pPr>
            <w:hyperlink w:anchor="_Research_activity_/" w:history="1">
              <w:r w:rsidR="00467724" w:rsidRPr="00EE0B42">
                <w:rPr>
                  <w:rStyle w:val="Hyperlink"/>
                  <w:rFonts w:eastAsia="Calibri" w:cs="Arial"/>
                  <w:b/>
                  <w:szCs w:val="22"/>
                  <w:lang w:val="en"/>
                </w:rPr>
                <w:t>Containment Level 3</w:t>
              </w:r>
            </w:hyperlink>
          </w:p>
        </w:tc>
        <w:tc>
          <w:tcPr>
            <w:tcW w:w="1937" w:type="dxa"/>
            <w:shd w:val="clear" w:color="auto" w:fill="F79646" w:themeFill="accent6"/>
            <w:tcMar>
              <w:top w:w="100" w:type="dxa"/>
              <w:left w:w="100" w:type="dxa"/>
              <w:bottom w:w="100" w:type="dxa"/>
              <w:right w:w="100" w:type="dxa"/>
            </w:tcMar>
            <w:vAlign w:val="center"/>
          </w:tcPr>
          <w:p w14:paraId="19C4E7B4" w14:textId="77777777" w:rsidR="00467724" w:rsidRPr="005B11DE" w:rsidRDefault="00473B6E" w:rsidP="00467724">
            <w:pPr>
              <w:spacing w:before="0" w:after="0"/>
              <w:contextualSpacing/>
              <w:jc w:val="center"/>
              <w:rPr>
                <w:rFonts w:eastAsia="Calibri" w:cs="Arial"/>
                <w:b/>
                <w:szCs w:val="22"/>
                <w:lang w:val="en"/>
              </w:rPr>
            </w:pPr>
            <w:hyperlink w:anchor="_Research_activity_/" w:history="1">
              <w:r w:rsidR="00467724" w:rsidRPr="00EE0B42">
                <w:rPr>
                  <w:rStyle w:val="Hyperlink"/>
                  <w:rFonts w:eastAsia="Calibri" w:cs="Arial"/>
                  <w:b/>
                  <w:szCs w:val="22"/>
                  <w:lang w:val="en"/>
                </w:rPr>
                <w:t>Containment Level 3</w:t>
              </w:r>
            </w:hyperlink>
          </w:p>
        </w:tc>
        <w:tc>
          <w:tcPr>
            <w:tcW w:w="1937" w:type="dxa"/>
            <w:shd w:val="clear" w:color="auto" w:fill="FDE9D9" w:themeFill="accent6" w:themeFillTint="33"/>
            <w:tcMar>
              <w:top w:w="100" w:type="dxa"/>
              <w:left w:w="100" w:type="dxa"/>
              <w:bottom w:w="100" w:type="dxa"/>
              <w:right w:w="100" w:type="dxa"/>
            </w:tcMar>
            <w:vAlign w:val="center"/>
          </w:tcPr>
          <w:p w14:paraId="31F9A8E0" w14:textId="11C9A294" w:rsidR="00467724" w:rsidRPr="005B11DE" w:rsidRDefault="00473B6E" w:rsidP="00467724">
            <w:pPr>
              <w:spacing w:before="0" w:after="0"/>
              <w:contextualSpacing/>
              <w:jc w:val="center"/>
              <w:rPr>
                <w:rFonts w:eastAsia="Calibri" w:cs="Arial"/>
                <w:b/>
                <w:szCs w:val="22"/>
                <w:lang w:val="en"/>
              </w:rPr>
            </w:pPr>
            <w:hyperlink r:id="rId17" w:history="1">
              <w:r w:rsidR="00467724" w:rsidRPr="00694937">
                <w:rPr>
                  <w:rStyle w:val="Hyperlink"/>
                  <w:rFonts w:eastAsia="Calibri" w:cs="Arial"/>
                  <w:szCs w:val="22"/>
                  <w:lang w:val="en"/>
                </w:rPr>
                <w:t>Containment Level 2</w:t>
              </w:r>
            </w:hyperlink>
          </w:p>
        </w:tc>
        <w:tc>
          <w:tcPr>
            <w:tcW w:w="1937" w:type="dxa"/>
            <w:shd w:val="clear" w:color="auto" w:fill="FDE9D9" w:themeFill="accent6" w:themeFillTint="33"/>
            <w:vAlign w:val="center"/>
          </w:tcPr>
          <w:p w14:paraId="062835C0" w14:textId="4D0D2D0D" w:rsidR="00467724" w:rsidRDefault="00473B6E" w:rsidP="00467724">
            <w:pPr>
              <w:spacing w:before="0" w:after="0"/>
              <w:contextualSpacing/>
              <w:jc w:val="center"/>
            </w:pPr>
            <w:hyperlink r:id="rId18" w:history="1">
              <w:r w:rsidR="00467724" w:rsidRPr="00694937">
                <w:rPr>
                  <w:rStyle w:val="Hyperlink"/>
                  <w:rFonts w:eastAsia="Calibri" w:cs="Arial"/>
                  <w:szCs w:val="22"/>
                  <w:lang w:val="en"/>
                </w:rPr>
                <w:t>Containment Level 2</w:t>
              </w:r>
            </w:hyperlink>
          </w:p>
        </w:tc>
        <w:tc>
          <w:tcPr>
            <w:tcW w:w="2127" w:type="dxa"/>
            <w:shd w:val="clear" w:color="auto" w:fill="F79646" w:themeFill="accent6"/>
            <w:tcMar>
              <w:top w:w="100" w:type="dxa"/>
              <w:left w:w="100" w:type="dxa"/>
              <w:bottom w:w="100" w:type="dxa"/>
              <w:right w:w="100" w:type="dxa"/>
            </w:tcMar>
            <w:vAlign w:val="center"/>
          </w:tcPr>
          <w:p w14:paraId="51D073F6" w14:textId="6CE41C8D" w:rsidR="00467724" w:rsidRPr="005B11DE" w:rsidRDefault="00473B6E" w:rsidP="00467724">
            <w:pPr>
              <w:spacing w:before="0" w:after="0"/>
              <w:contextualSpacing/>
              <w:jc w:val="center"/>
              <w:rPr>
                <w:rFonts w:eastAsia="Calibri" w:cs="Arial"/>
                <w:b/>
                <w:szCs w:val="22"/>
                <w:lang w:val="en"/>
              </w:rPr>
            </w:pPr>
            <w:hyperlink w:anchor="_Research_activity_/" w:history="1">
              <w:r w:rsidR="00467724" w:rsidRPr="00EE0B42">
                <w:rPr>
                  <w:rStyle w:val="Hyperlink"/>
                  <w:rFonts w:eastAsia="Calibri" w:cs="Arial"/>
                  <w:b/>
                  <w:szCs w:val="22"/>
                  <w:lang w:val="en"/>
                </w:rPr>
                <w:t>Containment Level 3</w:t>
              </w:r>
            </w:hyperlink>
          </w:p>
        </w:tc>
      </w:tr>
      <w:tr w:rsidR="00467724" w:rsidRPr="008E4058" w14:paraId="2AFAC50A" w14:textId="77777777" w:rsidTr="00467724">
        <w:tc>
          <w:tcPr>
            <w:tcW w:w="2684" w:type="dxa"/>
            <w:shd w:val="clear" w:color="auto" w:fill="auto"/>
            <w:tcMar>
              <w:top w:w="100" w:type="dxa"/>
              <w:left w:w="100" w:type="dxa"/>
              <w:bottom w:w="100" w:type="dxa"/>
              <w:right w:w="100" w:type="dxa"/>
            </w:tcMar>
            <w:vAlign w:val="center"/>
          </w:tcPr>
          <w:p w14:paraId="4F57C0F7" w14:textId="77777777" w:rsidR="00467724" w:rsidRPr="008E4058" w:rsidRDefault="00467724" w:rsidP="00467724">
            <w:pPr>
              <w:spacing w:before="0" w:after="0"/>
              <w:contextualSpacing/>
              <w:rPr>
                <w:rFonts w:eastAsia="Calibri" w:cs="Arial"/>
                <w:b/>
                <w:szCs w:val="22"/>
                <w:lang w:val="en"/>
              </w:rPr>
            </w:pPr>
            <w:r w:rsidRPr="008E4058">
              <w:rPr>
                <w:rFonts w:eastAsia="Calibri" w:cs="Arial"/>
                <w:b/>
                <w:szCs w:val="22"/>
                <w:lang w:val="en"/>
              </w:rPr>
              <w:t>Samples from people of unknown status</w:t>
            </w:r>
          </w:p>
        </w:tc>
        <w:tc>
          <w:tcPr>
            <w:tcW w:w="2835" w:type="dxa"/>
            <w:shd w:val="clear" w:color="auto" w:fill="F79646" w:themeFill="accent6"/>
            <w:tcMar>
              <w:top w:w="100" w:type="dxa"/>
              <w:left w:w="100" w:type="dxa"/>
              <w:bottom w:w="100" w:type="dxa"/>
              <w:right w:w="100" w:type="dxa"/>
            </w:tcMar>
            <w:vAlign w:val="center"/>
          </w:tcPr>
          <w:p w14:paraId="749295B3" w14:textId="77777777" w:rsidR="00467724" w:rsidRPr="008E4058" w:rsidRDefault="00473B6E" w:rsidP="00467724">
            <w:pPr>
              <w:spacing w:before="0" w:after="0"/>
              <w:contextualSpacing/>
              <w:jc w:val="center"/>
              <w:rPr>
                <w:rFonts w:eastAsia="Calibri" w:cs="Arial"/>
                <w:b/>
                <w:szCs w:val="22"/>
                <w:lang w:val="en"/>
              </w:rPr>
            </w:pPr>
            <w:hyperlink w:anchor="_Research_activity_/" w:history="1">
              <w:r w:rsidR="00467724" w:rsidRPr="00EE0B42">
                <w:rPr>
                  <w:rStyle w:val="Hyperlink"/>
                  <w:rFonts w:eastAsia="Calibri" w:cs="Arial"/>
                  <w:b/>
                  <w:szCs w:val="22"/>
                  <w:lang w:val="en"/>
                </w:rPr>
                <w:t>Containment Level 3</w:t>
              </w:r>
            </w:hyperlink>
          </w:p>
        </w:tc>
        <w:tc>
          <w:tcPr>
            <w:tcW w:w="1937" w:type="dxa"/>
            <w:shd w:val="clear" w:color="auto" w:fill="F79646" w:themeFill="accent6"/>
            <w:tcMar>
              <w:top w:w="100" w:type="dxa"/>
              <w:left w:w="100" w:type="dxa"/>
              <w:bottom w:w="100" w:type="dxa"/>
              <w:right w:w="100" w:type="dxa"/>
            </w:tcMar>
            <w:vAlign w:val="center"/>
          </w:tcPr>
          <w:p w14:paraId="3685E94B" w14:textId="77777777" w:rsidR="00467724" w:rsidRPr="008E4058" w:rsidRDefault="00473B6E" w:rsidP="00467724">
            <w:pPr>
              <w:spacing w:before="0" w:after="0"/>
              <w:contextualSpacing/>
              <w:jc w:val="center"/>
              <w:rPr>
                <w:rFonts w:eastAsia="Calibri" w:cs="Arial"/>
                <w:b/>
                <w:szCs w:val="22"/>
                <w:lang w:val="en"/>
              </w:rPr>
            </w:pPr>
            <w:hyperlink w:anchor="_Research_activity_/" w:history="1">
              <w:r w:rsidR="00467724" w:rsidRPr="00EE0B42">
                <w:rPr>
                  <w:rStyle w:val="Hyperlink"/>
                  <w:rFonts w:eastAsia="Calibri" w:cs="Arial"/>
                  <w:b/>
                  <w:szCs w:val="22"/>
                  <w:lang w:val="en"/>
                </w:rPr>
                <w:t>Containment Level 3</w:t>
              </w:r>
            </w:hyperlink>
          </w:p>
        </w:tc>
        <w:tc>
          <w:tcPr>
            <w:tcW w:w="1937" w:type="dxa"/>
            <w:shd w:val="clear" w:color="auto" w:fill="FDE9D9" w:themeFill="accent6" w:themeFillTint="33"/>
            <w:tcMar>
              <w:top w:w="100" w:type="dxa"/>
              <w:left w:w="100" w:type="dxa"/>
              <w:bottom w:w="100" w:type="dxa"/>
              <w:right w:w="100" w:type="dxa"/>
            </w:tcMar>
            <w:vAlign w:val="center"/>
          </w:tcPr>
          <w:p w14:paraId="4A53A010" w14:textId="2DE95C5B" w:rsidR="00467724" w:rsidRPr="008E4058" w:rsidRDefault="00473B6E" w:rsidP="00467724">
            <w:pPr>
              <w:spacing w:before="0" w:after="0"/>
              <w:contextualSpacing/>
              <w:jc w:val="center"/>
              <w:rPr>
                <w:rFonts w:eastAsia="Calibri" w:cs="Arial"/>
                <w:szCs w:val="22"/>
                <w:lang w:val="en"/>
              </w:rPr>
            </w:pPr>
            <w:hyperlink r:id="rId19" w:history="1">
              <w:r w:rsidR="00467724" w:rsidRPr="00694937">
                <w:rPr>
                  <w:rStyle w:val="Hyperlink"/>
                  <w:rFonts w:eastAsia="Calibri" w:cs="Arial"/>
                  <w:szCs w:val="22"/>
                  <w:lang w:val="en"/>
                </w:rPr>
                <w:t>Containment Level 2</w:t>
              </w:r>
            </w:hyperlink>
          </w:p>
        </w:tc>
        <w:tc>
          <w:tcPr>
            <w:tcW w:w="1937" w:type="dxa"/>
            <w:shd w:val="clear" w:color="auto" w:fill="FDE9D9" w:themeFill="accent6" w:themeFillTint="33"/>
            <w:vAlign w:val="center"/>
          </w:tcPr>
          <w:p w14:paraId="330DFAE1" w14:textId="0D862856" w:rsidR="00467724" w:rsidRPr="008E4058" w:rsidRDefault="00473B6E" w:rsidP="00467724">
            <w:pPr>
              <w:spacing w:before="0" w:after="0"/>
              <w:contextualSpacing/>
              <w:jc w:val="center"/>
              <w:rPr>
                <w:rFonts w:eastAsia="Calibri" w:cs="Arial"/>
                <w:szCs w:val="22"/>
                <w:lang w:val="en"/>
              </w:rPr>
            </w:pPr>
            <w:hyperlink r:id="rId20" w:history="1">
              <w:r w:rsidR="00467724" w:rsidRPr="00694937">
                <w:rPr>
                  <w:rStyle w:val="Hyperlink"/>
                  <w:rFonts w:eastAsia="Calibri" w:cs="Arial"/>
                  <w:szCs w:val="22"/>
                  <w:lang w:val="en"/>
                </w:rPr>
                <w:t>Containment Level 2</w:t>
              </w:r>
            </w:hyperlink>
          </w:p>
        </w:tc>
        <w:tc>
          <w:tcPr>
            <w:tcW w:w="2127" w:type="dxa"/>
            <w:shd w:val="clear" w:color="auto" w:fill="D9D9D9"/>
            <w:tcMar>
              <w:top w:w="100" w:type="dxa"/>
              <w:left w:w="100" w:type="dxa"/>
              <w:bottom w:w="100" w:type="dxa"/>
              <w:right w:w="100" w:type="dxa"/>
            </w:tcMar>
            <w:vAlign w:val="center"/>
          </w:tcPr>
          <w:p w14:paraId="05305A09" w14:textId="0144502A" w:rsidR="00467724" w:rsidRPr="008E4058" w:rsidRDefault="00467724" w:rsidP="00467724">
            <w:pPr>
              <w:spacing w:before="0" w:after="0"/>
              <w:contextualSpacing/>
              <w:jc w:val="center"/>
              <w:rPr>
                <w:rFonts w:eastAsia="Calibri" w:cs="Arial"/>
                <w:szCs w:val="22"/>
                <w:lang w:val="en"/>
              </w:rPr>
            </w:pPr>
            <w:r>
              <w:rPr>
                <w:rFonts w:eastAsia="Calibri" w:cs="Arial"/>
                <w:szCs w:val="22"/>
                <w:lang w:val="en"/>
              </w:rPr>
              <w:t xml:space="preserve">Containment Level 3 </w:t>
            </w:r>
            <w:r w:rsidRPr="008E4058">
              <w:rPr>
                <w:rFonts w:eastAsia="Calibri" w:cs="Arial"/>
                <w:szCs w:val="22"/>
                <w:lang w:val="en"/>
              </w:rPr>
              <w:t>unless evidence otherwise</w:t>
            </w:r>
          </w:p>
        </w:tc>
      </w:tr>
      <w:tr w:rsidR="00467724" w:rsidRPr="005B11DE" w14:paraId="62F0A92F" w14:textId="77777777" w:rsidTr="00467724">
        <w:tc>
          <w:tcPr>
            <w:tcW w:w="2684" w:type="dxa"/>
            <w:shd w:val="clear" w:color="auto" w:fill="auto"/>
            <w:tcMar>
              <w:top w:w="100" w:type="dxa"/>
              <w:left w:w="100" w:type="dxa"/>
              <w:bottom w:w="100" w:type="dxa"/>
              <w:right w:w="100" w:type="dxa"/>
            </w:tcMar>
            <w:vAlign w:val="center"/>
          </w:tcPr>
          <w:p w14:paraId="7165EC31" w14:textId="77777777" w:rsidR="00467724" w:rsidRPr="005B11DE" w:rsidRDefault="00467724" w:rsidP="00467724">
            <w:pPr>
              <w:spacing w:before="0" w:after="0"/>
              <w:contextualSpacing/>
              <w:rPr>
                <w:rFonts w:eastAsia="Calibri" w:cs="Arial"/>
                <w:b/>
                <w:szCs w:val="22"/>
                <w:lang w:val="en"/>
              </w:rPr>
            </w:pPr>
            <w:r w:rsidRPr="005B11DE">
              <w:rPr>
                <w:rFonts w:eastAsia="Calibri" w:cs="Arial"/>
                <w:b/>
                <w:szCs w:val="22"/>
                <w:lang w:val="en"/>
              </w:rPr>
              <w:t xml:space="preserve">Convalescent or recovered </w:t>
            </w:r>
            <w:r>
              <w:rPr>
                <w:rFonts w:eastAsia="Calibri" w:cs="Arial"/>
                <w:b/>
                <w:szCs w:val="22"/>
                <w:lang w:val="en"/>
              </w:rPr>
              <w:t xml:space="preserve">COVID-19 </w:t>
            </w:r>
            <w:r w:rsidRPr="005B11DE">
              <w:rPr>
                <w:rFonts w:eastAsia="Calibri" w:cs="Arial"/>
                <w:b/>
                <w:szCs w:val="22"/>
                <w:lang w:val="en"/>
              </w:rPr>
              <w:t>patient samples (without negative test results)</w:t>
            </w:r>
          </w:p>
        </w:tc>
        <w:tc>
          <w:tcPr>
            <w:tcW w:w="2835" w:type="dxa"/>
            <w:shd w:val="clear" w:color="auto" w:fill="FABF8F" w:themeFill="accent6" w:themeFillTint="99"/>
            <w:tcMar>
              <w:top w:w="100" w:type="dxa"/>
              <w:left w:w="100" w:type="dxa"/>
              <w:bottom w:w="100" w:type="dxa"/>
              <w:right w:w="100" w:type="dxa"/>
            </w:tcMar>
            <w:vAlign w:val="center"/>
          </w:tcPr>
          <w:p w14:paraId="7C1343ED" w14:textId="64C9127F" w:rsidR="00467724" w:rsidRPr="00EE0B42" w:rsidRDefault="00467724" w:rsidP="00467724">
            <w:pPr>
              <w:spacing w:before="0" w:after="0"/>
              <w:contextualSpacing/>
              <w:jc w:val="center"/>
              <w:rPr>
                <w:rStyle w:val="Hyperlink"/>
                <w:rFonts w:eastAsia="Calibri" w:cs="Arial"/>
                <w:szCs w:val="22"/>
                <w:lang w:val="en"/>
              </w:rPr>
            </w:pPr>
            <w:r>
              <w:rPr>
                <w:rFonts w:eastAsia="Calibri" w:cs="Arial"/>
                <w:color w:val="FF0000"/>
                <w:szCs w:val="22"/>
                <w:lang w:val="en"/>
              </w:rPr>
              <w:fldChar w:fldCharType="begin"/>
            </w:r>
            <w:r w:rsidR="009415B3">
              <w:rPr>
                <w:rFonts w:eastAsia="Calibri" w:cs="Arial"/>
                <w:color w:val="FF0000"/>
                <w:szCs w:val="22"/>
                <w:lang w:val="en"/>
              </w:rPr>
              <w:instrText>HYPERLINK  \l "_Research_with_blood"</w:instrText>
            </w:r>
            <w:r>
              <w:rPr>
                <w:rFonts w:eastAsia="Calibri" w:cs="Arial"/>
                <w:color w:val="FF0000"/>
                <w:szCs w:val="22"/>
                <w:lang w:val="en"/>
              </w:rPr>
              <w:fldChar w:fldCharType="separate"/>
            </w:r>
            <w:r w:rsidRPr="00EE0B42">
              <w:rPr>
                <w:rStyle w:val="Hyperlink"/>
                <w:rFonts w:eastAsia="Calibri" w:cs="Arial"/>
                <w:szCs w:val="22"/>
                <w:lang w:val="en"/>
              </w:rPr>
              <w:t xml:space="preserve">Containment Level 2 </w:t>
            </w:r>
          </w:p>
          <w:p w14:paraId="6E2312A7" w14:textId="7C21DE6C" w:rsidR="00467724" w:rsidRPr="005B11DE" w:rsidRDefault="00467724" w:rsidP="00467724">
            <w:pPr>
              <w:spacing w:before="0" w:after="0"/>
              <w:contextualSpacing/>
              <w:jc w:val="center"/>
              <w:rPr>
                <w:rFonts w:eastAsia="Calibri" w:cs="Arial"/>
                <w:b/>
                <w:szCs w:val="22"/>
                <w:lang w:val="en"/>
              </w:rPr>
            </w:pPr>
            <w:r w:rsidRPr="00EE0B42">
              <w:rPr>
                <w:rStyle w:val="Hyperlink"/>
                <w:rFonts w:eastAsia="Calibri" w:cs="Arial"/>
                <w:b/>
                <w:szCs w:val="22"/>
                <w:lang w:val="en"/>
              </w:rPr>
              <w:t>IF</w:t>
            </w:r>
            <w:r>
              <w:rPr>
                <w:rStyle w:val="Hyperlink"/>
                <w:rFonts w:eastAsia="Calibri" w:cs="Arial"/>
                <w:szCs w:val="22"/>
                <w:lang w:val="en"/>
              </w:rPr>
              <w:t xml:space="preserve"> &gt;42 days (6</w:t>
            </w:r>
            <w:r w:rsidRPr="00EE0B42">
              <w:rPr>
                <w:rStyle w:val="Hyperlink"/>
                <w:rFonts w:eastAsia="Calibri" w:cs="Arial"/>
                <w:szCs w:val="22"/>
                <w:lang w:val="en"/>
              </w:rPr>
              <w:t xml:space="preserve"> weeks) after onset of symptoms </w:t>
            </w:r>
            <w:r w:rsidRPr="00EE0B42">
              <w:rPr>
                <w:rStyle w:val="Hyperlink"/>
                <w:rFonts w:eastAsia="Calibri" w:cs="Arial"/>
                <w:b/>
                <w:szCs w:val="22"/>
                <w:lang w:val="en"/>
              </w:rPr>
              <w:t>AND</w:t>
            </w:r>
            <w:r w:rsidRPr="00EE0B42">
              <w:rPr>
                <w:rStyle w:val="Hyperlink"/>
                <w:rFonts w:eastAsia="Calibri" w:cs="Arial"/>
                <w:szCs w:val="22"/>
                <w:lang w:val="en"/>
              </w:rPr>
              <w:t xml:space="preserve"> if asymptomatic</w:t>
            </w:r>
            <w:r>
              <w:rPr>
                <w:rFonts w:eastAsia="Calibri" w:cs="Arial"/>
                <w:color w:val="FF0000"/>
                <w:szCs w:val="22"/>
                <w:lang w:val="en"/>
              </w:rPr>
              <w:fldChar w:fldCharType="end"/>
            </w:r>
          </w:p>
        </w:tc>
        <w:tc>
          <w:tcPr>
            <w:tcW w:w="1937" w:type="dxa"/>
            <w:shd w:val="clear" w:color="auto" w:fill="F79646" w:themeFill="accent6"/>
            <w:tcMar>
              <w:top w:w="100" w:type="dxa"/>
              <w:left w:w="100" w:type="dxa"/>
              <w:bottom w:w="100" w:type="dxa"/>
              <w:right w:w="100" w:type="dxa"/>
            </w:tcMar>
            <w:vAlign w:val="center"/>
          </w:tcPr>
          <w:p w14:paraId="528F7E70" w14:textId="77777777" w:rsidR="00467724" w:rsidRPr="005B11DE" w:rsidRDefault="00473B6E" w:rsidP="00467724">
            <w:pPr>
              <w:spacing w:before="0" w:after="0"/>
              <w:contextualSpacing/>
              <w:jc w:val="center"/>
              <w:rPr>
                <w:rFonts w:eastAsia="Calibri" w:cs="Arial"/>
                <w:b/>
                <w:szCs w:val="22"/>
                <w:lang w:val="en"/>
              </w:rPr>
            </w:pPr>
            <w:hyperlink w:anchor="_Research_activity_/" w:history="1">
              <w:r w:rsidR="00467724" w:rsidRPr="00EE0B42">
                <w:rPr>
                  <w:rStyle w:val="Hyperlink"/>
                  <w:rFonts w:eastAsia="Calibri" w:cs="Arial"/>
                  <w:b/>
                  <w:szCs w:val="22"/>
                  <w:lang w:val="en"/>
                </w:rPr>
                <w:t>Containment Level 3</w:t>
              </w:r>
            </w:hyperlink>
          </w:p>
        </w:tc>
        <w:tc>
          <w:tcPr>
            <w:tcW w:w="1937" w:type="dxa"/>
            <w:shd w:val="clear" w:color="auto" w:fill="FDE9D9" w:themeFill="accent6" w:themeFillTint="33"/>
            <w:tcMar>
              <w:top w:w="100" w:type="dxa"/>
              <w:left w:w="100" w:type="dxa"/>
              <w:bottom w:w="100" w:type="dxa"/>
              <w:right w:w="100" w:type="dxa"/>
            </w:tcMar>
            <w:vAlign w:val="center"/>
          </w:tcPr>
          <w:p w14:paraId="203C0DBC" w14:textId="3D911FD6" w:rsidR="00467724" w:rsidRPr="00681AF2" w:rsidRDefault="00473B6E" w:rsidP="00467724">
            <w:pPr>
              <w:spacing w:before="0" w:after="0"/>
              <w:contextualSpacing/>
              <w:jc w:val="center"/>
              <w:rPr>
                <w:rFonts w:eastAsia="Calibri" w:cs="Arial"/>
                <w:color w:val="FF0000"/>
                <w:szCs w:val="22"/>
                <w:lang w:val="en"/>
              </w:rPr>
            </w:pPr>
            <w:hyperlink r:id="rId21" w:history="1">
              <w:r w:rsidR="00467724" w:rsidRPr="00694937">
                <w:rPr>
                  <w:rStyle w:val="Hyperlink"/>
                  <w:rFonts w:eastAsia="Calibri" w:cs="Arial"/>
                  <w:szCs w:val="22"/>
                  <w:lang w:val="en"/>
                </w:rPr>
                <w:t>Containment Level 2</w:t>
              </w:r>
            </w:hyperlink>
          </w:p>
        </w:tc>
        <w:tc>
          <w:tcPr>
            <w:tcW w:w="1937" w:type="dxa"/>
            <w:shd w:val="clear" w:color="auto" w:fill="FDE9D9" w:themeFill="accent6" w:themeFillTint="33"/>
            <w:vAlign w:val="center"/>
          </w:tcPr>
          <w:p w14:paraId="4F44D749" w14:textId="6EC63232" w:rsidR="00467724" w:rsidRPr="005B11DE" w:rsidRDefault="00473B6E" w:rsidP="00467724">
            <w:pPr>
              <w:spacing w:before="0" w:after="0"/>
              <w:contextualSpacing/>
              <w:jc w:val="center"/>
              <w:rPr>
                <w:rFonts w:eastAsia="Calibri" w:cs="Arial"/>
                <w:szCs w:val="22"/>
                <w:lang w:val="en"/>
              </w:rPr>
            </w:pPr>
            <w:hyperlink r:id="rId22" w:history="1">
              <w:r w:rsidR="00467724" w:rsidRPr="00694937">
                <w:rPr>
                  <w:rStyle w:val="Hyperlink"/>
                  <w:rFonts w:eastAsia="Calibri" w:cs="Arial"/>
                  <w:szCs w:val="22"/>
                  <w:lang w:val="en"/>
                </w:rPr>
                <w:t>Containment Level 2</w:t>
              </w:r>
            </w:hyperlink>
          </w:p>
        </w:tc>
        <w:tc>
          <w:tcPr>
            <w:tcW w:w="2127" w:type="dxa"/>
            <w:shd w:val="clear" w:color="auto" w:fill="D9D9D9"/>
            <w:tcMar>
              <w:top w:w="100" w:type="dxa"/>
              <w:left w:w="100" w:type="dxa"/>
              <w:bottom w:w="100" w:type="dxa"/>
              <w:right w:w="100" w:type="dxa"/>
            </w:tcMar>
            <w:vAlign w:val="center"/>
          </w:tcPr>
          <w:p w14:paraId="3AE79FF7" w14:textId="3A5E508C" w:rsidR="00467724" w:rsidRPr="005B11DE" w:rsidRDefault="00467724" w:rsidP="00467724">
            <w:pPr>
              <w:spacing w:before="0" w:after="0"/>
              <w:contextualSpacing/>
              <w:jc w:val="center"/>
              <w:rPr>
                <w:rFonts w:eastAsia="Calibri" w:cs="Arial"/>
                <w:szCs w:val="22"/>
                <w:lang w:val="en"/>
              </w:rPr>
            </w:pPr>
            <w:r w:rsidRPr="005B11DE">
              <w:rPr>
                <w:rFonts w:eastAsia="Calibri" w:cs="Arial"/>
                <w:szCs w:val="22"/>
                <w:lang w:val="en"/>
              </w:rPr>
              <w:t>Containment Level 3 unless evidence otherwise</w:t>
            </w:r>
          </w:p>
        </w:tc>
      </w:tr>
      <w:tr w:rsidR="00467724" w:rsidRPr="005B11DE" w14:paraId="65FB6801" w14:textId="77777777" w:rsidTr="00467724">
        <w:tc>
          <w:tcPr>
            <w:tcW w:w="2684" w:type="dxa"/>
            <w:shd w:val="clear" w:color="auto" w:fill="auto"/>
            <w:tcMar>
              <w:top w:w="100" w:type="dxa"/>
              <w:left w:w="100" w:type="dxa"/>
              <w:bottom w:w="100" w:type="dxa"/>
              <w:right w:w="100" w:type="dxa"/>
            </w:tcMar>
            <w:vAlign w:val="center"/>
          </w:tcPr>
          <w:p w14:paraId="459763D7" w14:textId="77777777" w:rsidR="00467724" w:rsidRPr="005B11DE" w:rsidRDefault="00467724" w:rsidP="00467724">
            <w:pPr>
              <w:spacing w:before="0" w:after="0"/>
              <w:contextualSpacing/>
              <w:rPr>
                <w:rFonts w:eastAsia="Calibri" w:cs="Arial"/>
                <w:b/>
                <w:szCs w:val="22"/>
                <w:lang w:val="en"/>
              </w:rPr>
            </w:pPr>
            <w:r w:rsidRPr="005B11DE">
              <w:rPr>
                <w:rFonts w:eastAsia="Calibri" w:cs="Arial"/>
                <w:b/>
                <w:szCs w:val="22"/>
                <w:lang w:val="en"/>
              </w:rPr>
              <w:t xml:space="preserve">Confirmed </w:t>
            </w:r>
            <w:r>
              <w:rPr>
                <w:rFonts w:eastAsia="Calibri" w:cs="Arial"/>
                <w:b/>
                <w:szCs w:val="22"/>
                <w:lang w:val="en"/>
              </w:rPr>
              <w:t xml:space="preserve">COVID-19 </w:t>
            </w:r>
            <w:r w:rsidRPr="005B11DE">
              <w:rPr>
                <w:rFonts w:eastAsia="Calibri" w:cs="Arial"/>
                <w:b/>
                <w:szCs w:val="22"/>
                <w:lang w:val="en"/>
              </w:rPr>
              <w:t>negative samples</w:t>
            </w:r>
          </w:p>
        </w:tc>
        <w:tc>
          <w:tcPr>
            <w:tcW w:w="2835" w:type="dxa"/>
            <w:shd w:val="clear" w:color="auto" w:fill="FDE9D9" w:themeFill="accent6" w:themeFillTint="33"/>
            <w:tcMar>
              <w:top w:w="100" w:type="dxa"/>
              <w:left w:w="100" w:type="dxa"/>
              <w:bottom w:w="100" w:type="dxa"/>
              <w:right w:w="100" w:type="dxa"/>
            </w:tcMar>
            <w:vAlign w:val="center"/>
          </w:tcPr>
          <w:p w14:paraId="5BDDFAEE" w14:textId="35FAF289"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c>
          <w:tcPr>
            <w:tcW w:w="1937" w:type="dxa"/>
            <w:shd w:val="clear" w:color="auto" w:fill="FDE9D9" w:themeFill="accent6" w:themeFillTint="33"/>
            <w:tcMar>
              <w:top w:w="100" w:type="dxa"/>
              <w:left w:w="100" w:type="dxa"/>
              <w:bottom w:w="100" w:type="dxa"/>
              <w:right w:w="100" w:type="dxa"/>
            </w:tcMar>
            <w:vAlign w:val="center"/>
          </w:tcPr>
          <w:p w14:paraId="6DF075C4" w14:textId="77777777"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c>
          <w:tcPr>
            <w:tcW w:w="1937" w:type="dxa"/>
            <w:shd w:val="clear" w:color="auto" w:fill="FDE9D9" w:themeFill="accent6" w:themeFillTint="33"/>
            <w:tcMar>
              <w:top w:w="100" w:type="dxa"/>
              <w:left w:w="100" w:type="dxa"/>
              <w:bottom w:w="100" w:type="dxa"/>
              <w:right w:w="100" w:type="dxa"/>
            </w:tcMar>
            <w:vAlign w:val="center"/>
          </w:tcPr>
          <w:p w14:paraId="3CE2E354" w14:textId="77777777"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c>
          <w:tcPr>
            <w:tcW w:w="1937" w:type="dxa"/>
            <w:shd w:val="clear" w:color="auto" w:fill="FDE9D9" w:themeFill="accent6" w:themeFillTint="33"/>
            <w:vAlign w:val="center"/>
          </w:tcPr>
          <w:p w14:paraId="751539FC" w14:textId="4480A8E4" w:rsidR="00467724" w:rsidRDefault="00473B6E" w:rsidP="00467724">
            <w:pPr>
              <w:spacing w:before="0" w:after="0"/>
              <w:contextualSpacing/>
              <w:jc w:val="center"/>
            </w:pPr>
            <w:hyperlink w:anchor="_Research_with_blood" w:history="1">
              <w:r w:rsidR="00467724" w:rsidRPr="00EE0B42">
                <w:rPr>
                  <w:rStyle w:val="Hyperlink"/>
                  <w:rFonts w:eastAsia="Calibri" w:cs="Arial"/>
                  <w:szCs w:val="22"/>
                  <w:lang w:val="en"/>
                </w:rPr>
                <w:t>Containment Level 2</w:t>
              </w:r>
            </w:hyperlink>
          </w:p>
        </w:tc>
        <w:tc>
          <w:tcPr>
            <w:tcW w:w="2127" w:type="dxa"/>
            <w:shd w:val="clear" w:color="auto" w:fill="FDE9D9" w:themeFill="accent6" w:themeFillTint="33"/>
            <w:tcMar>
              <w:top w:w="100" w:type="dxa"/>
              <w:left w:w="100" w:type="dxa"/>
              <w:bottom w:w="100" w:type="dxa"/>
              <w:right w:w="100" w:type="dxa"/>
            </w:tcMar>
            <w:vAlign w:val="center"/>
          </w:tcPr>
          <w:p w14:paraId="6737E28F" w14:textId="1F03EFDA"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r>
      <w:tr w:rsidR="00467724" w:rsidRPr="005B11DE" w14:paraId="0E8001CC" w14:textId="77777777" w:rsidTr="00467724">
        <w:tc>
          <w:tcPr>
            <w:tcW w:w="2684" w:type="dxa"/>
            <w:shd w:val="clear" w:color="auto" w:fill="auto"/>
            <w:tcMar>
              <w:top w:w="100" w:type="dxa"/>
              <w:left w:w="100" w:type="dxa"/>
              <w:bottom w:w="100" w:type="dxa"/>
              <w:right w:w="100" w:type="dxa"/>
            </w:tcMar>
            <w:vAlign w:val="center"/>
          </w:tcPr>
          <w:p w14:paraId="78D1E951" w14:textId="77777777" w:rsidR="00467724" w:rsidRPr="005B11DE" w:rsidRDefault="00467724" w:rsidP="00467724">
            <w:pPr>
              <w:spacing w:before="0" w:after="0"/>
              <w:contextualSpacing/>
              <w:rPr>
                <w:rFonts w:eastAsia="Calibri" w:cs="Arial"/>
                <w:b/>
                <w:szCs w:val="22"/>
                <w:lang w:val="en"/>
              </w:rPr>
            </w:pPr>
            <w:r w:rsidRPr="005B11DE">
              <w:rPr>
                <w:rFonts w:eastAsia="Calibri" w:cs="Arial"/>
                <w:b/>
                <w:szCs w:val="22"/>
                <w:lang w:val="en"/>
              </w:rPr>
              <w:t>Inactivated samples*</w:t>
            </w:r>
          </w:p>
        </w:tc>
        <w:tc>
          <w:tcPr>
            <w:tcW w:w="2835" w:type="dxa"/>
            <w:shd w:val="clear" w:color="auto" w:fill="FDE9D9" w:themeFill="accent6" w:themeFillTint="33"/>
            <w:tcMar>
              <w:top w:w="100" w:type="dxa"/>
              <w:left w:w="100" w:type="dxa"/>
              <w:bottom w:w="100" w:type="dxa"/>
              <w:right w:w="100" w:type="dxa"/>
            </w:tcMar>
            <w:vAlign w:val="center"/>
          </w:tcPr>
          <w:p w14:paraId="27F0CB67" w14:textId="77777777"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c>
          <w:tcPr>
            <w:tcW w:w="1937" w:type="dxa"/>
            <w:shd w:val="clear" w:color="auto" w:fill="FDE9D9" w:themeFill="accent6" w:themeFillTint="33"/>
            <w:tcMar>
              <w:top w:w="100" w:type="dxa"/>
              <w:left w:w="100" w:type="dxa"/>
              <w:bottom w:w="100" w:type="dxa"/>
              <w:right w:w="100" w:type="dxa"/>
            </w:tcMar>
            <w:vAlign w:val="center"/>
          </w:tcPr>
          <w:p w14:paraId="5BB7F560" w14:textId="77777777"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c>
          <w:tcPr>
            <w:tcW w:w="1937" w:type="dxa"/>
            <w:shd w:val="clear" w:color="auto" w:fill="FDE9D9" w:themeFill="accent6" w:themeFillTint="33"/>
            <w:tcMar>
              <w:top w:w="100" w:type="dxa"/>
              <w:left w:w="100" w:type="dxa"/>
              <w:bottom w:w="100" w:type="dxa"/>
              <w:right w:w="100" w:type="dxa"/>
            </w:tcMar>
            <w:vAlign w:val="center"/>
          </w:tcPr>
          <w:p w14:paraId="3B4D3E3D" w14:textId="77777777"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c>
          <w:tcPr>
            <w:tcW w:w="1937" w:type="dxa"/>
            <w:shd w:val="clear" w:color="auto" w:fill="FDE9D9" w:themeFill="accent6" w:themeFillTint="33"/>
            <w:vAlign w:val="center"/>
          </w:tcPr>
          <w:p w14:paraId="250072DC" w14:textId="16DC0F11" w:rsidR="00467724" w:rsidRDefault="00473B6E" w:rsidP="00467724">
            <w:pPr>
              <w:spacing w:before="0" w:after="0"/>
              <w:contextualSpacing/>
              <w:jc w:val="center"/>
            </w:pPr>
            <w:hyperlink w:anchor="_Research_with_blood" w:history="1">
              <w:r w:rsidR="00467724" w:rsidRPr="00EE0B42">
                <w:rPr>
                  <w:rStyle w:val="Hyperlink"/>
                  <w:rFonts w:eastAsia="Calibri" w:cs="Arial"/>
                  <w:szCs w:val="22"/>
                  <w:lang w:val="en"/>
                </w:rPr>
                <w:t>Containment Level 2</w:t>
              </w:r>
            </w:hyperlink>
          </w:p>
        </w:tc>
        <w:tc>
          <w:tcPr>
            <w:tcW w:w="2127" w:type="dxa"/>
            <w:shd w:val="clear" w:color="auto" w:fill="FDE9D9" w:themeFill="accent6" w:themeFillTint="33"/>
            <w:tcMar>
              <w:top w:w="100" w:type="dxa"/>
              <w:left w:w="100" w:type="dxa"/>
              <w:bottom w:w="100" w:type="dxa"/>
              <w:right w:w="100" w:type="dxa"/>
            </w:tcMar>
            <w:vAlign w:val="center"/>
          </w:tcPr>
          <w:p w14:paraId="1D598640" w14:textId="4A5E76CD" w:rsidR="00467724" w:rsidRPr="005B11DE" w:rsidRDefault="00473B6E" w:rsidP="00467724">
            <w:pPr>
              <w:spacing w:before="0" w:after="0"/>
              <w:contextualSpacing/>
              <w:jc w:val="center"/>
              <w:rPr>
                <w:rFonts w:eastAsia="Calibri" w:cs="Arial"/>
                <w:szCs w:val="22"/>
                <w:lang w:val="en"/>
              </w:rPr>
            </w:pPr>
            <w:hyperlink w:anchor="_Research_with_blood" w:history="1">
              <w:r w:rsidR="00467724" w:rsidRPr="00EE0B42">
                <w:rPr>
                  <w:rStyle w:val="Hyperlink"/>
                  <w:rFonts w:eastAsia="Calibri" w:cs="Arial"/>
                  <w:szCs w:val="22"/>
                  <w:lang w:val="en"/>
                </w:rPr>
                <w:t>Containment Level 2</w:t>
              </w:r>
            </w:hyperlink>
          </w:p>
        </w:tc>
      </w:tr>
    </w:tbl>
    <w:p w14:paraId="5FD19998" w14:textId="77777777" w:rsidR="00EF0092" w:rsidRPr="00EE0B42" w:rsidRDefault="00EF0092" w:rsidP="00EF0092">
      <w:pPr>
        <w:rPr>
          <w:sz w:val="20"/>
        </w:rPr>
      </w:pPr>
      <w:r w:rsidRPr="00EE0B42">
        <w:rPr>
          <w:sz w:val="20"/>
        </w:rPr>
        <w:t xml:space="preserve">*Includes inactivation on collection (e.g. blood samples in Tempus tubes), inactivation post-collection, </w:t>
      </w:r>
      <w:proofErr w:type="gramStart"/>
      <w:r w:rsidRPr="00EE0B42">
        <w:rPr>
          <w:sz w:val="20"/>
        </w:rPr>
        <w:t>fixation</w:t>
      </w:r>
      <w:proofErr w:type="gramEnd"/>
      <w:r w:rsidRPr="00EE0B42">
        <w:rPr>
          <w:sz w:val="20"/>
        </w:rPr>
        <w:t xml:space="preserve"> with para-formaldehyde and treatment with lysis buffers. Note that inactivation post-collection must take place at Containment Level 3. Samples can be moved out to containment level 2 after inactivation.</w:t>
      </w:r>
    </w:p>
    <w:p w14:paraId="68C17C5F" w14:textId="78EBB070" w:rsidR="00EF0092" w:rsidRDefault="00467724">
      <w:pPr>
        <w:spacing w:before="0" w:after="0"/>
        <w:rPr>
          <w:lang w:val="en-GB"/>
        </w:rPr>
      </w:pPr>
      <w:r>
        <w:rPr>
          <w:lang w:val="en-GB"/>
        </w:rPr>
        <w:t xml:space="preserve">An explanation </w:t>
      </w:r>
      <w:r w:rsidR="00EF0092">
        <w:rPr>
          <w:lang w:val="en-GB"/>
        </w:rPr>
        <w:t xml:space="preserve">for </w:t>
      </w:r>
      <w:r>
        <w:rPr>
          <w:lang w:val="en-GB"/>
        </w:rPr>
        <w:t xml:space="preserve">the risk levels above, including literature review, is available on request by emailing to </w:t>
      </w:r>
      <w:hyperlink r:id="rId23" w:history="1">
        <w:r w:rsidRPr="00711C91">
          <w:rPr>
            <w:rStyle w:val="Hyperlink"/>
            <w:lang w:val="en-GB"/>
          </w:rPr>
          <w:t>safety@ucl.ac.uk</w:t>
        </w:r>
      </w:hyperlink>
      <w:r>
        <w:rPr>
          <w:lang w:val="en-GB"/>
        </w:rPr>
        <w:t xml:space="preserve"> </w:t>
      </w:r>
      <w:r w:rsidR="00EF0092">
        <w:rPr>
          <w:lang w:val="en-GB"/>
        </w:rPr>
        <w:br w:type="page"/>
      </w:r>
    </w:p>
    <w:p w14:paraId="7AD0B98A" w14:textId="77777777" w:rsidR="00EF0092" w:rsidRDefault="00EF0092" w:rsidP="00EF0092">
      <w:pPr>
        <w:pStyle w:val="Heading2"/>
        <w:rPr>
          <w:lang w:val="en-GB"/>
        </w:rPr>
        <w:sectPr w:rsidR="00EF0092" w:rsidSect="00EF0092">
          <w:headerReference w:type="first" r:id="rId24"/>
          <w:pgSz w:w="16840" w:h="11900" w:orient="landscape"/>
          <w:pgMar w:top="1134" w:right="1134" w:bottom="1134" w:left="1134" w:header="680" w:footer="709" w:gutter="0"/>
          <w:cols w:space="708"/>
          <w:titlePg/>
          <w:docGrid w:linePitch="360"/>
        </w:sectPr>
      </w:pPr>
    </w:p>
    <w:p w14:paraId="79FE4B7B" w14:textId="48DDAA07" w:rsidR="00CD66EE" w:rsidRPr="00EF0092" w:rsidRDefault="00CD66EE" w:rsidP="00EF0092">
      <w:pPr>
        <w:pStyle w:val="Heading2"/>
      </w:pPr>
      <w:r w:rsidRPr="00EF0092">
        <w:rPr>
          <w:lang w:val="en-GB"/>
        </w:rPr>
        <w:lastRenderedPageBreak/>
        <w:t>Contents for quick reference</w:t>
      </w:r>
    </w:p>
    <w:p w14:paraId="4E773FCE" w14:textId="4091A10E" w:rsidR="00CD66EE" w:rsidRPr="004F26A6" w:rsidRDefault="004F26A6" w:rsidP="004F26A6">
      <w:pPr>
        <w:pStyle w:val="ListParagraph"/>
        <w:numPr>
          <w:ilvl w:val="0"/>
          <w:numId w:val="20"/>
        </w:numPr>
        <w:spacing w:before="80" w:after="80"/>
        <w:contextualSpacing w:val="0"/>
        <w:rPr>
          <w:rStyle w:val="Hyperlink"/>
          <w:color w:val="auto"/>
          <w:lang w:val="en-GB"/>
        </w:rPr>
      </w:pPr>
      <w:r>
        <w:rPr>
          <w:lang w:val="en-GB"/>
        </w:rPr>
        <w:fldChar w:fldCharType="begin"/>
      </w:r>
      <w:r>
        <w:rPr>
          <w:lang w:val="en-GB"/>
        </w:rPr>
        <w:instrText xml:space="preserve"> HYPERLINK  \l "_Receipt_and_storage" </w:instrText>
      </w:r>
      <w:r>
        <w:rPr>
          <w:lang w:val="en-GB"/>
        </w:rPr>
        <w:fldChar w:fldCharType="separate"/>
      </w:r>
      <w:r w:rsidR="00CD66EE" w:rsidRPr="004F26A6">
        <w:rPr>
          <w:rStyle w:val="Hyperlink"/>
          <w:lang w:val="en-GB"/>
        </w:rPr>
        <w:t>Receipt and storage of samples</w:t>
      </w:r>
      <w:r w:rsidRPr="004F26A6">
        <w:rPr>
          <w:rStyle w:val="Hyperlink"/>
          <w:lang w:val="en-GB"/>
        </w:rPr>
        <w:t xml:space="preserve"> which must be handled at containment level 3</w:t>
      </w:r>
    </w:p>
    <w:p w14:paraId="70D0CE88" w14:textId="54613A5A" w:rsidR="00210951" w:rsidRDefault="004F26A6" w:rsidP="00CD66EE">
      <w:pPr>
        <w:pStyle w:val="ListParagraph"/>
        <w:numPr>
          <w:ilvl w:val="0"/>
          <w:numId w:val="20"/>
        </w:numPr>
        <w:spacing w:before="80" w:after="80"/>
        <w:ind w:left="771" w:hanging="357"/>
        <w:contextualSpacing w:val="0"/>
        <w:rPr>
          <w:lang w:val="en-GB"/>
        </w:rPr>
      </w:pPr>
      <w:r>
        <w:rPr>
          <w:lang w:val="en-GB"/>
        </w:rPr>
        <w:fldChar w:fldCharType="end"/>
      </w:r>
      <w:hyperlink w:anchor="_Diagnostic_work,_requested" w:history="1">
        <w:r w:rsidR="00CD66EE" w:rsidRPr="00CD66EE">
          <w:rPr>
            <w:rStyle w:val="Hyperlink"/>
            <w:lang w:val="en-GB"/>
          </w:rPr>
          <w:t>Diagnostic work, requested to support the national response</w:t>
        </w:r>
      </w:hyperlink>
    </w:p>
    <w:p w14:paraId="392336F0" w14:textId="585B6532" w:rsidR="003C648C" w:rsidRPr="003C648C" w:rsidRDefault="00473B6E" w:rsidP="003C648C">
      <w:pPr>
        <w:pStyle w:val="ListParagraph"/>
        <w:numPr>
          <w:ilvl w:val="0"/>
          <w:numId w:val="20"/>
        </w:numPr>
        <w:spacing w:before="80" w:after="80"/>
        <w:ind w:left="771" w:hanging="357"/>
        <w:contextualSpacing w:val="0"/>
      </w:pPr>
      <w:hyperlink w:anchor="_Research_with_blood" w:history="1">
        <w:r w:rsidR="003C648C" w:rsidRPr="003C648C">
          <w:rPr>
            <w:rStyle w:val="Hyperlink"/>
          </w:rPr>
          <w:t xml:space="preserve">Research with samples confirmed as negative, inactivated samples, all blood samples, all </w:t>
        </w:r>
        <w:r w:rsidR="00650D33">
          <w:rPr>
            <w:rStyle w:val="Hyperlink"/>
          </w:rPr>
          <w:t xml:space="preserve">urine and </w:t>
        </w:r>
        <w:r w:rsidR="003C648C" w:rsidRPr="003C648C">
          <w:rPr>
            <w:rStyle w:val="Hyperlink"/>
          </w:rPr>
          <w:t>CSF samples and specific lower risk respiratory samples.</w:t>
        </w:r>
      </w:hyperlink>
    </w:p>
    <w:p w14:paraId="0CB17D8F" w14:textId="4D08206F" w:rsidR="00CD66EE" w:rsidRPr="00CD66EE" w:rsidRDefault="00473B6E" w:rsidP="00CD66EE">
      <w:pPr>
        <w:pStyle w:val="ListParagraph"/>
        <w:numPr>
          <w:ilvl w:val="0"/>
          <w:numId w:val="20"/>
        </w:numPr>
        <w:spacing w:before="80" w:after="80"/>
        <w:ind w:left="771" w:hanging="357"/>
        <w:contextualSpacing w:val="0"/>
        <w:rPr>
          <w:lang w:val="en-GB"/>
        </w:rPr>
      </w:pPr>
      <w:hyperlink w:anchor="_Research_activity_/" w:history="1">
        <w:r w:rsidR="00CD66EE" w:rsidRPr="00CD66EE">
          <w:rPr>
            <w:rStyle w:val="Hyperlink"/>
            <w:lang w:val="en-GB"/>
          </w:rPr>
          <w:t>Research activity / deliberate work; including handling of respiratory and faecal samples</w:t>
        </w:r>
      </w:hyperlink>
    </w:p>
    <w:p w14:paraId="7C2FC408" w14:textId="34B4A0FF" w:rsidR="00CD66EE" w:rsidRPr="00CD66EE" w:rsidRDefault="00473B6E" w:rsidP="00CD66EE">
      <w:pPr>
        <w:pStyle w:val="ListParagraph"/>
        <w:numPr>
          <w:ilvl w:val="0"/>
          <w:numId w:val="20"/>
        </w:numPr>
        <w:spacing w:before="80" w:after="80"/>
        <w:ind w:left="771" w:hanging="357"/>
        <w:contextualSpacing w:val="0"/>
        <w:rPr>
          <w:lang w:val="en-GB"/>
        </w:rPr>
      </w:pPr>
      <w:hyperlink w:anchor="_Sample_collection" w:history="1">
        <w:r w:rsidR="00CD66EE" w:rsidRPr="00CD66EE">
          <w:rPr>
            <w:rStyle w:val="Hyperlink"/>
            <w:lang w:val="en-GB"/>
          </w:rPr>
          <w:t>Sample collection</w:t>
        </w:r>
      </w:hyperlink>
    </w:p>
    <w:p w14:paraId="4F8052F4" w14:textId="4801EC2E" w:rsidR="00CD66EE" w:rsidRPr="00CD66EE" w:rsidRDefault="00473B6E" w:rsidP="00CD66EE">
      <w:pPr>
        <w:pStyle w:val="ListParagraph"/>
        <w:numPr>
          <w:ilvl w:val="0"/>
          <w:numId w:val="20"/>
        </w:numPr>
        <w:spacing w:before="80" w:after="80"/>
        <w:ind w:left="771" w:hanging="357"/>
        <w:contextualSpacing w:val="0"/>
        <w:rPr>
          <w:lang w:val="en-GB"/>
        </w:rPr>
      </w:pPr>
      <w:hyperlink w:anchor="_Sample_transport" w:history="1">
        <w:r w:rsidR="00CD66EE" w:rsidRPr="00CD66EE">
          <w:rPr>
            <w:rStyle w:val="Hyperlink"/>
            <w:lang w:val="en-GB"/>
          </w:rPr>
          <w:t>Sample transport</w:t>
        </w:r>
      </w:hyperlink>
    </w:p>
    <w:p w14:paraId="08FB31C9" w14:textId="64B1F854" w:rsidR="00CD66EE" w:rsidRPr="00CD66EE" w:rsidRDefault="00473B6E" w:rsidP="00CD66EE">
      <w:pPr>
        <w:pStyle w:val="ListParagraph"/>
        <w:numPr>
          <w:ilvl w:val="0"/>
          <w:numId w:val="20"/>
        </w:numPr>
        <w:spacing w:before="80" w:after="80"/>
        <w:ind w:left="771" w:hanging="357"/>
        <w:contextualSpacing w:val="0"/>
        <w:rPr>
          <w:lang w:val="en-GB"/>
        </w:rPr>
      </w:pPr>
      <w:hyperlink w:anchor="_Training,_competency,_supervision" w:history="1">
        <w:r w:rsidR="00CD66EE" w:rsidRPr="00CD66EE">
          <w:rPr>
            <w:rStyle w:val="Hyperlink"/>
            <w:lang w:val="en-GB"/>
          </w:rPr>
          <w:t>Training, competency, supervision and support</w:t>
        </w:r>
      </w:hyperlink>
    </w:p>
    <w:p w14:paraId="27B1A903" w14:textId="377E5E88" w:rsidR="00CD66EE" w:rsidRPr="00CD66EE" w:rsidRDefault="00473B6E" w:rsidP="00CD66EE">
      <w:pPr>
        <w:pStyle w:val="ListParagraph"/>
        <w:numPr>
          <w:ilvl w:val="0"/>
          <w:numId w:val="20"/>
        </w:numPr>
        <w:spacing w:before="80" w:after="80"/>
        <w:ind w:left="771" w:hanging="357"/>
        <w:contextualSpacing w:val="0"/>
        <w:rPr>
          <w:lang w:val="en-GB"/>
        </w:rPr>
      </w:pPr>
      <w:hyperlink w:anchor="_Vulnerable_groups" w:history="1">
        <w:r w:rsidR="00CD66EE" w:rsidRPr="00CD66EE">
          <w:rPr>
            <w:rStyle w:val="Hyperlink"/>
            <w:lang w:val="en-GB"/>
          </w:rPr>
          <w:t>Vulnerable groups</w:t>
        </w:r>
      </w:hyperlink>
    </w:p>
    <w:p w14:paraId="65ADAC62" w14:textId="5864531F" w:rsidR="00CD66EE" w:rsidRPr="00CD66EE" w:rsidRDefault="00473B6E" w:rsidP="00CD66EE">
      <w:pPr>
        <w:pStyle w:val="ListParagraph"/>
        <w:numPr>
          <w:ilvl w:val="0"/>
          <w:numId w:val="20"/>
        </w:numPr>
        <w:spacing w:before="80" w:after="80"/>
        <w:ind w:left="771" w:hanging="357"/>
        <w:contextualSpacing w:val="0"/>
        <w:rPr>
          <w:lang w:val="en-GB"/>
        </w:rPr>
      </w:pPr>
      <w:hyperlink w:anchor="_Third_party_use" w:history="1">
        <w:r w:rsidR="00CD66EE" w:rsidRPr="00CD66EE">
          <w:rPr>
            <w:rStyle w:val="Hyperlink"/>
            <w:lang w:val="en-GB"/>
          </w:rPr>
          <w:t>Third party use of UCL laboratories and equipment</w:t>
        </w:r>
      </w:hyperlink>
    </w:p>
    <w:p w14:paraId="51097870" w14:textId="0240B3F1" w:rsidR="00CD66EE" w:rsidRPr="00CD66EE" w:rsidRDefault="00473B6E" w:rsidP="00CD66EE">
      <w:pPr>
        <w:pStyle w:val="ListParagraph"/>
        <w:numPr>
          <w:ilvl w:val="0"/>
          <w:numId w:val="20"/>
        </w:numPr>
        <w:spacing w:before="80" w:after="80"/>
        <w:ind w:left="771" w:hanging="357"/>
        <w:contextualSpacing w:val="0"/>
        <w:rPr>
          <w:lang w:val="en-GB"/>
        </w:rPr>
      </w:pPr>
      <w:hyperlink w:anchor="_Other_research_activity" w:history="1">
        <w:r w:rsidR="00CD66EE" w:rsidRPr="00CD66EE">
          <w:rPr>
            <w:rStyle w:val="Hyperlink"/>
            <w:lang w:val="en-GB"/>
          </w:rPr>
          <w:t>Other research activity</w:t>
        </w:r>
      </w:hyperlink>
    </w:p>
    <w:p w14:paraId="7EEF7529" w14:textId="0252427F" w:rsidR="00853AFA" w:rsidRDefault="00853AFA" w:rsidP="004F26A6">
      <w:pPr>
        <w:pStyle w:val="Heading2"/>
        <w:numPr>
          <w:ilvl w:val="0"/>
          <w:numId w:val="15"/>
        </w:numPr>
        <w:rPr>
          <w:lang w:val="en-GB"/>
        </w:rPr>
      </w:pPr>
      <w:bookmarkStart w:id="0" w:name="_Receipt_and_storage"/>
      <w:bookmarkEnd w:id="0"/>
      <w:r>
        <w:rPr>
          <w:lang w:val="en-GB"/>
        </w:rPr>
        <w:t>Receipt and storage of samples</w:t>
      </w:r>
      <w:r w:rsidR="004F26A6">
        <w:rPr>
          <w:lang w:val="en-GB"/>
        </w:rPr>
        <w:t xml:space="preserve"> </w:t>
      </w:r>
      <w:r w:rsidR="004F26A6" w:rsidRPr="004F26A6">
        <w:rPr>
          <w:lang w:val="en-GB"/>
        </w:rPr>
        <w:t xml:space="preserve">which must be </w:t>
      </w:r>
      <w:r w:rsidR="004F26A6">
        <w:rPr>
          <w:lang w:val="en-GB"/>
        </w:rPr>
        <w:t xml:space="preserve">handled </w:t>
      </w:r>
      <w:r w:rsidR="004F26A6" w:rsidRPr="004F26A6">
        <w:rPr>
          <w:lang w:val="en-GB"/>
        </w:rPr>
        <w:t>at containment level 3</w:t>
      </w:r>
    </w:p>
    <w:p w14:paraId="700C8ACE" w14:textId="4DBBE1FB" w:rsidR="00853AFA" w:rsidRPr="00487D9D" w:rsidRDefault="00853AFA" w:rsidP="001A2FC7">
      <w:pPr>
        <w:shd w:val="clear" w:color="auto" w:fill="FABF8F" w:themeFill="accent6" w:themeFillTint="99"/>
        <w:rPr>
          <w:b/>
          <w:lang w:val="en-GB"/>
        </w:rPr>
      </w:pPr>
      <w:r w:rsidRPr="00487D9D">
        <w:rPr>
          <w:b/>
          <w:lang w:val="en-GB"/>
        </w:rPr>
        <w:t xml:space="preserve">Activity which is limited only to receipt and storage of samples (processed or unprocessed) from third parties (NHS Trusts, HSL, Francis Crick Institute etc.) is permitted, but </w:t>
      </w:r>
      <w:r w:rsidR="00FC3A34">
        <w:rPr>
          <w:b/>
          <w:lang w:val="en-GB"/>
        </w:rPr>
        <w:t xml:space="preserve">the </w:t>
      </w:r>
      <w:r w:rsidRPr="00487D9D">
        <w:rPr>
          <w:b/>
          <w:lang w:val="en-GB"/>
        </w:rPr>
        <w:t xml:space="preserve">criteria </w:t>
      </w:r>
      <w:r w:rsidR="00487D9D">
        <w:rPr>
          <w:b/>
          <w:lang w:val="en-GB"/>
        </w:rPr>
        <w:t>below must be met:</w:t>
      </w:r>
    </w:p>
    <w:p w14:paraId="3FDB993F" w14:textId="04876210" w:rsidR="00853AFA" w:rsidRPr="00EE2095" w:rsidRDefault="00853AFA" w:rsidP="00EE2095">
      <w:pPr>
        <w:pStyle w:val="ListParagraph"/>
        <w:numPr>
          <w:ilvl w:val="0"/>
          <w:numId w:val="13"/>
        </w:numPr>
        <w:ind w:left="714" w:hanging="357"/>
        <w:contextualSpacing w:val="0"/>
        <w:rPr>
          <w:lang w:val="en-GB"/>
        </w:rPr>
      </w:pPr>
      <w:r w:rsidRPr="00EE2095">
        <w:rPr>
          <w:lang w:val="en-GB"/>
        </w:rPr>
        <w:t>A suitable and sufficient risk assessment must be approved, before samples are received and stored. As an interim measure, you are asked to add the UCL Biological Safety Adviser (Andy Minnis) as an approver on your risk assessment.</w:t>
      </w:r>
    </w:p>
    <w:p w14:paraId="73631825" w14:textId="42753A7F" w:rsidR="00853AFA" w:rsidRPr="00EE2095" w:rsidRDefault="00853AFA" w:rsidP="00EE2095">
      <w:pPr>
        <w:pStyle w:val="ListParagraph"/>
        <w:numPr>
          <w:ilvl w:val="0"/>
          <w:numId w:val="13"/>
        </w:numPr>
        <w:ind w:left="714" w:hanging="357"/>
        <w:contextualSpacing w:val="0"/>
        <w:rPr>
          <w:lang w:val="en-GB"/>
        </w:rPr>
      </w:pPr>
      <w:r w:rsidRPr="00EE2095">
        <w:rPr>
          <w:lang w:val="en-GB"/>
        </w:rPr>
        <w:t>The location of stored samples, quantity of samples, reason for storage</w:t>
      </w:r>
      <w:r w:rsidR="00EE2095" w:rsidRPr="00EE2095">
        <w:rPr>
          <w:lang w:val="en-GB"/>
        </w:rPr>
        <w:t xml:space="preserve"> at UCL</w:t>
      </w:r>
      <w:r w:rsidRPr="00EE2095">
        <w:rPr>
          <w:lang w:val="en-GB"/>
        </w:rPr>
        <w:t xml:space="preserve"> and planned duration of storage should be </w:t>
      </w:r>
      <w:r w:rsidR="00EE2095" w:rsidRPr="00EE2095">
        <w:rPr>
          <w:lang w:val="en-GB"/>
        </w:rPr>
        <w:t>documented in your risk assessment.</w:t>
      </w:r>
    </w:p>
    <w:p w14:paraId="6FE9DB8A" w14:textId="4447D7BF" w:rsidR="00EE2095" w:rsidRPr="00EE2095" w:rsidRDefault="001C402F" w:rsidP="00EE2095">
      <w:pPr>
        <w:pStyle w:val="ListParagraph"/>
        <w:numPr>
          <w:ilvl w:val="0"/>
          <w:numId w:val="13"/>
        </w:numPr>
        <w:ind w:left="714" w:hanging="357"/>
        <w:contextualSpacing w:val="0"/>
        <w:rPr>
          <w:lang w:val="en-GB"/>
        </w:rPr>
      </w:pPr>
      <w:r>
        <w:rPr>
          <w:lang w:val="en-GB"/>
        </w:rPr>
        <w:t>Receipt and storage must take place in a</w:t>
      </w:r>
      <w:r w:rsidR="00FC3A34">
        <w:rPr>
          <w:lang w:val="en-GB"/>
        </w:rPr>
        <w:t xml:space="preserve"> Containment Level 2 laboratory</w:t>
      </w:r>
      <w:r>
        <w:rPr>
          <w:lang w:val="en-GB"/>
        </w:rPr>
        <w:t xml:space="preserve">. </w:t>
      </w:r>
      <w:r w:rsidR="00264D2E">
        <w:rPr>
          <w:lang w:val="en-GB"/>
        </w:rPr>
        <w:t>If opened, p</w:t>
      </w:r>
      <w:r w:rsidR="00EE2095" w:rsidRPr="00EE2095">
        <w:rPr>
          <w:lang w:val="en-GB"/>
        </w:rPr>
        <w:t xml:space="preserve">ackages must be opened in a microbiological safety cabinet prior to transfer to storage. If available, </w:t>
      </w:r>
      <w:r w:rsidR="00483956">
        <w:rPr>
          <w:lang w:val="en-GB"/>
        </w:rPr>
        <w:t xml:space="preserve">use </w:t>
      </w:r>
      <w:r w:rsidR="00EE2095" w:rsidRPr="00EE2095">
        <w:rPr>
          <w:lang w:val="en-GB"/>
        </w:rPr>
        <w:t>a Class I cabinet. Some samples received at University laboratories have been found to be packaged inappropriately and some have leaked inside packaging. This risk must be acknowledged and documented in your risk assessment.</w:t>
      </w:r>
    </w:p>
    <w:p w14:paraId="7FB3806A" w14:textId="6D8253E2" w:rsidR="00EE2095" w:rsidRPr="00EE2095" w:rsidRDefault="00483956" w:rsidP="00EE2095">
      <w:pPr>
        <w:pStyle w:val="ListParagraph"/>
        <w:numPr>
          <w:ilvl w:val="0"/>
          <w:numId w:val="13"/>
        </w:numPr>
        <w:ind w:left="714" w:hanging="357"/>
        <w:contextualSpacing w:val="0"/>
        <w:rPr>
          <w:lang w:val="en-GB"/>
        </w:rPr>
      </w:pPr>
      <w:r>
        <w:rPr>
          <w:lang w:val="en-GB"/>
        </w:rPr>
        <w:t>Y</w:t>
      </w:r>
      <w:r w:rsidR="00EE2095" w:rsidRPr="00EE2095">
        <w:rPr>
          <w:lang w:val="en-GB"/>
        </w:rPr>
        <w:t xml:space="preserve">ou must consider </w:t>
      </w:r>
      <w:r>
        <w:rPr>
          <w:lang w:val="en-GB"/>
        </w:rPr>
        <w:t xml:space="preserve">spill response, in case </w:t>
      </w:r>
      <w:r w:rsidRPr="00EE2095">
        <w:rPr>
          <w:lang w:val="en-GB"/>
        </w:rPr>
        <w:t xml:space="preserve">samples leak or are dropped </w:t>
      </w:r>
      <w:r w:rsidR="00EE2095" w:rsidRPr="00EE2095">
        <w:rPr>
          <w:lang w:val="en-GB"/>
        </w:rPr>
        <w:t>and have an appropriate procedure in place.</w:t>
      </w:r>
    </w:p>
    <w:p w14:paraId="69010ADB" w14:textId="205E4B9A" w:rsidR="00EE2095" w:rsidRPr="00027D60" w:rsidRDefault="00EE2095" w:rsidP="00EE2095">
      <w:pPr>
        <w:pStyle w:val="ListParagraph"/>
        <w:numPr>
          <w:ilvl w:val="0"/>
          <w:numId w:val="13"/>
        </w:numPr>
        <w:ind w:left="714" w:hanging="357"/>
        <w:contextualSpacing w:val="0"/>
        <w:rPr>
          <w:lang w:val="en-GB"/>
        </w:rPr>
      </w:pPr>
      <w:r w:rsidRPr="00EE2095">
        <w:rPr>
          <w:lang w:val="en-GB"/>
        </w:rPr>
        <w:t xml:space="preserve">Samples must be clearly identified on the outside of containers </w:t>
      </w:r>
      <w:r w:rsidR="00487D9D">
        <w:rPr>
          <w:lang w:val="en-GB"/>
        </w:rPr>
        <w:t xml:space="preserve">and </w:t>
      </w:r>
      <w:r w:rsidRPr="00EE2095">
        <w:rPr>
          <w:lang w:val="en-GB"/>
        </w:rPr>
        <w:t xml:space="preserve">in the </w:t>
      </w:r>
      <w:r w:rsidRPr="00027D60">
        <w:rPr>
          <w:lang w:val="en-GB"/>
        </w:rPr>
        <w:t>storage location, especially if storage is sh</w:t>
      </w:r>
      <w:r w:rsidR="00483956" w:rsidRPr="00027D60">
        <w:rPr>
          <w:lang w:val="en-GB"/>
        </w:rPr>
        <w:t>ared w</w:t>
      </w:r>
      <w:r w:rsidR="00487D9D" w:rsidRPr="00027D60">
        <w:rPr>
          <w:lang w:val="en-GB"/>
        </w:rPr>
        <w:t xml:space="preserve">ith other research groups or </w:t>
      </w:r>
      <w:r w:rsidR="00483956" w:rsidRPr="00027D60">
        <w:rPr>
          <w:lang w:val="en-GB"/>
        </w:rPr>
        <w:t>in a shared laboratory.</w:t>
      </w:r>
      <w:r w:rsidR="00162C33">
        <w:rPr>
          <w:lang w:val="en-GB"/>
        </w:rPr>
        <w:t xml:space="preserve"> Use the </w:t>
      </w:r>
      <w:hyperlink r:id="rId25" w:history="1">
        <w:r w:rsidR="00162C33" w:rsidRPr="00F968F4">
          <w:rPr>
            <w:rStyle w:val="Hyperlink"/>
            <w:lang w:val="en-GB"/>
          </w:rPr>
          <w:t>COVID-19 equipment sign</w:t>
        </w:r>
      </w:hyperlink>
      <w:r w:rsidR="00162C33">
        <w:rPr>
          <w:lang w:val="en-GB"/>
        </w:rPr>
        <w:t xml:space="preserve"> template available online.</w:t>
      </w:r>
    </w:p>
    <w:p w14:paraId="3F382916" w14:textId="672509B0" w:rsidR="00CB3290" w:rsidRPr="00027D60" w:rsidRDefault="00162C33" w:rsidP="00CB3290">
      <w:pPr>
        <w:pStyle w:val="ListParagraph"/>
        <w:numPr>
          <w:ilvl w:val="0"/>
          <w:numId w:val="13"/>
        </w:numPr>
        <w:ind w:left="714" w:hanging="357"/>
        <w:contextualSpacing w:val="0"/>
        <w:rPr>
          <w:lang w:val="en-GB"/>
        </w:rPr>
      </w:pPr>
      <w:r>
        <w:rPr>
          <w:lang w:val="en-GB"/>
        </w:rPr>
        <w:t>You must re</w:t>
      </w:r>
      <w:r w:rsidR="00CB3290" w:rsidRPr="00027D60">
        <w:rPr>
          <w:lang w:val="en-GB"/>
        </w:rPr>
        <w:t xml:space="preserve">strict access to your laboratory only to those receiving and storing </w:t>
      </w:r>
      <w:r w:rsidR="00CB3290" w:rsidRPr="00C019BB">
        <w:rPr>
          <w:lang w:val="en-GB"/>
        </w:rPr>
        <w:t>samples</w:t>
      </w:r>
      <w:r w:rsidR="00494AD2" w:rsidRPr="00C019BB">
        <w:rPr>
          <w:lang w:val="en-GB"/>
        </w:rPr>
        <w:t xml:space="preserve"> whilst samples are being handled</w:t>
      </w:r>
      <w:r w:rsidR="00CB3290" w:rsidRPr="00C019BB">
        <w:rPr>
          <w:lang w:val="en-GB"/>
        </w:rPr>
        <w:t>. The ‘</w:t>
      </w:r>
      <w:hyperlink r:id="rId26" w:history="1">
        <w:r w:rsidR="00CB3290" w:rsidRPr="00494AD2">
          <w:rPr>
            <w:rStyle w:val="Hyperlink"/>
            <w:lang w:val="en-GB"/>
          </w:rPr>
          <w:t>safe to clean</w:t>
        </w:r>
      </w:hyperlink>
      <w:r w:rsidR="00CB3290" w:rsidRPr="00C019BB">
        <w:rPr>
          <w:lang w:val="en-GB"/>
        </w:rPr>
        <w:t>’ system must be</w:t>
      </w:r>
      <w:r w:rsidR="00494AD2" w:rsidRPr="00C019BB">
        <w:rPr>
          <w:lang w:val="en-GB"/>
        </w:rPr>
        <w:t xml:space="preserve"> used to protect cleaning staff </w:t>
      </w:r>
      <w:r w:rsidR="00CB3290" w:rsidRPr="00C019BB">
        <w:rPr>
          <w:lang w:val="en-GB"/>
        </w:rPr>
        <w:t xml:space="preserve">and </w:t>
      </w:r>
      <w:r w:rsidR="00494AD2" w:rsidRPr="00C019BB">
        <w:rPr>
          <w:lang w:val="en-GB"/>
        </w:rPr>
        <w:t xml:space="preserve">contractors who may need to enter the laboratory </w:t>
      </w:r>
      <w:r w:rsidR="00CB3290" w:rsidRPr="00C019BB">
        <w:rPr>
          <w:lang w:val="en-GB"/>
        </w:rPr>
        <w:t xml:space="preserve">during this </w:t>
      </w:r>
      <w:r w:rsidR="00CB3290" w:rsidRPr="00027D60">
        <w:rPr>
          <w:lang w:val="en-GB"/>
        </w:rPr>
        <w:t>period.</w:t>
      </w:r>
      <w:r>
        <w:rPr>
          <w:lang w:val="en-GB"/>
        </w:rPr>
        <w:t xml:space="preserve"> Also affix a warning sign at the entrance door to the laboratory, using the </w:t>
      </w:r>
      <w:hyperlink r:id="rId27" w:history="1">
        <w:r w:rsidRPr="00F968F4">
          <w:rPr>
            <w:rStyle w:val="Hyperlink"/>
            <w:lang w:val="en-GB"/>
          </w:rPr>
          <w:t>COVID-19 template</w:t>
        </w:r>
      </w:hyperlink>
      <w:r>
        <w:rPr>
          <w:lang w:val="en-GB"/>
        </w:rPr>
        <w:t xml:space="preserve"> available online.</w:t>
      </w:r>
    </w:p>
    <w:p w14:paraId="23855CE4" w14:textId="3BC9E230" w:rsidR="00853AFA" w:rsidRPr="00027D60" w:rsidRDefault="00264D2E" w:rsidP="00EE2095">
      <w:pPr>
        <w:pStyle w:val="ListParagraph"/>
        <w:numPr>
          <w:ilvl w:val="0"/>
          <w:numId w:val="13"/>
        </w:numPr>
        <w:ind w:left="714" w:hanging="357"/>
        <w:contextualSpacing w:val="0"/>
        <w:rPr>
          <w:lang w:val="en-GB"/>
        </w:rPr>
      </w:pPr>
      <w:r>
        <w:rPr>
          <w:lang w:val="en-GB"/>
        </w:rPr>
        <w:t>R</w:t>
      </w:r>
      <w:r w:rsidRPr="00027D60">
        <w:rPr>
          <w:lang w:val="en-GB"/>
        </w:rPr>
        <w:t>efer back to this guidan</w:t>
      </w:r>
      <w:r>
        <w:rPr>
          <w:lang w:val="en-GB"/>
        </w:rPr>
        <w:t>ce and seek additional approval, if planning f</w:t>
      </w:r>
      <w:r w:rsidR="00853AFA" w:rsidRPr="00027D60">
        <w:rPr>
          <w:lang w:val="en-GB"/>
        </w:rPr>
        <w:t>urther manipulation, processing, analysi</w:t>
      </w:r>
      <w:r>
        <w:rPr>
          <w:lang w:val="en-GB"/>
        </w:rPr>
        <w:t>s or research using the samples.</w:t>
      </w:r>
    </w:p>
    <w:p w14:paraId="2A53DCFA" w14:textId="4273E7E7" w:rsidR="007D7DC1" w:rsidRDefault="00221198" w:rsidP="00487D9D">
      <w:pPr>
        <w:pStyle w:val="Heading2"/>
        <w:numPr>
          <w:ilvl w:val="0"/>
          <w:numId w:val="15"/>
        </w:numPr>
        <w:rPr>
          <w:lang w:val="en-GB"/>
        </w:rPr>
      </w:pPr>
      <w:bookmarkStart w:id="1" w:name="_Diagnostic_work,_requested"/>
      <w:bookmarkEnd w:id="1"/>
      <w:r>
        <w:rPr>
          <w:lang w:val="en-GB"/>
        </w:rPr>
        <w:lastRenderedPageBreak/>
        <w:t>D</w:t>
      </w:r>
      <w:r w:rsidR="00483956">
        <w:rPr>
          <w:lang w:val="en-GB"/>
        </w:rPr>
        <w:t>iagnostic work, requested to support the national response</w:t>
      </w:r>
    </w:p>
    <w:p w14:paraId="033368E8" w14:textId="6F9678FC" w:rsidR="00483956" w:rsidRPr="00487D9D" w:rsidRDefault="00483956" w:rsidP="00567857">
      <w:pPr>
        <w:shd w:val="clear" w:color="auto" w:fill="FABF8F" w:themeFill="accent6" w:themeFillTint="99"/>
        <w:rPr>
          <w:b/>
        </w:rPr>
      </w:pPr>
      <w:r w:rsidRPr="00487D9D">
        <w:rPr>
          <w:b/>
        </w:rPr>
        <w:t>If government agencies (NHS</w:t>
      </w:r>
      <w:r w:rsidR="00487D9D">
        <w:rPr>
          <w:b/>
        </w:rPr>
        <w:t xml:space="preserve"> Trusts</w:t>
      </w:r>
      <w:r w:rsidRPr="00487D9D">
        <w:rPr>
          <w:b/>
        </w:rPr>
        <w:t xml:space="preserve">, PHE etc.) request that UCL laboratories support diagnostic work, this can take place in Containment Level 2 laboratories, provided the criteria </w:t>
      </w:r>
      <w:r w:rsidR="00487D9D">
        <w:rPr>
          <w:b/>
        </w:rPr>
        <w:t xml:space="preserve">below </w:t>
      </w:r>
      <w:r w:rsidRPr="00487D9D">
        <w:rPr>
          <w:b/>
        </w:rPr>
        <w:t xml:space="preserve">are met: </w:t>
      </w:r>
    </w:p>
    <w:p w14:paraId="1D8B9C44" w14:textId="1CE8FB51" w:rsidR="00483956" w:rsidRDefault="00483956" w:rsidP="001A2FC7">
      <w:pPr>
        <w:pStyle w:val="ListParagraph"/>
        <w:numPr>
          <w:ilvl w:val="0"/>
          <w:numId w:val="6"/>
        </w:numPr>
        <w:ind w:hanging="357"/>
        <w:contextualSpacing w:val="0"/>
        <w:rPr>
          <w:lang w:val="en-GB"/>
        </w:rPr>
      </w:pPr>
      <w:r>
        <w:rPr>
          <w:lang w:val="en-GB"/>
        </w:rPr>
        <w:t xml:space="preserve">Planned work </w:t>
      </w:r>
      <w:r w:rsidRPr="00264D2E">
        <w:rPr>
          <w:lang w:val="en-GB"/>
        </w:rPr>
        <w:t>must be</w:t>
      </w:r>
      <w:r>
        <w:rPr>
          <w:lang w:val="en-GB"/>
        </w:rPr>
        <w:t xml:space="preserve"> diagnostic work requested by the government as part of UCL’s efforts to support the national response to the </w:t>
      </w:r>
      <w:r w:rsidR="00117470">
        <w:rPr>
          <w:lang w:val="en-GB"/>
        </w:rPr>
        <w:t xml:space="preserve">COVID-19 </w:t>
      </w:r>
      <w:r>
        <w:rPr>
          <w:lang w:val="en-GB"/>
        </w:rPr>
        <w:t xml:space="preserve">pandemic. You must be able to demonstrate that </w:t>
      </w:r>
      <w:r w:rsidR="001A2FC7">
        <w:rPr>
          <w:lang w:val="en-GB"/>
        </w:rPr>
        <w:t xml:space="preserve">a </w:t>
      </w:r>
      <w:r>
        <w:rPr>
          <w:lang w:val="en-GB"/>
        </w:rPr>
        <w:t>request has been made for your group / laboratory to carry out this work</w:t>
      </w:r>
      <w:r w:rsidR="001A2FC7">
        <w:rPr>
          <w:lang w:val="en-GB"/>
        </w:rPr>
        <w:t>, for example by sharing a letter or email from a recognised organisation.</w:t>
      </w:r>
    </w:p>
    <w:p w14:paraId="4DEDAB3D" w14:textId="2B3EC930" w:rsidR="001A2FC7" w:rsidRPr="001A2FC7" w:rsidRDefault="001A2FC7" w:rsidP="00264D2E">
      <w:pPr>
        <w:pStyle w:val="ListParagraph"/>
        <w:numPr>
          <w:ilvl w:val="0"/>
          <w:numId w:val="6"/>
        </w:numPr>
        <w:ind w:hanging="357"/>
        <w:contextualSpacing w:val="0"/>
        <w:rPr>
          <w:lang w:val="en-GB"/>
        </w:rPr>
      </w:pPr>
      <w:r>
        <w:rPr>
          <w:lang w:val="en-GB"/>
        </w:rPr>
        <w:t>If the request for diagnostic work is recognised and you can proceed, y</w:t>
      </w:r>
      <w:r w:rsidRPr="001A2FC7">
        <w:rPr>
          <w:lang w:val="en-GB"/>
        </w:rPr>
        <w:t xml:space="preserve">ou must strictly follow the </w:t>
      </w:r>
      <w:hyperlink r:id="rId28" w:history="1">
        <w:r w:rsidRPr="001A2FC7">
          <w:rPr>
            <w:rStyle w:val="Hyperlink"/>
            <w:lang w:val="en-GB"/>
          </w:rPr>
          <w:t>Public Health England</w:t>
        </w:r>
      </w:hyperlink>
      <w:r w:rsidRPr="001A2FC7">
        <w:rPr>
          <w:lang w:val="en-GB"/>
        </w:rPr>
        <w:t xml:space="preserve"> guidelines for safe handling and processing </w:t>
      </w:r>
      <w:r w:rsidR="00487D9D">
        <w:rPr>
          <w:lang w:val="en-GB"/>
        </w:rPr>
        <w:t>of</w:t>
      </w:r>
      <w:r w:rsidRPr="001A2FC7">
        <w:rPr>
          <w:lang w:val="en-GB"/>
        </w:rPr>
        <w:t xml:space="preserve"> samples in laboratories. In particular, your planned diagnostic work should </w:t>
      </w:r>
      <w:r>
        <w:rPr>
          <w:lang w:val="en-GB"/>
        </w:rPr>
        <w:t>be n</w:t>
      </w:r>
      <w:r w:rsidRPr="001A2FC7">
        <w:rPr>
          <w:lang w:val="en-GB"/>
        </w:rPr>
        <w:t>on-p</w:t>
      </w:r>
      <w:r>
        <w:rPr>
          <w:lang w:val="en-GB"/>
        </w:rPr>
        <w:t>ropagative activity</w:t>
      </w:r>
      <w:r w:rsidRPr="001A2FC7">
        <w:rPr>
          <w:lang w:val="en-GB"/>
        </w:rPr>
        <w:t xml:space="preserve"> that </w:t>
      </w:r>
      <w:r>
        <w:rPr>
          <w:lang w:val="en-GB"/>
        </w:rPr>
        <w:t xml:space="preserve">does </w:t>
      </w:r>
      <w:r w:rsidRPr="001A2FC7">
        <w:rPr>
          <w:lang w:val="en-GB"/>
        </w:rPr>
        <w:t>not result in the concentrat</w:t>
      </w:r>
      <w:r>
        <w:rPr>
          <w:lang w:val="en-GB"/>
        </w:rPr>
        <w:t xml:space="preserve">ion or extraction of SARS-CoV-2. </w:t>
      </w:r>
    </w:p>
    <w:p w14:paraId="08B30E1A" w14:textId="63F6C379" w:rsidR="001A2FC7" w:rsidRDefault="001A2FC7" w:rsidP="001A2FC7">
      <w:pPr>
        <w:pStyle w:val="ListParagraph"/>
        <w:numPr>
          <w:ilvl w:val="0"/>
          <w:numId w:val="6"/>
        </w:numPr>
        <w:ind w:hanging="357"/>
        <w:contextualSpacing w:val="0"/>
        <w:rPr>
          <w:lang w:val="en-GB"/>
        </w:rPr>
      </w:pPr>
      <w:r>
        <w:rPr>
          <w:lang w:val="en-GB"/>
        </w:rPr>
        <w:t>As above, a</w:t>
      </w:r>
      <w:r w:rsidRPr="00EE2095">
        <w:rPr>
          <w:lang w:val="en-GB"/>
        </w:rPr>
        <w:t xml:space="preserve"> suitable and sufficient risk assessment must be approved, before </w:t>
      </w:r>
      <w:r>
        <w:rPr>
          <w:lang w:val="en-GB"/>
        </w:rPr>
        <w:t>samples are received and work begins</w:t>
      </w:r>
      <w:r w:rsidRPr="00EE2095">
        <w:rPr>
          <w:lang w:val="en-GB"/>
        </w:rPr>
        <w:t>. As an interim measure, you are asked to add the UCL Biological Safety Adviser (Andy Minnis) as an approver on your risk assessment.</w:t>
      </w:r>
    </w:p>
    <w:p w14:paraId="78BCCC19" w14:textId="1BAA7DE0" w:rsidR="00EA287B" w:rsidRDefault="00567857" w:rsidP="001A2FC7">
      <w:pPr>
        <w:pStyle w:val="ListParagraph"/>
        <w:numPr>
          <w:ilvl w:val="0"/>
          <w:numId w:val="6"/>
        </w:numPr>
        <w:ind w:hanging="357"/>
        <w:contextualSpacing w:val="0"/>
        <w:rPr>
          <w:lang w:val="en-GB"/>
        </w:rPr>
      </w:pPr>
      <w:r>
        <w:rPr>
          <w:lang w:val="en-GB"/>
        </w:rPr>
        <w:t xml:space="preserve">In addition to the PHE guidance, you must also restrict access to your laboratory only to those carrying out </w:t>
      </w:r>
      <w:r w:rsidR="00EA287B">
        <w:rPr>
          <w:lang w:val="en-GB"/>
        </w:rPr>
        <w:t xml:space="preserve">the </w:t>
      </w:r>
      <w:r>
        <w:rPr>
          <w:lang w:val="en-GB"/>
        </w:rPr>
        <w:t>diagnostic work. The ‘</w:t>
      </w:r>
      <w:hyperlink r:id="rId29" w:history="1">
        <w:r w:rsidRPr="00EA287B">
          <w:rPr>
            <w:rStyle w:val="Hyperlink"/>
            <w:lang w:val="en-GB"/>
          </w:rPr>
          <w:t>safe to clean</w:t>
        </w:r>
      </w:hyperlink>
      <w:r>
        <w:rPr>
          <w:lang w:val="en-GB"/>
        </w:rPr>
        <w:t xml:space="preserve">’ system </w:t>
      </w:r>
      <w:r w:rsidR="00EA287B">
        <w:rPr>
          <w:lang w:val="en-GB"/>
        </w:rPr>
        <w:t xml:space="preserve">must </w:t>
      </w:r>
      <w:r>
        <w:rPr>
          <w:lang w:val="en-GB"/>
        </w:rPr>
        <w:t xml:space="preserve">be used to protect cleaning staff and it is recommended </w:t>
      </w:r>
      <w:r w:rsidR="0054621F">
        <w:rPr>
          <w:lang w:val="en-GB"/>
        </w:rPr>
        <w:t xml:space="preserve">that no cleaners, contractors or visitors enter </w:t>
      </w:r>
      <w:r>
        <w:rPr>
          <w:lang w:val="en-GB"/>
        </w:rPr>
        <w:t xml:space="preserve">the laboratory </w:t>
      </w:r>
      <w:r w:rsidR="0054621F">
        <w:rPr>
          <w:lang w:val="en-GB"/>
        </w:rPr>
        <w:t>at all during this period of work</w:t>
      </w:r>
      <w:r w:rsidR="00EA287B">
        <w:rPr>
          <w:lang w:val="en-GB"/>
        </w:rPr>
        <w:t>, unless for essential activities</w:t>
      </w:r>
      <w:r w:rsidR="0054621F">
        <w:rPr>
          <w:lang w:val="en-GB"/>
        </w:rPr>
        <w:t xml:space="preserve">. </w:t>
      </w:r>
      <w:r w:rsidR="00162C33">
        <w:rPr>
          <w:lang w:val="en-GB"/>
        </w:rPr>
        <w:t xml:space="preserve">Also affix a warning sign at the entrance door to the laboratory, using the </w:t>
      </w:r>
      <w:hyperlink r:id="rId30" w:history="1">
        <w:r w:rsidR="00162C33" w:rsidRPr="00F968F4">
          <w:rPr>
            <w:rStyle w:val="Hyperlink"/>
            <w:lang w:val="en-GB"/>
          </w:rPr>
          <w:t>COVID-19 template</w:t>
        </w:r>
      </w:hyperlink>
      <w:r w:rsidR="00162C33">
        <w:rPr>
          <w:lang w:val="en-GB"/>
        </w:rPr>
        <w:t xml:space="preserve"> available online.</w:t>
      </w:r>
    </w:p>
    <w:p w14:paraId="0CB5F185" w14:textId="0D32A50E" w:rsidR="00567857" w:rsidRPr="00EE2095" w:rsidRDefault="0054621F" w:rsidP="001A2FC7">
      <w:pPr>
        <w:pStyle w:val="ListParagraph"/>
        <w:numPr>
          <w:ilvl w:val="0"/>
          <w:numId w:val="6"/>
        </w:numPr>
        <w:ind w:hanging="357"/>
        <w:contextualSpacing w:val="0"/>
        <w:rPr>
          <w:lang w:val="en-GB"/>
        </w:rPr>
      </w:pPr>
      <w:r>
        <w:rPr>
          <w:lang w:val="en-GB"/>
        </w:rPr>
        <w:t xml:space="preserve">If your building is otherwise shut down, </w:t>
      </w:r>
      <w:r w:rsidR="00EA287B">
        <w:rPr>
          <w:lang w:val="en-GB"/>
        </w:rPr>
        <w:t xml:space="preserve">you must </w:t>
      </w:r>
      <w:r>
        <w:rPr>
          <w:lang w:val="en-GB"/>
        </w:rPr>
        <w:t xml:space="preserve">ensure you can inactivate and remove waste from the building in a safe and compliant manner. Waste must be not allowed to accumulate. </w:t>
      </w:r>
      <w:r w:rsidR="00EA287B">
        <w:rPr>
          <w:lang w:val="en-GB"/>
        </w:rPr>
        <w:t xml:space="preserve">You must also follow </w:t>
      </w:r>
      <w:hyperlink r:id="rId31" w:history="1">
        <w:r w:rsidR="00EA287B" w:rsidRPr="00EA287B">
          <w:rPr>
            <w:rStyle w:val="Hyperlink"/>
            <w:lang w:val="en-GB"/>
          </w:rPr>
          <w:t>lone working</w:t>
        </w:r>
      </w:hyperlink>
      <w:r w:rsidR="00EA287B">
        <w:rPr>
          <w:lang w:val="en-GB"/>
        </w:rPr>
        <w:t xml:space="preserve"> guidance.</w:t>
      </w:r>
    </w:p>
    <w:p w14:paraId="0C7F191B" w14:textId="4E430021" w:rsidR="001A2FC7" w:rsidRPr="00EE2095" w:rsidRDefault="001A2FC7" w:rsidP="001A2FC7">
      <w:pPr>
        <w:pStyle w:val="ListParagraph"/>
        <w:numPr>
          <w:ilvl w:val="0"/>
          <w:numId w:val="6"/>
        </w:numPr>
        <w:ind w:hanging="357"/>
        <w:contextualSpacing w:val="0"/>
        <w:rPr>
          <w:lang w:val="en-GB"/>
        </w:rPr>
      </w:pPr>
      <w:r>
        <w:rPr>
          <w:lang w:val="en-GB"/>
        </w:rPr>
        <w:t xml:space="preserve">Work with samples received for </w:t>
      </w:r>
      <w:r w:rsidRPr="001A2FC7">
        <w:rPr>
          <w:lang w:val="en-GB"/>
        </w:rPr>
        <w:t>the pur</w:t>
      </w:r>
      <w:r>
        <w:rPr>
          <w:lang w:val="en-GB"/>
        </w:rPr>
        <w:t xml:space="preserve">poses of research or education, including </w:t>
      </w:r>
      <w:r w:rsidRPr="001A2FC7">
        <w:rPr>
          <w:lang w:val="en-GB"/>
        </w:rPr>
        <w:t>activity aimed at i</w:t>
      </w:r>
      <w:r>
        <w:rPr>
          <w:lang w:val="en-GB"/>
        </w:rPr>
        <w:t xml:space="preserve">dentifying potential treatments </w:t>
      </w:r>
      <w:r w:rsidRPr="00264D2E">
        <w:rPr>
          <w:lang w:val="en-GB"/>
        </w:rPr>
        <w:t>must not take</w:t>
      </w:r>
      <w:r w:rsidRPr="00EE2095">
        <w:rPr>
          <w:lang w:val="en-GB"/>
        </w:rPr>
        <w:t xml:space="preserve"> place </w:t>
      </w:r>
      <w:r>
        <w:rPr>
          <w:lang w:val="en-GB"/>
        </w:rPr>
        <w:t xml:space="preserve">at Containment Level 2. </w:t>
      </w:r>
      <w:r w:rsidR="00264D2E">
        <w:rPr>
          <w:lang w:val="en-GB"/>
        </w:rPr>
        <w:t>R</w:t>
      </w:r>
      <w:r>
        <w:rPr>
          <w:lang w:val="en-GB"/>
        </w:rPr>
        <w:t xml:space="preserve">efer back to this guidance </w:t>
      </w:r>
      <w:r w:rsidRPr="00EE2095">
        <w:rPr>
          <w:lang w:val="en-GB"/>
        </w:rPr>
        <w:t xml:space="preserve">and </w:t>
      </w:r>
      <w:r>
        <w:rPr>
          <w:lang w:val="en-GB"/>
        </w:rPr>
        <w:t>seek</w:t>
      </w:r>
      <w:r w:rsidRPr="00EE2095">
        <w:rPr>
          <w:lang w:val="en-GB"/>
        </w:rPr>
        <w:t xml:space="preserve"> additional approval. </w:t>
      </w:r>
    </w:p>
    <w:p w14:paraId="31B8C2FD" w14:textId="05418F74" w:rsidR="004F26A6" w:rsidRPr="004F26A6" w:rsidRDefault="007279AF" w:rsidP="004F26A6">
      <w:pPr>
        <w:pStyle w:val="Heading2"/>
        <w:numPr>
          <w:ilvl w:val="0"/>
          <w:numId w:val="15"/>
        </w:numPr>
        <w:rPr>
          <w:lang w:val="en-GB"/>
        </w:rPr>
      </w:pPr>
      <w:bookmarkStart w:id="2" w:name="_Research_with_blood"/>
      <w:bookmarkStart w:id="3" w:name="_Research_with_samples"/>
      <w:bookmarkEnd w:id="2"/>
      <w:bookmarkEnd w:id="3"/>
      <w:r w:rsidRPr="00EF0092">
        <w:rPr>
          <w:lang w:val="en-GB"/>
        </w:rPr>
        <w:t xml:space="preserve">Research </w:t>
      </w:r>
      <w:r w:rsidR="00264D2E" w:rsidRPr="00EF0092">
        <w:rPr>
          <w:lang w:val="en-GB"/>
        </w:rPr>
        <w:t xml:space="preserve">with samples </w:t>
      </w:r>
      <w:r w:rsidR="003C648C">
        <w:rPr>
          <w:lang w:val="en-GB"/>
        </w:rPr>
        <w:t xml:space="preserve">confirmed </w:t>
      </w:r>
      <w:r w:rsidR="00264D2E" w:rsidRPr="00EF0092">
        <w:rPr>
          <w:lang w:val="en-GB"/>
        </w:rPr>
        <w:t>a</w:t>
      </w:r>
      <w:r w:rsidR="003C648C">
        <w:rPr>
          <w:lang w:val="en-GB"/>
        </w:rPr>
        <w:t xml:space="preserve">s negative, inactivated samples, all </w:t>
      </w:r>
      <w:r w:rsidR="00264D2E" w:rsidRPr="00EF0092">
        <w:rPr>
          <w:lang w:val="en-GB"/>
        </w:rPr>
        <w:t>blood samples</w:t>
      </w:r>
      <w:r w:rsidR="003C648C">
        <w:rPr>
          <w:lang w:val="en-GB"/>
        </w:rPr>
        <w:t xml:space="preserve">, all </w:t>
      </w:r>
      <w:r w:rsidR="00650D33">
        <w:rPr>
          <w:lang w:val="en-GB"/>
        </w:rPr>
        <w:t xml:space="preserve">urine and </w:t>
      </w:r>
      <w:r w:rsidR="003C648C">
        <w:rPr>
          <w:lang w:val="en-GB"/>
        </w:rPr>
        <w:t>CSF samples and specific lower risk respiratory samples</w:t>
      </w:r>
      <w:r w:rsidR="00264D2E" w:rsidRPr="00EF0092">
        <w:rPr>
          <w:lang w:val="en-GB"/>
        </w:rPr>
        <w:t xml:space="preserve"> </w:t>
      </w:r>
      <w:r w:rsidR="004F26A6" w:rsidRPr="004F26A6">
        <w:rPr>
          <w:lang w:val="en-GB"/>
        </w:rPr>
        <w:t>may be handled at Containment Level 2.</w:t>
      </w:r>
    </w:p>
    <w:p w14:paraId="7B06D249" w14:textId="14F05730" w:rsidR="007279AF" w:rsidRPr="00473B6E" w:rsidRDefault="007279AF" w:rsidP="007279AF">
      <w:pPr>
        <w:shd w:val="clear" w:color="auto" w:fill="FABF8F" w:themeFill="accent6" w:themeFillTint="99"/>
        <w:rPr>
          <w:b/>
        </w:rPr>
      </w:pPr>
      <w:r w:rsidRPr="00473B6E">
        <w:rPr>
          <w:b/>
        </w:rPr>
        <w:t xml:space="preserve">Work with </w:t>
      </w:r>
      <w:r w:rsidR="00264D2E" w:rsidRPr="00473B6E">
        <w:rPr>
          <w:b/>
        </w:rPr>
        <w:t>COVID-19 samples confirmed as negative, inactivated samples</w:t>
      </w:r>
      <w:r w:rsidR="003C648C" w:rsidRPr="00473B6E">
        <w:rPr>
          <w:b/>
        </w:rPr>
        <w:t>, all blood</w:t>
      </w:r>
      <w:r w:rsidR="00473B6E" w:rsidRPr="00473B6E">
        <w:rPr>
          <w:b/>
        </w:rPr>
        <w:t>, urine</w:t>
      </w:r>
      <w:r w:rsidR="003C648C" w:rsidRPr="00473B6E">
        <w:rPr>
          <w:b/>
        </w:rPr>
        <w:t xml:space="preserve"> and CSF samples </w:t>
      </w:r>
      <w:r w:rsidRPr="00473B6E">
        <w:rPr>
          <w:b/>
        </w:rPr>
        <w:t>can take place in Containment Level 2 laboratories, provi</w:t>
      </w:r>
      <w:r w:rsidR="003C648C" w:rsidRPr="00473B6E">
        <w:rPr>
          <w:b/>
        </w:rPr>
        <w:t>ded the criteria below are met. In addition, respiratory samples from convalescent or recovered patients who are &gt;42 days (6 weeks) after the onset of symptoms and asymptomatic can also be handled at containment level 2.</w:t>
      </w:r>
    </w:p>
    <w:p w14:paraId="4FBE30AE" w14:textId="4FCA7A68" w:rsidR="007279AF" w:rsidRPr="00EF0092" w:rsidRDefault="007279AF" w:rsidP="00681AF2">
      <w:pPr>
        <w:pStyle w:val="ListParagraph"/>
        <w:numPr>
          <w:ilvl w:val="0"/>
          <w:numId w:val="6"/>
        </w:numPr>
        <w:contextualSpacing w:val="0"/>
        <w:rPr>
          <w:lang w:val="en-GB"/>
        </w:rPr>
      </w:pPr>
      <w:r w:rsidRPr="00EF0092">
        <w:rPr>
          <w:lang w:val="en-GB"/>
        </w:rPr>
        <w:t xml:space="preserve">Planned work </w:t>
      </w:r>
      <w:r w:rsidR="009839C6" w:rsidRPr="00EF0092">
        <w:rPr>
          <w:lang w:val="en-GB"/>
        </w:rPr>
        <w:t xml:space="preserve">in this category </w:t>
      </w:r>
      <w:r w:rsidR="00264D2E" w:rsidRPr="00EF0092">
        <w:rPr>
          <w:b/>
          <w:lang w:val="en-GB"/>
        </w:rPr>
        <w:t xml:space="preserve">must </w:t>
      </w:r>
      <w:r w:rsidR="00264D2E" w:rsidRPr="00EF0092">
        <w:rPr>
          <w:lang w:val="en-GB"/>
        </w:rPr>
        <w:t>fit the definition in the box above</w:t>
      </w:r>
      <w:r w:rsidR="00681AF2" w:rsidRPr="00EF0092">
        <w:rPr>
          <w:lang w:val="en-GB"/>
        </w:rPr>
        <w:t>.</w:t>
      </w:r>
      <w:r w:rsidR="00264D2E" w:rsidRPr="00EF0092">
        <w:rPr>
          <w:lang w:val="en-GB"/>
        </w:rPr>
        <w:t xml:space="preserve"> Particularly, </w:t>
      </w:r>
      <w:r w:rsidR="003C648C">
        <w:rPr>
          <w:lang w:val="en-GB"/>
        </w:rPr>
        <w:t xml:space="preserve">higher risk </w:t>
      </w:r>
      <w:r w:rsidR="00264D2E" w:rsidRPr="00EF0092">
        <w:rPr>
          <w:lang w:val="en-GB"/>
        </w:rPr>
        <w:t>respiratory and faecal samples mu</w:t>
      </w:r>
      <w:bookmarkStart w:id="4" w:name="_GoBack"/>
      <w:bookmarkEnd w:id="4"/>
      <w:r w:rsidR="00264D2E" w:rsidRPr="00EF0092">
        <w:rPr>
          <w:lang w:val="en-GB"/>
        </w:rPr>
        <w:t>st continue to be handled at containment level 3, as in section 4 below.</w:t>
      </w:r>
    </w:p>
    <w:p w14:paraId="531A9ED5" w14:textId="0DCF04E1" w:rsidR="00CD66EE" w:rsidRPr="00EF0092" w:rsidRDefault="00264D2E" w:rsidP="00CD66EE">
      <w:pPr>
        <w:pStyle w:val="ListParagraph"/>
        <w:numPr>
          <w:ilvl w:val="0"/>
          <w:numId w:val="6"/>
        </w:numPr>
        <w:contextualSpacing w:val="0"/>
        <w:rPr>
          <w:lang w:val="en-GB"/>
        </w:rPr>
      </w:pPr>
      <w:r w:rsidRPr="00EF0092">
        <w:rPr>
          <w:lang w:val="en-GB"/>
        </w:rPr>
        <w:t>A</w:t>
      </w:r>
      <w:r w:rsidR="00CD66EE" w:rsidRPr="00EF0092">
        <w:rPr>
          <w:lang w:val="en-GB"/>
        </w:rPr>
        <w:t xml:space="preserve"> suitable and sufficient risk assessment must be approved</w:t>
      </w:r>
      <w:r w:rsidRPr="00EF0092">
        <w:rPr>
          <w:lang w:val="en-GB"/>
        </w:rPr>
        <w:t xml:space="preserve"> locally</w:t>
      </w:r>
      <w:r w:rsidR="00CD66EE" w:rsidRPr="00EF0092">
        <w:rPr>
          <w:lang w:val="en-GB"/>
        </w:rPr>
        <w:t xml:space="preserve">, before samples </w:t>
      </w:r>
      <w:r w:rsidRPr="00EF0092">
        <w:rPr>
          <w:lang w:val="en-GB"/>
        </w:rPr>
        <w:t>are received and work begins</w:t>
      </w:r>
      <w:r w:rsidR="00CD66EE" w:rsidRPr="00EF0092">
        <w:rPr>
          <w:lang w:val="en-GB"/>
        </w:rPr>
        <w:t>.</w:t>
      </w:r>
    </w:p>
    <w:p w14:paraId="1078741C" w14:textId="206E5976" w:rsidR="00681AF2" w:rsidRPr="00EF0092" w:rsidRDefault="00264D2E" w:rsidP="00264D2E">
      <w:pPr>
        <w:pStyle w:val="ListParagraph"/>
        <w:numPr>
          <w:ilvl w:val="0"/>
          <w:numId w:val="6"/>
        </w:numPr>
        <w:contextualSpacing w:val="0"/>
        <w:rPr>
          <w:lang w:val="en-GB"/>
        </w:rPr>
      </w:pPr>
      <w:r w:rsidRPr="00EF0092">
        <w:rPr>
          <w:b/>
          <w:bCs/>
          <w:lang w:val="en-GB"/>
        </w:rPr>
        <w:t xml:space="preserve">For handling samples in this category, </w:t>
      </w:r>
      <w:r w:rsidRPr="00EF0092">
        <w:rPr>
          <w:bCs/>
          <w:lang w:val="en-GB"/>
        </w:rPr>
        <w:t xml:space="preserve">also follow the guidance on </w:t>
      </w:r>
      <w:hyperlink r:id="rId32" w:history="1">
        <w:r w:rsidRPr="002756A5">
          <w:rPr>
            <w:rStyle w:val="Hyperlink"/>
            <w:bCs/>
            <w:lang w:val="en-GB"/>
          </w:rPr>
          <w:t>safe working with blood, bodily fluids and human tissue</w:t>
        </w:r>
      </w:hyperlink>
      <w:r w:rsidR="002756A5">
        <w:rPr>
          <w:bCs/>
          <w:lang w:val="en-GB"/>
        </w:rPr>
        <w:t>.</w:t>
      </w:r>
      <w:r w:rsidR="00473B6E">
        <w:rPr>
          <w:bCs/>
          <w:lang w:val="en-GB"/>
        </w:rPr>
        <w:t xml:space="preserve"> Urine samples particularly should be handled in safety cabinets, where manipulation will generate aerosols.</w:t>
      </w:r>
    </w:p>
    <w:p w14:paraId="2C966618" w14:textId="77777777" w:rsidR="007279AF" w:rsidRPr="00EF0092" w:rsidRDefault="007279AF" w:rsidP="007279AF">
      <w:pPr>
        <w:pStyle w:val="ListParagraph"/>
        <w:numPr>
          <w:ilvl w:val="0"/>
          <w:numId w:val="6"/>
        </w:numPr>
        <w:ind w:hanging="357"/>
        <w:contextualSpacing w:val="0"/>
        <w:rPr>
          <w:lang w:val="en-GB"/>
        </w:rPr>
      </w:pPr>
      <w:r w:rsidRPr="00EF0092">
        <w:rPr>
          <w:lang w:val="en-GB"/>
        </w:rPr>
        <w:lastRenderedPageBreak/>
        <w:t xml:space="preserve">If your building is otherwise shut down, you must ensure you can inactivate and remove waste from the building in a safe and compliant manner. Waste must be not allowed to accumulate. You must also follow </w:t>
      </w:r>
      <w:hyperlink r:id="rId33" w:history="1">
        <w:r w:rsidRPr="00EA287B">
          <w:rPr>
            <w:rStyle w:val="Hyperlink"/>
            <w:lang w:val="en-GB"/>
          </w:rPr>
          <w:t>lone working</w:t>
        </w:r>
      </w:hyperlink>
      <w:r>
        <w:rPr>
          <w:lang w:val="en-GB"/>
        </w:rPr>
        <w:t xml:space="preserve"> </w:t>
      </w:r>
      <w:r w:rsidRPr="00EF0092">
        <w:rPr>
          <w:lang w:val="en-GB"/>
        </w:rPr>
        <w:t>guidance.</w:t>
      </w:r>
    </w:p>
    <w:p w14:paraId="20D76F1A" w14:textId="5899BA42" w:rsidR="007279AF" w:rsidRPr="00EF0092" w:rsidRDefault="008E4058" w:rsidP="00681AF2">
      <w:pPr>
        <w:pStyle w:val="ListParagraph"/>
        <w:numPr>
          <w:ilvl w:val="0"/>
          <w:numId w:val="6"/>
        </w:numPr>
        <w:contextualSpacing w:val="0"/>
        <w:rPr>
          <w:lang w:val="en-GB"/>
        </w:rPr>
      </w:pPr>
      <w:r w:rsidRPr="00EF0092">
        <w:rPr>
          <w:lang w:val="en-GB"/>
        </w:rPr>
        <w:t>If you change the scope of your work, beyond the sample types defined above, y</w:t>
      </w:r>
      <w:r w:rsidR="007279AF" w:rsidRPr="00EF0092">
        <w:rPr>
          <w:lang w:val="en-GB"/>
        </w:rPr>
        <w:t xml:space="preserve">ou must refer back to this guidance and seek additional approval. </w:t>
      </w:r>
    </w:p>
    <w:p w14:paraId="628B08A7" w14:textId="33A07D1B" w:rsidR="003333DB" w:rsidRPr="003333DB" w:rsidRDefault="001A2FC7" w:rsidP="00487D9D">
      <w:pPr>
        <w:pStyle w:val="Heading2"/>
        <w:numPr>
          <w:ilvl w:val="0"/>
          <w:numId w:val="15"/>
        </w:numPr>
        <w:rPr>
          <w:lang w:val="en-GB"/>
        </w:rPr>
      </w:pPr>
      <w:bookmarkStart w:id="5" w:name="_Research_activity_/"/>
      <w:bookmarkEnd w:id="5"/>
      <w:r>
        <w:rPr>
          <w:lang w:val="en-GB"/>
        </w:rPr>
        <w:t>Research activity / deliberate work</w:t>
      </w:r>
      <w:r w:rsidR="007279AF">
        <w:rPr>
          <w:lang w:val="en-GB"/>
        </w:rPr>
        <w:t xml:space="preserve">; including handling of </w:t>
      </w:r>
      <w:r w:rsidR="009415B3">
        <w:rPr>
          <w:lang w:val="en-GB"/>
        </w:rPr>
        <w:t xml:space="preserve">high risk </w:t>
      </w:r>
      <w:r w:rsidR="007279AF">
        <w:rPr>
          <w:lang w:val="en-GB"/>
        </w:rPr>
        <w:t>respiratory and faecal samples</w:t>
      </w:r>
    </w:p>
    <w:p w14:paraId="54DE1E8D" w14:textId="01C01A5B" w:rsidR="001A2FC7" w:rsidRPr="00EA287B" w:rsidRDefault="007279AF" w:rsidP="00567857">
      <w:pPr>
        <w:shd w:val="clear" w:color="auto" w:fill="FABF8F" w:themeFill="accent6" w:themeFillTint="99"/>
        <w:rPr>
          <w:b/>
        </w:rPr>
      </w:pPr>
      <w:r w:rsidRPr="00EF0092">
        <w:rPr>
          <w:b/>
          <w:shd w:val="clear" w:color="auto" w:fill="FABF8F" w:themeFill="accent6" w:themeFillTint="99"/>
        </w:rPr>
        <w:t xml:space="preserve">All COVID-19 research not fitting into </w:t>
      </w:r>
      <w:r w:rsidR="008E4058" w:rsidRPr="00EF0092">
        <w:rPr>
          <w:b/>
          <w:shd w:val="clear" w:color="auto" w:fill="FABF8F" w:themeFill="accent6" w:themeFillTint="99"/>
        </w:rPr>
        <w:t xml:space="preserve">the categories </w:t>
      </w:r>
      <w:r w:rsidRPr="00EF0092">
        <w:rPr>
          <w:b/>
          <w:shd w:val="clear" w:color="auto" w:fill="FABF8F" w:themeFill="accent6" w:themeFillTint="99"/>
        </w:rPr>
        <w:t xml:space="preserve">above; </w:t>
      </w:r>
      <w:r w:rsidR="00434C47" w:rsidRPr="00EF0092">
        <w:rPr>
          <w:b/>
          <w:shd w:val="clear" w:color="auto" w:fill="FABF8F" w:themeFill="accent6" w:themeFillTint="99"/>
        </w:rPr>
        <w:t xml:space="preserve">work with </w:t>
      </w:r>
      <w:r w:rsidR="001A2FC7" w:rsidRPr="00EF0092">
        <w:rPr>
          <w:b/>
          <w:shd w:val="clear" w:color="auto" w:fill="FABF8F" w:themeFill="accent6" w:themeFillTint="99"/>
        </w:rPr>
        <w:t>SARS</w:t>
      </w:r>
      <w:r w:rsidR="001A2FC7" w:rsidRPr="00EA287B">
        <w:rPr>
          <w:b/>
          <w:shd w:val="clear" w:color="auto" w:fill="FABF8F" w:themeFill="accent6" w:themeFillTint="99"/>
        </w:rPr>
        <w:t xml:space="preserve">-CoV-2 viral culture or </w:t>
      </w:r>
      <w:r>
        <w:rPr>
          <w:b/>
          <w:shd w:val="clear" w:color="auto" w:fill="FABF8F" w:themeFill="accent6" w:themeFillTint="99"/>
        </w:rPr>
        <w:t xml:space="preserve">infected </w:t>
      </w:r>
      <w:r w:rsidR="001A2FC7" w:rsidRPr="00EA287B">
        <w:rPr>
          <w:b/>
          <w:shd w:val="clear" w:color="auto" w:fill="FABF8F" w:themeFill="accent6" w:themeFillTint="99"/>
        </w:rPr>
        <w:t>animals must be carried out at Containment Level 3, in one of UCL’s existing approved facilities.</w:t>
      </w:r>
      <w:r w:rsidR="00567857" w:rsidRPr="00EA287B">
        <w:rPr>
          <w:b/>
          <w:shd w:val="clear" w:color="auto" w:fill="FABF8F" w:themeFill="accent6" w:themeFillTint="99"/>
        </w:rPr>
        <w:t xml:space="preserve"> This ranges from </w:t>
      </w:r>
      <w:r w:rsidR="009A3DB2">
        <w:rPr>
          <w:b/>
          <w:shd w:val="clear" w:color="auto" w:fill="FABF8F" w:themeFill="accent6" w:themeFillTint="99"/>
        </w:rPr>
        <w:t xml:space="preserve">sample manipulation; </w:t>
      </w:r>
      <w:r w:rsidR="00567857" w:rsidRPr="00EA287B">
        <w:rPr>
          <w:b/>
          <w:shd w:val="clear" w:color="auto" w:fill="FABF8F" w:themeFill="accent6" w:themeFillTint="99"/>
        </w:rPr>
        <w:t>non-propagative activity that may concentrate or isolate</w:t>
      </w:r>
      <w:r w:rsidR="009A3DB2">
        <w:rPr>
          <w:b/>
          <w:shd w:val="clear" w:color="auto" w:fill="FABF8F" w:themeFill="accent6" w:themeFillTint="99"/>
        </w:rPr>
        <w:t xml:space="preserve"> SARS-CoV-2;</w:t>
      </w:r>
      <w:r w:rsidR="00567857" w:rsidRPr="00EA287B">
        <w:rPr>
          <w:b/>
          <w:shd w:val="clear" w:color="auto" w:fill="FABF8F" w:themeFill="accent6" w:themeFillTint="99"/>
        </w:rPr>
        <w:t xml:space="preserve"> to propagative work and all </w:t>
      </w:r>
      <w:r w:rsidR="00567857" w:rsidRPr="00EA287B">
        <w:rPr>
          <w:b/>
          <w:i/>
          <w:shd w:val="clear" w:color="auto" w:fill="FABF8F" w:themeFill="accent6" w:themeFillTint="99"/>
        </w:rPr>
        <w:t>in vivo</w:t>
      </w:r>
      <w:r w:rsidR="00567857" w:rsidRPr="00EA287B">
        <w:rPr>
          <w:b/>
          <w:shd w:val="clear" w:color="auto" w:fill="FABF8F" w:themeFill="accent6" w:themeFillTint="99"/>
        </w:rPr>
        <w:t xml:space="preserve"> work.</w:t>
      </w:r>
    </w:p>
    <w:p w14:paraId="6220BFC5" w14:textId="33822C02" w:rsidR="005E7FCB" w:rsidRDefault="00413635" w:rsidP="00EA287B">
      <w:pPr>
        <w:rPr>
          <w:b/>
          <w:lang w:val="en-GB"/>
        </w:rPr>
      </w:pPr>
      <w:r>
        <w:rPr>
          <w:lang w:val="en-GB"/>
        </w:rPr>
        <w:t xml:space="preserve">Based on current standards and what is known so far about the virus, below is guidance to follow when planning your </w:t>
      </w:r>
      <w:r w:rsidR="00567857">
        <w:rPr>
          <w:lang w:val="en-GB"/>
        </w:rPr>
        <w:t xml:space="preserve">research </w:t>
      </w:r>
      <w:r>
        <w:rPr>
          <w:lang w:val="en-GB"/>
        </w:rPr>
        <w:t xml:space="preserve">work </w:t>
      </w:r>
      <w:r w:rsidR="00EA287B">
        <w:rPr>
          <w:lang w:val="en-GB"/>
        </w:rPr>
        <w:t>at Containment Level 3</w:t>
      </w:r>
      <w:r w:rsidR="00567857">
        <w:rPr>
          <w:lang w:val="en-GB"/>
        </w:rPr>
        <w:t>:</w:t>
      </w:r>
    </w:p>
    <w:p w14:paraId="70963040" w14:textId="587F8721" w:rsidR="00B71326" w:rsidRPr="00B71326" w:rsidRDefault="00EA287B" w:rsidP="00F860A1">
      <w:pPr>
        <w:pStyle w:val="ListParagraph"/>
        <w:numPr>
          <w:ilvl w:val="0"/>
          <w:numId w:val="10"/>
        </w:numPr>
        <w:ind w:hanging="357"/>
        <w:contextualSpacing w:val="0"/>
        <w:rPr>
          <w:lang w:val="en-GB"/>
        </w:rPr>
      </w:pPr>
      <w:r>
        <w:rPr>
          <w:b/>
          <w:lang w:val="en-GB"/>
        </w:rPr>
        <w:t>Document a r</w:t>
      </w:r>
      <w:r w:rsidR="00B71326" w:rsidRPr="00B71326">
        <w:rPr>
          <w:b/>
          <w:lang w:val="en-GB"/>
        </w:rPr>
        <w:t>isk assessment</w:t>
      </w:r>
      <w:r w:rsidR="00B71326">
        <w:rPr>
          <w:lang w:val="en-GB"/>
        </w:rPr>
        <w:t xml:space="preserve">; use the Hazard Group 3 or </w:t>
      </w:r>
      <w:r w:rsidR="00567857">
        <w:rPr>
          <w:lang w:val="en-GB"/>
        </w:rPr>
        <w:t xml:space="preserve">GM </w:t>
      </w:r>
      <w:r w:rsidR="00B71326">
        <w:rPr>
          <w:lang w:val="en-GB"/>
        </w:rPr>
        <w:t xml:space="preserve">Class 3 specialist templates in </w:t>
      </w:r>
      <w:hyperlink r:id="rId34" w:history="1">
        <w:proofErr w:type="spellStart"/>
        <w:r w:rsidR="00B71326">
          <w:rPr>
            <w:rStyle w:val="Hyperlink"/>
            <w:lang w:val="en-GB"/>
          </w:rPr>
          <w:t>r</w:t>
        </w:r>
        <w:r w:rsidR="00B71326" w:rsidRPr="00B71326">
          <w:rPr>
            <w:rStyle w:val="Hyperlink"/>
            <w:lang w:val="en-GB"/>
          </w:rPr>
          <w:t>iskNET</w:t>
        </w:r>
        <w:proofErr w:type="spellEnd"/>
      </w:hyperlink>
      <w:r w:rsidR="00B71326">
        <w:rPr>
          <w:lang w:val="en-GB"/>
        </w:rPr>
        <w:t>.</w:t>
      </w:r>
    </w:p>
    <w:p w14:paraId="14E99AB2" w14:textId="5CF9586C" w:rsidR="005E7FCB" w:rsidRPr="00413635" w:rsidRDefault="00413635" w:rsidP="00F860A1">
      <w:pPr>
        <w:pStyle w:val="ListParagraph"/>
        <w:numPr>
          <w:ilvl w:val="0"/>
          <w:numId w:val="10"/>
        </w:numPr>
        <w:ind w:hanging="357"/>
        <w:contextualSpacing w:val="0"/>
        <w:rPr>
          <w:lang w:val="en-GB"/>
        </w:rPr>
      </w:pPr>
      <w:r>
        <w:rPr>
          <w:b/>
          <w:bCs/>
          <w:lang w:val="en-GB"/>
        </w:rPr>
        <w:t>A safety cabinet must be used;</w:t>
      </w:r>
      <w:r w:rsidR="005E7FCB" w:rsidRPr="00413635">
        <w:rPr>
          <w:lang w:val="en-GB"/>
        </w:rPr>
        <w:t xml:space="preserve"> this can be Class I or Class II. If both types are available and samples</w:t>
      </w:r>
      <w:r w:rsidR="00B71326">
        <w:rPr>
          <w:lang w:val="en-GB"/>
        </w:rPr>
        <w:t xml:space="preserve"> </w:t>
      </w:r>
      <w:r w:rsidR="005E7FCB" w:rsidRPr="00413635">
        <w:rPr>
          <w:lang w:val="en-GB"/>
        </w:rPr>
        <w:t>/</w:t>
      </w:r>
      <w:r w:rsidR="00B71326">
        <w:rPr>
          <w:lang w:val="en-GB"/>
        </w:rPr>
        <w:t xml:space="preserve"> </w:t>
      </w:r>
      <w:r w:rsidR="005E7FCB" w:rsidRPr="00413635">
        <w:rPr>
          <w:lang w:val="en-GB"/>
        </w:rPr>
        <w:t xml:space="preserve">culture do not require sterile air, Class I cabinets are preferred as Class II cabinets are more affected by external factors and internal flow rates than Class I. If using a Class II, careful operation is crucial to prevent disruption to airflow and contaminated air escaping from the aperture. </w:t>
      </w:r>
      <w:r>
        <w:rPr>
          <w:lang w:val="en-GB"/>
        </w:rPr>
        <w:t xml:space="preserve">Use this </w:t>
      </w:r>
      <w:hyperlink r:id="rId35" w:history="1">
        <w:r w:rsidRPr="00F860A1">
          <w:rPr>
            <w:rStyle w:val="Hyperlink"/>
            <w:lang w:val="en-GB"/>
          </w:rPr>
          <w:t>WHO video</w:t>
        </w:r>
      </w:hyperlink>
      <w:r>
        <w:rPr>
          <w:lang w:val="en-GB"/>
        </w:rPr>
        <w:t xml:space="preserve"> for reference and share with your colleagues</w:t>
      </w:r>
      <w:r w:rsidR="005E7FCB" w:rsidRPr="00413635">
        <w:rPr>
          <w:lang w:val="en-GB"/>
        </w:rPr>
        <w:t>.</w:t>
      </w:r>
    </w:p>
    <w:p w14:paraId="60E06219" w14:textId="77777777" w:rsidR="005E7FCB" w:rsidRPr="00413635" w:rsidRDefault="005E7FCB" w:rsidP="00F860A1">
      <w:pPr>
        <w:pStyle w:val="ListParagraph"/>
        <w:numPr>
          <w:ilvl w:val="0"/>
          <w:numId w:val="10"/>
        </w:numPr>
        <w:ind w:hanging="357"/>
        <w:contextualSpacing w:val="0"/>
        <w:rPr>
          <w:lang w:val="en-GB"/>
        </w:rPr>
      </w:pPr>
      <w:r w:rsidRPr="00413635">
        <w:rPr>
          <w:b/>
          <w:bCs/>
          <w:lang w:val="en-GB"/>
        </w:rPr>
        <w:t>Procedures to minimise/prevent aerosols</w:t>
      </w:r>
      <w:r w:rsidRPr="00413635">
        <w:rPr>
          <w:lang w:val="en-GB"/>
        </w:rPr>
        <w:t xml:space="preserve"> must be clearly outlined in your risk assessments. Examples:</w:t>
      </w:r>
    </w:p>
    <w:p w14:paraId="1B204535" w14:textId="0F3949C7" w:rsidR="005E7FCB" w:rsidRPr="00413635" w:rsidRDefault="005E7FCB" w:rsidP="00F860A1">
      <w:pPr>
        <w:pStyle w:val="ListParagraph"/>
        <w:numPr>
          <w:ilvl w:val="1"/>
          <w:numId w:val="10"/>
        </w:numPr>
        <w:ind w:hanging="357"/>
        <w:contextualSpacing w:val="0"/>
        <w:rPr>
          <w:lang w:val="en-GB"/>
        </w:rPr>
      </w:pPr>
      <w:r w:rsidRPr="00413635">
        <w:rPr>
          <w:lang w:val="en-GB"/>
        </w:rPr>
        <w:t xml:space="preserve">Prior to opening any </w:t>
      </w:r>
      <w:r w:rsidR="00567857">
        <w:rPr>
          <w:lang w:val="en-GB"/>
        </w:rPr>
        <w:t>samples or cultures</w:t>
      </w:r>
      <w:r w:rsidRPr="00413635">
        <w:rPr>
          <w:lang w:val="en-GB"/>
        </w:rPr>
        <w:t xml:space="preserve">, wait at least 1 minute for aerosols to settle. </w:t>
      </w:r>
    </w:p>
    <w:p w14:paraId="400BB9DA" w14:textId="55825851" w:rsidR="005E7FCB" w:rsidRPr="00413635" w:rsidRDefault="005E7FCB" w:rsidP="00F860A1">
      <w:pPr>
        <w:pStyle w:val="ListParagraph"/>
        <w:numPr>
          <w:ilvl w:val="1"/>
          <w:numId w:val="10"/>
        </w:numPr>
        <w:ind w:hanging="357"/>
        <w:contextualSpacing w:val="0"/>
        <w:rPr>
          <w:lang w:val="en-GB"/>
        </w:rPr>
      </w:pPr>
      <w:r w:rsidRPr="00413635">
        <w:rPr>
          <w:lang w:val="en-GB"/>
        </w:rPr>
        <w:t>Centrifugation must be performed using '</w:t>
      </w:r>
      <w:proofErr w:type="spellStart"/>
      <w:r w:rsidRPr="00413635">
        <w:rPr>
          <w:lang w:val="en-GB"/>
        </w:rPr>
        <w:t>biosafe</w:t>
      </w:r>
      <w:proofErr w:type="spellEnd"/>
      <w:r w:rsidRPr="00413635">
        <w:rPr>
          <w:lang w:val="en-GB"/>
        </w:rPr>
        <w:t xml:space="preserve">' (sealed) rotors, which are loaded and unloaded in a safety cabinet. </w:t>
      </w:r>
    </w:p>
    <w:p w14:paraId="1CE5B17F" w14:textId="6A24FC1D" w:rsidR="005E7FCB" w:rsidRPr="00413635" w:rsidRDefault="005E7FCB" w:rsidP="00F860A1">
      <w:pPr>
        <w:pStyle w:val="ListParagraph"/>
        <w:numPr>
          <w:ilvl w:val="1"/>
          <w:numId w:val="10"/>
        </w:numPr>
        <w:ind w:hanging="357"/>
        <w:contextualSpacing w:val="0"/>
        <w:rPr>
          <w:lang w:val="en-GB"/>
        </w:rPr>
      </w:pPr>
      <w:r w:rsidRPr="00413635">
        <w:rPr>
          <w:lang w:val="en-GB"/>
        </w:rPr>
        <w:t xml:space="preserve">All pipetting work </w:t>
      </w:r>
      <w:r w:rsidR="00B71326">
        <w:rPr>
          <w:lang w:val="en-GB"/>
        </w:rPr>
        <w:t xml:space="preserve">must be </w:t>
      </w:r>
      <w:r w:rsidR="00F860A1">
        <w:rPr>
          <w:lang w:val="en-GB"/>
        </w:rPr>
        <w:t xml:space="preserve">carried out </w:t>
      </w:r>
      <w:r w:rsidRPr="00413635">
        <w:rPr>
          <w:lang w:val="en-GB"/>
        </w:rPr>
        <w:t xml:space="preserve">inside a safety cabinet. </w:t>
      </w:r>
    </w:p>
    <w:p w14:paraId="32D70BB0" w14:textId="6AEB86C8" w:rsidR="005E7FCB" w:rsidRPr="00413635" w:rsidRDefault="005E7FCB" w:rsidP="00F860A1">
      <w:pPr>
        <w:pStyle w:val="ListParagraph"/>
        <w:numPr>
          <w:ilvl w:val="1"/>
          <w:numId w:val="10"/>
        </w:numPr>
        <w:ind w:hanging="357"/>
        <w:contextualSpacing w:val="0"/>
        <w:rPr>
          <w:lang w:val="en-GB"/>
        </w:rPr>
      </w:pPr>
      <w:r w:rsidRPr="00413635">
        <w:rPr>
          <w:lang w:val="en-GB"/>
        </w:rPr>
        <w:t xml:space="preserve">When pipetting, tips </w:t>
      </w:r>
      <w:r w:rsidR="00B71326">
        <w:rPr>
          <w:lang w:val="en-GB"/>
        </w:rPr>
        <w:t>should</w:t>
      </w:r>
      <w:r w:rsidRPr="00413635">
        <w:rPr>
          <w:lang w:val="en-GB"/>
        </w:rPr>
        <w:t xml:space="preserve"> be submerged in liquid prior to release; tips drained against the inner wall of the receiving vessel; </w:t>
      </w:r>
      <w:r w:rsidR="00B71326">
        <w:rPr>
          <w:lang w:val="en-GB"/>
        </w:rPr>
        <w:t xml:space="preserve">do not forcibly expel </w:t>
      </w:r>
      <w:r w:rsidR="00B71326" w:rsidRPr="00413635">
        <w:rPr>
          <w:lang w:val="en-GB"/>
        </w:rPr>
        <w:t>liquid</w:t>
      </w:r>
      <w:r w:rsidRPr="00413635">
        <w:rPr>
          <w:lang w:val="en-GB"/>
        </w:rPr>
        <w:t xml:space="preserve">; </w:t>
      </w:r>
      <w:r w:rsidR="00B71326">
        <w:rPr>
          <w:lang w:val="en-GB"/>
        </w:rPr>
        <w:t xml:space="preserve">eject pipette </w:t>
      </w:r>
      <w:r w:rsidRPr="00413635">
        <w:rPr>
          <w:lang w:val="en-GB"/>
        </w:rPr>
        <w:t>tips carefully</w:t>
      </w:r>
      <w:r w:rsidR="00B71326">
        <w:rPr>
          <w:lang w:val="en-GB"/>
        </w:rPr>
        <w:t xml:space="preserve"> into waste containers</w:t>
      </w:r>
      <w:r w:rsidRPr="00413635">
        <w:rPr>
          <w:lang w:val="en-GB"/>
        </w:rPr>
        <w:t>.</w:t>
      </w:r>
    </w:p>
    <w:p w14:paraId="7EE81B67" w14:textId="3B2CF66E" w:rsidR="005E7FCB" w:rsidRPr="00413635" w:rsidRDefault="005E7FCB" w:rsidP="00F860A1">
      <w:pPr>
        <w:pStyle w:val="ListParagraph"/>
        <w:numPr>
          <w:ilvl w:val="0"/>
          <w:numId w:val="10"/>
        </w:numPr>
        <w:ind w:hanging="357"/>
        <w:contextualSpacing w:val="0"/>
        <w:rPr>
          <w:lang w:val="en-GB"/>
        </w:rPr>
      </w:pPr>
      <w:proofErr w:type="spellStart"/>
      <w:r w:rsidRPr="00413635">
        <w:rPr>
          <w:b/>
          <w:bCs/>
          <w:lang w:val="en-GB"/>
        </w:rPr>
        <w:t>Vortexing</w:t>
      </w:r>
      <w:proofErr w:type="spellEnd"/>
      <w:r w:rsidRPr="00413635">
        <w:rPr>
          <w:b/>
          <w:bCs/>
          <w:lang w:val="en-GB"/>
        </w:rPr>
        <w:t>, sonication or other high energy mixing</w:t>
      </w:r>
      <w:r w:rsidRPr="00413635">
        <w:rPr>
          <w:lang w:val="en-GB"/>
        </w:rPr>
        <w:t xml:space="preserve"> which is uncontained must not be carried out. In addition, carefully consider use and containment of samples in rockers, if these are required.</w:t>
      </w:r>
    </w:p>
    <w:p w14:paraId="29702EAA" w14:textId="1DA2DCE8" w:rsidR="005E7FCB" w:rsidRPr="00413635" w:rsidRDefault="00567857" w:rsidP="00F860A1">
      <w:pPr>
        <w:pStyle w:val="ListParagraph"/>
        <w:numPr>
          <w:ilvl w:val="0"/>
          <w:numId w:val="10"/>
        </w:numPr>
        <w:ind w:hanging="357"/>
        <w:contextualSpacing w:val="0"/>
        <w:rPr>
          <w:lang w:val="en-GB"/>
        </w:rPr>
      </w:pPr>
      <w:r>
        <w:rPr>
          <w:b/>
          <w:bCs/>
          <w:lang w:val="en-GB"/>
        </w:rPr>
        <w:t xml:space="preserve">If planning to culture the virus - </w:t>
      </w:r>
      <w:r w:rsidR="005E7FCB" w:rsidRPr="00567857">
        <w:rPr>
          <w:bCs/>
          <w:lang w:val="en-GB"/>
        </w:rPr>
        <w:t>volumes</w:t>
      </w:r>
      <w:r w:rsidR="005E7FCB" w:rsidRPr="00413635">
        <w:rPr>
          <w:lang w:val="en-GB"/>
        </w:rPr>
        <w:t xml:space="preserve"> should be limited to no more than 10ml per individual flask</w:t>
      </w:r>
      <w:r w:rsidR="00B71326">
        <w:rPr>
          <w:lang w:val="en-GB"/>
        </w:rPr>
        <w:t xml:space="preserve"> </w:t>
      </w:r>
      <w:r w:rsidR="005E7FCB" w:rsidRPr="00413635">
        <w:rPr>
          <w:lang w:val="en-GB"/>
        </w:rPr>
        <w:t>/</w:t>
      </w:r>
      <w:r w:rsidR="00B71326">
        <w:rPr>
          <w:lang w:val="en-GB"/>
        </w:rPr>
        <w:t xml:space="preserve"> </w:t>
      </w:r>
      <w:r w:rsidR="005E7FCB" w:rsidRPr="00413635">
        <w:rPr>
          <w:lang w:val="en-GB"/>
        </w:rPr>
        <w:t>container.</w:t>
      </w:r>
    </w:p>
    <w:p w14:paraId="4FBAE721" w14:textId="66506EA8" w:rsidR="005E7FCB" w:rsidRPr="00413635" w:rsidRDefault="005E7FCB" w:rsidP="00F860A1">
      <w:pPr>
        <w:pStyle w:val="ListParagraph"/>
        <w:numPr>
          <w:ilvl w:val="0"/>
          <w:numId w:val="10"/>
        </w:numPr>
        <w:ind w:hanging="357"/>
        <w:contextualSpacing w:val="0"/>
        <w:rPr>
          <w:lang w:val="en-GB"/>
        </w:rPr>
      </w:pPr>
      <w:r w:rsidRPr="00413635">
        <w:rPr>
          <w:b/>
          <w:bCs/>
          <w:lang w:val="en-GB"/>
        </w:rPr>
        <w:t>Waste handling</w:t>
      </w:r>
      <w:r w:rsidRPr="00413635">
        <w:rPr>
          <w:lang w:val="en-GB"/>
        </w:rPr>
        <w:t xml:space="preserve"> - consider use of </w:t>
      </w:r>
      <w:hyperlink r:id="rId36" w:history="1">
        <w:proofErr w:type="spellStart"/>
        <w:r w:rsidR="009A3DB2" w:rsidRPr="009A3DB2">
          <w:rPr>
            <w:rStyle w:val="Hyperlink"/>
            <w:lang w:val="en-GB"/>
          </w:rPr>
          <w:t>Vernagel</w:t>
        </w:r>
        <w:proofErr w:type="spellEnd"/>
      </w:hyperlink>
      <w:r w:rsidR="009A3DB2">
        <w:rPr>
          <w:lang w:val="en-GB"/>
        </w:rPr>
        <w:t xml:space="preserve"> </w:t>
      </w:r>
      <w:r w:rsidRPr="00413635">
        <w:rPr>
          <w:lang w:val="en-GB"/>
        </w:rPr>
        <w:t xml:space="preserve">in </w:t>
      </w:r>
      <w:r w:rsidR="00F860A1">
        <w:rPr>
          <w:lang w:val="en-GB"/>
        </w:rPr>
        <w:t>‘</w:t>
      </w:r>
      <w:proofErr w:type="spellStart"/>
      <w:r w:rsidRPr="00413635">
        <w:rPr>
          <w:lang w:val="en-GB"/>
        </w:rPr>
        <w:t>dispo</w:t>
      </w:r>
      <w:proofErr w:type="spellEnd"/>
      <w:r w:rsidRPr="00413635">
        <w:rPr>
          <w:lang w:val="en-GB"/>
        </w:rPr>
        <w:t xml:space="preserve"> jars</w:t>
      </w:r>
      <w:r w:rsidR="00F860A1">
        <w:rPr>
          <w:lang w:val="en-GB"/>
        </w:rPr>
        <w:t>’</w:t>
      </w:r>
      <w:r w:rsidRPr="00413635">
        <w:rPr>
          <w:lang w:val="en-GB"/>
        </w:rPr>
        <w:t xml:space="preserve"> so that waste containers can be removed without liquid, avoiding splashes and aerosols. This applies to solid and liquid waste and means </w:t>
      </w:r>
      <w:r w:rsidR="00F860A1">
        <w:rPr>
          <w:lang w:val="en-GB"/>
        </w:rPr>
        <w:t xml:space="preserve">liquid does not need to be poured </w:t>
      </w:r>
      <w:r w:rsidRPr="00413635">
        <w:rPr>
          <w:lang w:val="en-GB"/>
        </w:rPr>
        <w:t xml:space="preserve">down sinks. If </w:t>
      </w:r>
      <w:proofErr w:type="spellStart"/>
      <w:r w:rsidRPr="00413635">
        <w:rPr>
          <w:lang w:val="en-GB"/>
        </w:rPr>
        <w:t>Vernagel</w:t>
      </w:r>
      <w:proofErr w:type="spellEnd"/>
      <w:r w:rsidRPr="00413635">
        <w:rPr>
          <w:lang w:val="en-GB"/>
        </w:rPr>
        <w:t xml:space="preserve"> is used, all waste is solidified and can then be autoclaved.</w:t>
      </w:r>
    </w:p>
    <w:p w14:paraId="5041BFBE" w14:textId="15183763" w:rsidR="005E7FCB" w:rsidRPr="00413635" w:rsidRDefault="005E7FCB" w:rsidP="00F860A1">
      <w:pPr>
        <w:pStyle w:val="ListParagraph"/>
        <w:numPr>
          <w:ilvl w:val="0"/>
          <w:numId w:val="10"/>
        </w:numPr>
        <w:ind w:hanging="357"/>
        <w:contextualSpacing w:val="0"/>
        <w:rPr>
          <w:lang w:val="en-GB"/>
        </w:rPr>
      </w:pPr>
      <w:r w:rsidRPr="00413635">
        <w:rPr>
          <w:b/>
          <w:bCs/>
          <w:lang w:val="en-GB"/>
        </w:rPr>
        <w:t>Emergency response</w:t>
      </w:r>
      <w:r w:rsidRPr="00413635">
        <w:rPr>
          <w:lang w:val="en-GB"/>
        </w:rPr>
        <w:t xml:space="preserve"> - compare </w:t>
      </w:r>
      <w:r w:rsidR="00B71326">
        <w:rPr>
          <w:lang w:val="en-GB"/>
        </w:rPr>
        <w:t>your</w:t>
      </w:r>
      <w:r w:rsidRPr="00413635">
        <w:rPr>
          <w:lang w:val="en-GB"/>
        </w:rPr>
        <w:t xml:space="preserve"> </w:t>
      </w:r>
      <w:r w:rsidR="00B71326">
        <w:rPr>
          <w:lang w:val="en-GB"/>
        </w:rPr>
        <w:t xml:space="preserve">approach to </w:t>
      </w:r>
      <w:r w:rsidRPr="00413635">
        <w:rPr>
          <w:lang w:val="en-GB"/>
        </w:rPr>
        <w:t xml:space="preserve">other labs and </w:t>
      </w:r>
      <w:r w:rsidR="00F860A1">
        <w:rPr>
          <w:lang w:val="en-GB"/>
        </w:rPr>
        <w:t xml:space="preserve">discuss </w:t>
      </w:r>
      <w:r w:rsidRPr="00413635">
        <w:rPr>
          <w:lang w:val="en-GB"/>
        </w:rPr>
        <w:t>any differences.</w:t>
      </w:r>
    </w:p>
    <w:p w14:paraId="0565C54D" w14:textId="47F1D450" w:rsidR="005E7FCB" w:rsidRPr="00413635" w:rsidRDefault="005E7FCB" w:rsidP="00F860A1">
      <w:pPr>
        <w:pStyle w:val="ListParagraph"/>
        <w:numPr>
          <w:ilvl w:val="0"/>
          <w:numId w:val="10"/>
        </w:numPr>
        <w:ind w:hanging="357"/>
        <w:contextualSpacing w:val="0"/>
        <w:rPr>
          <w:lang w:val="en-GB"/>
        </w:rPr>
      </w:pPr>
      <w:r w:rsidRPr="00413635">
        <w:rPr>
          <w:b/>
          <w:bCs/>
          <w:lang w:val="en-GB"/>
        </w:rPr>
        <w:lastRenderedPageBreak/>
        <w:t>If fixing / treating samples</w:t>
      </w:r>
      <w:r w:rsidR="00B71326">
        <w:rPr>
          <w:lang w:val="en-GB"/>
        </w:rPr>
        <w:t xml:space="preserve"> for removal to </w:t>
      </w:r>
      <w:r w:rsidRPr="00413635">
        <w:rPr>
          <w:lang w:val="en-GB"/>
        </w:rPr>
        <w:t xml:space="preserve">lower containment </w:t>
      </w:r>
      <w:r w:rsidR="00B71326">
        <w:rPr>
          <w:lang w:val="en-GB"/>
        </w:rPr>
        <w:t>(CL2),</w:t>
      </w:r>
      <w:r w:rsidRPr="00413635">
        <w:rPr>
          <w:lang w:val="en-GB"/>
        </w:rPr>
        <w:t xml:space="preserve"> you should cite references to support the efficacy of the method to fix or </w:t>
      </w:r>
      <w:r w:rsidR="00B71326">
        <w:rPr>
          <w:lang w:val="en-GB"/>
        </w:rPr>
        <w:t>inactivate. F</w:t>
      </w:r>
      <w:r w:rsidRPr="00413635">
        <w:rPr>
          <w:lang w:val="en-GB"/>
        </w:rPr>
        <w:t>or example fixing with formaldehyde</w:t>
      </w:r>
      <w:r w:rsidR="00B71326">
        <w:rPr>
          <w:lang w:val="en-GB"/>
        </w:rPr>
        <w:t xml:space="preserve"> (4% PFA)</w:t>
      </w:r>
      <w:r w:rsidRPr="00413635">
        <w:rPr>
          <w:lang w:val="en-GB"/>
        </w:rPr>
        <w:t xml:space="preserve"> you can </w:t>
      </w:r>
      <w:r w:rsidR="00B71326">
        <w:rPr>
          <w:lang w:val="en-GB"/>
        </w:rPr>
        <w:t xml:space="preserve">reference </w:t>
      </w:r>
      <w:hyperlink r:id="rId37" w:history="1">
        <w:r w:rsidRPr="00413635">
          <w:rPr>
            <w:rStyle w:val="Hyperlink"/>
            <w:lang w:val="en-GB"/>
          </w:rPr>
          <w:t>this paper</w:t>
        </w:r>
      </w:hyperlink>
      <w:r w:rsidRPr="00413635">
        <w:rPr>
          <w:lang w:val="en-GB"/>
        </w:rPr>
        <w:t xml:space="preserve">; using lysis buffers such as </w:t>
      </w:r>
      <w:proofErr w:type="spellStart"/>
      <w:r w:rsidRPr="00413635">
        <w:rPr>
          <w:lang w:val="en-GB"/>
        </w:rPr>
        <w:t>TriZol</w:t>
      </w:r>
      <w:proofErr w:type="spellEnd"/>
      <w:r w:rsidRPr="00413635">
        <w:rPr>
          <w:lang w:val="en-GB"/>
        </w:rPr>
        <w:t xml:space="preserve">, you can reference </w:t>
      </w:r>
      <w:hyperlink r:id="rId38" w:history="1">
        <w:r w:rsidRPr="00413635">
          <w:rPr>
            <w:rStyle w:val="Hyperlink"/>
            <w:lang w:val="en-GB"/>
          </w:rPr>
          <w:t>this paper</w:t>
        </w:r>
      </w:hyperlink>
      <w:r w:rsidRPr="00413635">
        <w:rPr>
          <w:lang w:val="en-GB"/>
        </w:rPr>
        <w:t xml:space="preserve">. </w:t>
      </w:r>
    </w:p>
    <w:p w14:paraId="21B9A08E" w14:textId="6D5B4017" w:rsidR="00DF0E8D" w:rsidRPr="003D30E8" w:rsidRDefault="00DF0E8D" w:rsidP="00B37466">
      <w:pPr>
        <w:pStyle w:val="Heading2"/>
        <w:rPr>
          <w:lang w:val="en-GB"/>
        </w:rPr>
      </w:pPr>
      <w:bookmarkStart w:id="6" w:name="_Sample_collection"/>
      <w:bookmarkEnd w:id="6"/>
      <w:r w:rsidRPr="003D30E8">
        <w:rPr>
          <w:lang w:val="en-GB"/>
        </w:rPr>
        <w:t>Sample collection</w:t>
      </w:r>
    </w:p>
    <w:p w14:paraId="2DA04A7A" w14:textId="27A14323" w:rsidR="00DF0E8D" w:rsidRPr="003D30E8" w:rsidRDefault="00DF0E8D" w:rsidP="00DF0E8D">
      <w:pPr>
        <w:rPr>
          <w:lang w:val="en-GB"/>
        </w:rPr>
      </w:pPr>
      <w:r w:rsidRPr="003D30E8">
        <w:rPr>
          <w:lang w:val="en-GB"/>
        </w:rPr>
        <w:t xml:space="preserve">Where UCL staff </w:t>
      </w:r>
      <w:r w:rsidR="00BB7985" w:rsidRPr="003D30E8">
        <w:rPr>
          <w:lang w:val="en-GB"/>
        </w:rPr>
        <w:t xml:space="preserve">plan to </w:t>
      </w:r>
      <w:r w:rsidRPr="003D30E8">
        <w:rPr>
          <w:lang w:val="en-GB"/>
        </w:rPr>
        <w:t>collect samples in primary and community care settings or in private homes, the following guidance from PHE must be considered:</w:t>
      </w:r>
    </w:p>
    <w:p w14:paraId="7955FE3D" w14:textId="1DF0CCC5" w:rsidR="00DF0E8D" w:rsidRPr="003D30E8" w:rsidRDefault="00473B6E" w:rsidP="003D30E8">
      <w:pPr>
        <w:pStyle w:val="ListParagraph"/>
        <w:numPr>
          <w:ilvl w:val="0"/>
          <w:numId w:val="19"/>
        </w:numPr>
        <w:contextualSpacing w:val="0"/>
        <w:rPr>
          <w:lang w:val="en-GB"/>
        </w:rPr>
      </w:pPr>
      <w:hyperlink r:id="rId39" w:anchor="personal-protective-equipment" w:history="1">
        <w:r w:rsidR="00DF0E8D" w:rsidRPr="003D30E8">
          <w:rPr>
            <w:rStyle w:val="Hyperlink"/>
            <w:lang w:val="en-GB"/>
          </w:rPr>
          <w:t>Reco</w:t>
        </w:r>
        <w:r w:rsidR="00DF0E8D" w:rsidRPr="003D30E8">
          <w:rPr>
            <w:rStyle w:val="Hyperlink"/>
            <w:lang w:val="en-GB"/>
          </w:rPr>
          <w:t>m</w:t>
        </w:r>
        <w:r w:rsidR="00DF0E8D" w:rsidRPr="003D30E8">
          <w:rPr>
            <w:rStyle w:val="Hyperlink"/>
            <w:lang w:val="en-GB"/>
          </w:rPr>
          <w:t>men</w:t>
        </w:r>
        <w:r w:rsidR="00DF0E8D" w:rsidRPr="003D30E8">
          <w:rPr>
            <w:rStyle w:val="Hyperlink"/>
            <w:lang w:val="en-GB"/>
          </w:rPr>
          <w:t>d</w:t>
        </w:r>
        <w:r w:rsidR="00DF0E8D" w:rsidRPr="003D30E8">
          <w:rPr>
            <w:rStyle w:val="Hyperlink"/>
            <w:lang w:val="en-GB"/>
          </w:rPr>
          <w:t>ed PPE</w:t>
        </w:r>
      </w:hyperlink>
      <w:r w:rsidR="003D30E8" w:rsidRPr="003D30E8">
        <w:rPr>
          <w:lang w:val="en-GB"/>
        </w:rPr>
        <w:t xml:space="preserve"> for low risk pathways, observing standard infection control precautions</w:t>
      </w:r>
    </w:p>
    <w:p w14:paraId="7B4C68C6" w14:textId="71017D9D" w:rsidR="00DF0E8D" w:rsidRPr="003D30E8" w:rsidRDefault="00DF0E8D" w:rsidP="00DF0E8D">
      <w:pPr>
        <w:pStyle w:val="ListParagraph"/>
        <w:numPr>
          <w:ilvl w:val="0"/>
          <w:numId w:val="19"/>
        </w:numPr>
        <w:ind w:left="714" w:hanging="357"/>
        <w:contextualSpacing w:val="0"/>
        <w:rPr>
          <w:lang w:val="en-GB"/>
        </w:rPr>
      </w:pPr>
      <w:r w:rsidRPr="003D30E8">
        <w:rPr>
          <w:lang w:val="en-GB"/>
        </w:rPr>
        <w:t xml:space="preserve">Guide to what is considered as </w:t>
      </w:r>
      <w:hyperlink r:id="rId40" w:anchor="ppe-guidance-by-healthcare-context" w:history="1">
        <w:r w:rsidRPr="003D30E8">
          <w:rPr>
            <w:rStyle w:val="Hyperlink"/>
            <w:lang w:val="en-GB"/>
          </w:rPr>
          <w:t>aerosol generatin</w:t>
        </w:r>
        <w:r w:rsidRPr="003D30E8">
          <w:rPr>
            <w:rStyle w:val="Hyperlink"/>
            <w:lang w:val="en-GB"/>
          </w:rPr>
          <w:t>g</w:t>
        </w:r>
        <w:r w:rsidRPr="003D30E8">
          <w:rPr>
            <w:rStyle w:val="Hyperlink"/>
            <w:lang w:val="en-GB"/>
          </w:rPr>
          <w:t xml:space="preserve"> procedures</w:t>
        </w:r>
      </w:hyperlink>
      <w:r w:rsidRPr="003D30E8">
        <w:rPr>
          <w:color w:val="FF0000"/>
          <w:lang w:val="en-GB"/>
        </w:rPr>
        <w:t xml:space="preserve"> </w:t>
      </w:r>
      <w:r w:rsidRPr="003D30E8">
        <w:rPr>
          <w:lang w:val="en-GB"/>
        </w:rPr>
        <w:t xml:space="preserve">in </w:t>
      </w:r>
      <w:r w:rsidRPr="003D30E8">
        <w:rPr>
          <w:b/>
          <w:bCs/>
          <w:lang w:val="en-GB"/>
        </w:rPr>
        <w:t>healthcare settings</w:t>
      </w:r>
      <w:r w:rsidR="00BB7985" w:rsidRPr="003D30E8">
        <w:rPr>
          <w:b/>
          <w:bCs/>
          <w:lang w:val="en-GB"/>
        </w:rPr>
        <w:t>.</w:t>
      </w:r>
    </w:p>
    <w:p w14:paraId="3D5C7854" w14:textId="77777777" w:rsidR="00DF0E8D" w:rsidRPr="003D30E8" w:rsidRDefault="00473B6E" w:rsidP="00DF0E8D">
      <w:pPr>
        <w:pStyle w:val="ListParagraph"/>
        <w:numPr>
          <w:ilvl w:val="0"/>
          <w:numId w:val="19"/>
        </w:numPr>
        <w:ind w:left="714" w:hanging="357"/>
        <w:contextualSpacing w:val="0"/>
        <w:rPr>
          <w:lang w:val="en-GB"/>
        </w:rPr>
      </w:pPr>
      <w:hyperlink r:id="rId41" w:history="1">
        <w:r w:rsidR="00DF0E8D" w:rsidRPr="003D30E8">
          <w:rPr>
            <w:rStyle w:val="Hyperlink"/>
            <w:lang w:val="en-GB"/>
          </w:rPr>
          <w:t>Best practice gu</w:t>
        </w:r>
        <w:r w:rsidR="00DF0E8D" w:rsidRPr="003D30E8">
          <w:rPr>
            <w:rStyle w:val="Hyperlink"/>
            <w:lang w:val="en-GB"/>
          </w:rPr>
          <w:t>i</w:t>
        </w:r>
        <w:r w:rsidR="00DF0E8D" w:rsidRPr="003D30E8">
          <w:rPr>
            <w:rStyle w:val="Hyperlink"/>
            <w:lang w:val="en-GB"/>
          </w:rPr>
          <w:t>dance</w:t>
        </w:r>
      </w:hyperlink>
      <w:r w:rsidR="00DF0E8D" w:rsidRPr="003D30E8">
        <w:rPr>
          <w:color w:val="FF0000"/>
          <w:lang w:val="en-GB"/>
        </w:rPr>
        <w:t xml:space="preserve"> </w:t>
      </w:r>
      <w:r w:rsidR="00DF0E8D" w:rsidRPr="003D30E8">
        <w:rPr>
          <w:lang w:val="en-GB"/>
        </w:rPr>
        <w:t>on blood and bodily fluid spillages.</w:t>
      </w:r>
    </w:p>
    <w:p w14:paraId="01B6947C" w14:textId="6D9C56C4" w:rsidR="008E3CA2" w:rsidRDefault="008E3CA2" w:rsidP="00B37466">
      <w:pPr>
        <w:pStyle w:val="Heading2"/>
        <w:rPr>
          <w:lang w:val="en-GB"/>
        </w:rPr>
      </w:pPr>
      <w:bookmarkStart w:id="7" w:name="_Sample_transport"/>
      <w:bookmarkEnd w:id="7"/>
      <w:r>
        <w:rPr>
          <w:lang w:val="en-GB"/>
        </w:rPr>
        <w:t>Sample transport</w:t>
      </w:r>
    </w:p>
    <w:p w14:paraId="04E221CF" w14:textId="75E1BABB" w:rsidR="008E3CA2" w:rsidRPr="008E3CA2" w:rsidRDefault="008E3CA2" w:rsidP="008E3CA2">
      <w:pPr>
        <w:rPr>
          <w:lang w:val="en-GB"/>
        </w:rPr>
      </w:pPr>
      <w:r w:rsidRPr="008E3CA2">
        <w:rPr>
          <w:lang w:val="en-GB"/>
        </w:rPr>
        <w:t xml:space="preserve">All </w:t>
      </w:r>
      <w:r>
        <w:rPr>
          <w:lang w:val="en-GB"/>
        </w:rPr>
        <w:t xml:space="preserve">COVID-19 patient </w:t>
      </w:r>
      <w:r w:rsidRPr="008E3CA2">
        <w:rPr>
          <w:lang w:val="en-GB"/>
        </w:rPr>
        <w:t xml:space="preserve">samples must be transported as UN3373 Category B infectious substance. </w:t>
      </w:r>
      <w:hyperlink r:id="rId42" w:anchor="packaging-and-transport-of-samples" w:history="1">
        <w:r w:rsidRPr="008E3CA2">
          <w:rPr>
            <w:rStyle w:val="Hyperlink"/>
            <w:lang w:val="en-GB"/>
          </w:rPr>
          <w:t>PHE guidan</w:t>
        </w:r>
        <w:r w:rsidRPr="008E3CA2">
          <w:rPr>
            <w:rStyle w:val="Hyperlink"/>
            <w:lang w:val="en-GB"/>
          </w:rPr>
          <w:t>c</w:t>
        </w:r>
        <w:r w:rsidRPr="008E3CA2">
          <w:rPr>
            <w:rStyle w:val="Hyperlink"/>
            <w:lang w:val="en-GB"/>
          </w:rPr>
          <w:t>e</w:t>
        </w:r>
      </w:hyperlink>
      <w:r w:rsidRPr="008E3CA2">
        <w:rPr>
          <w:lang w:val="en-GB"/>
        </w:rPr>
        <w:t xml:space="preserve"> includes a table showing different types of samples and the correct transport category to use. A </w:t>
      </w:r>
      <w:hyperlink r:id="rId43" w:history="1">
        <w:r w:rsidRPr="008E3CA2">
          <w:rPr>
            <w:rStyle w:val="Hyperlink"/>
            <w:lang w:val="en-GB"/>
          </w:rPr>
          <w:t>step-by-step poster</w:t>
        </w:r>
      </w:hyperlink>
      <w:r w:rsidRPr="008E3CA2">
        <w:rPr>
          <w:lang w:val="en-GB"/>
        </w:rPr>
        <w:t xml:space="preserve"> explaining the packaging requirements is also available. Cultured samples for research or calibration must be transported as UN2814 Category A infectious substance. As with any transport of dangerous goods, you should use a courier or walk with samples. Do not use taxis or public transport.</w:t>
      </w:r>
    </w:p>
    <w:p w14:paraId="3A102F53" w14:textId="2B17D533" w:rsidR="00506C21" w:rsidRPr="00C019BB" w:rsidRDefault="00506C21" w:rsidP="00B37466">
      <w:pPr>
        <w:pStyle w:val="Heading2"/>
        <w:rPr>
          <w:lang w:val="en-GB"/>
        </w:rPr>
      </w:pPr>
      <w:bookmarkStart w:id="8" w:name="_Training,_competency,_supervision"/>
      <w:bookmarkEnd w:id="8"/>
      <w:r w:rsidRPr="00C019BB">
        <w:rPr>
          <w:lang w:val="en-GB"/>
        </w:rPr>
        <w:t>Training, competency, supervision and support</w:t>
      </w:r>
    </w:p>
    <w:p w14:paraId="7EF69A62" w14:textId="36C6A929" w:rsidR="00506C21" w:rsidRPr="00C019BB" w:rsidRDefault="00506C21" w:rsidP="00506C21">
      <w:pPr>
        <w:rPr>
          <w:lang w:val="en-GB"/>
        </w:rPr>
      </w:pPr>
      <w:r w:rsidRPr="00C019BB">
        <w:rPr>
          <w:lang w:val="en-GB"/>
        </w:rPr>
        <w:t>In addition to containment measures, it is important to consider training need</w:t>
      </w:r>
      <w:r w:rsidR="006519D9" w:rsidRPr="00C019BB">
        <w:rPr>
          <w:lang w:val="en-GB"/>
        </w:rPr>
        <w:t>s</w:t>
      </w:r>
      <w:r w:rsidRPr="00C019BB">
        <w:rPr>
          <w:lang w:val="en-GB"/>
        </w:rPr>
        <w:t xml:space="preserve">, competency assessment, adequate supervision and support from other teams including professional services for the </w:t>
      </w:r>
      <w:r w:rsidR="006519D9" w:rsidRPr="00C019BB">
        <w:rPr>
          <w:lang w:val="en-GB"/>
        </w:rPr>
        <w:t xml:space="preserve">duration of your activity. </w:t>
      </w:r>
    </w:p>
    <w:p w14:paraId="063EC00D" w14:textId="5AA1EB6D" w:rsidR="00506C21" w:rsidRPr="00C019BB" w:rsidRDefault="006519D9" w:rsidP="006519D9">
      <w:pPr>
        <w:pStyle w:val="ListParagraph"/>
        <w:numPr>
          <w:ilvl w:val="0"/>
          <w:numId w:val="16"/>
        </w:numPr>
        <w:ind w:left="714" w:hanging="357"/>
        <w:contextualSpacing w:val="0"/>
        <w:rPr>
          <w:lang w:val="en-GB"/>
        </w:rPr>
      </w:pPr>
      <w:r w:rsidRPr="00C019BB">
        <w:rPr>
          <w:lang w:val="en-GB"/>
        </w:rPr>
        <w:t>O</w:t>
      </w:r>
      <w:r w:rsidR="00506C21" w:rsidRPr="00C019BB">
        <w:rPr>
          <w:lang w:val="en-GB"/>
        </w:rPr>
        <w:t xml:space="preserve">nly fully trained and competent staff </w:t>
      </w:r>
      <w:r w:rsidRPr="00C019BB">
        <w:rPr>
          <w:lang w:val="en-GB"/>
        </w:rPr>
        <w:t xml:space="preserve">should </w:t>
      </w:r>
      <w:r w:rsidR="00506C21" w:rsidRPr="00C019BB">
        <w:rPr>
          <w:lang w:val="en-GB"/>
        </w:rPr>
        <w:t>undertake work</w:t>
      </w:r>
      <w:r w:rsidRPr="00C019BB">
        <w:rPr>
          <w:lang w:val="en-GB"/>
        </w:rPr>
        <w:t xml:space="preserve"> in containment laboratories. The </w:t>
      </w:r>
      <w:r w:rsidR="00506C21" w:rsidRPr="00C019BB">
        <w:rPr>
          <w:lang w:val="en-GB"/>
        </w:rPr>
        <w:t>level of training provided should be appropriate to the level of risk and the complexity of the procedures being undertaken</w:t>
      </w:r>
      <w:r w:rsidRPr="00C019BB">
        <w:rPr>
          <w:lang w:val="en-GB"/>
        </w:rPr>
        <w:t xml:space="preserve">. </w:t>
      </w:r>
      <w:r w:rsidR="00AB47BE" w:rsidRPr="00C019BB">
        <w:rPr>
          <w:lang w:val="en-GB"/>
        </w:rPr>
        <w:t xml:space="preserve">A competent person with prior experience must carry out training, with line managers responsible for ensuring training and competency </w:t>
      </w:r>
      <w:r w:rsidR="00C019BB" w:rsidRPr="00C019BB">
        <w:rPr>
          <w:lang w:val="en-GB"/>
        </w:rPr>
        <w:t xml:space="preserve">assessments are </w:t>
      </w:r>
      <w:r w:rsidR="00AB47BE" w:rsidRPr="00C019BB">
        <w:rPr>
          <w:lang w:val="en-GB"/>
        </w:rPr>
        <w:t>completed.</w:t>
      </w:r>
      <w:r w:rsidR="00C019BB" w:rsidRPr="00C019BB">
        <w:rPr>
          <w:lang w:val="en-GB"/>
        </w:rPr>
        <w:t xml:space="preserve"> Records of training should be kept.</w:t>
      </w:r>
    </w:p>
    <w:p w14:paraId="65463F59" w14:textId="4697FF76" w:rsidR="006519D9" w:rsidRPr="00C019BB" w:rsidRDefault="006519D9" w:rsidP="006519D9">
      <w:pPr>
        <w:pStyle w:val="ListParagraph"/>
        <w:numPr>
          <w:ilvl w:val="0"/>
          <w:numId w:val="16"/>
        </w:numPr>
        <w:ind w:left="714" w:hanging="357"/>
        <w:contextualSpacing w:val="0"/>
        <w:rPr>
          <w:lang w:val="en-GB"/>
        </w:rPr>
      </w:pPr>
      <w:r w:rsidRPr="00C019BB">
        <w:rPr>
          <w:lang w:val="en-GB"/>
        </w:rPr>
        <w:t xml:space="preserve">Previous experience or seniority does not mean a person is necessarily competent to </w:t>
      </w:r>
      <w:r w:rsidR="003C78AE" w:rsidRPr="00C019BB">
        <w:rPr>
          <w:lang w:val="en-GB"/>
        </w:rPr>
        <w:t>perform a particular activity</w:t>
      </w:r>
      <w:r w:rsidRPr="00C019BB">
        <w:rPr>
          <w:lang w:val="en-GB"/>
        </w:rPr>
        <w:t>. Competence should be viewed as the combination of training, skills, experience and knowledge that a person has, along with their ability to apply them to perform a task safely. Competence gained in one situation, or with one technique does not mean that an individual can carry out all work or any technique.</w:t>
      </w:r>
    </w:p>
    <w:p w14:paraId="30F2BF63" w14:textId="7EFD42C6" w:rsidR="006519D9" w:rsidRPr="00C019BB" w:rsidRDefault="006519D9" w:rsidP="006519D9">
      <w:pPr>
        <w:pStyle w:val="ListParagraph"/>
        <w:numPr>
          <w:ilvl w:val="0"/>
          <w:numId w:val="16"/>
        </w:numPr>
        <w:ind w:left="714" w:hanging="357"/>
        <w:contextualSpacing w:val="0"/>
        <w:rPr>
          <w:lang w:val="en-GB"/>
        </w:rPr>
      </w:pPr>
      <w:r w:rsidRPr="00C019BB">
        <w:rPr>
          <w:lang w:val="en-GB"/>
        </w:rPr>
        <w:t>Supervision help</w:t>
      </w:r>
      <w:r w:rsidR="003C78AE" w:rsidRPr="00C019BB">
        <w:rPr>
          <w:lang w:val="en-GB"/>
        </w:rPr>
        <w:t>s</w:t>
      </w:r>
      <w:r w:rsidRPr="00C019BB">
        <w:rPr>
          <w:lang w:val="en-GB"/>
        </w:rPr>
        <w:t xml:space="preserve"> to prevent people deviating from established procedures that may result in ill health or injury. The level of supervision required will depend on the risk associated with the task and the competence of the worker.</w:t>
      </w:r>
    </w:p>
    <w:p w14:paraId="4C5ACCEF" w14:textId="7D53B21C" w:rsidR="00506C21" w:rsidRPr="00C019BB" w:rsidRDefault="00DF0E8D" w:rsidP="006519D9">
      <w:pPr>
        <w:pStyle w:val="ListParagraph"/>
        <w:numPr>
          <w:ilvl w:val="0"/>
          <w:numId w:val="16"/>
        </w:numPr>
        <w:ind w:left="714" w:hanging="357"/>
        <w:contextualSpacing w:val="0"/>
        <w:rPr>
          <w:lang w:val="en-GB"/>
        </w:rPr>
      </w:pPr>
      <w:r w:rsidRPr="00C019BB">
        <w:rPr>
          <w:lang w:val="en-GB"/>
        </w:rPr>
        <w:t xml:space="preserve">As many UCL buildings </w:t>
      </w:r>
      <w:r w:rsidR="004F26A6">
        <w:rPr>
          <w:lang w:val="en-GB"/>
        </w:rPr>
        <w:t xml:space="preserve">may remain </w:t>
      </w:r>
      <w:r w:rsidRPr="00C019BB">
        <w:rPr>
          <w:lang w:val="en-GB"/>
        </w:rPr>
        <w:t>partly</w:t>
      </w:r>
      <w:r w:rsidR="003C78AE" w:rsidRPr="00C019BB">
        <w:rPr>
          <w:lang w:val="en-GB"/>
        </w:rPr>
        <w:t xml:space="preserve"> shutdown at this time;</w:t>
      </w:r>
      <w:r w:rsidRPr="00C019BB">
        <w:rPr>
          <w:lang w:val="en-GB"/>
        </w:rPr>
        <w:t xml:space="preserve"> support teams and colleagues including laboratory managers may not be available. Anyone planning work must consider the impact of reduced support</w:t>
      </w:r>
      <w:r w:rsidR="00506C21" w:rsidRPr="00C019BB">
        <w:rPr>
          <w:lang w:val="en-GB"/>
        </w:rPr>
        <w:t xml:space="preserve">. </w:t>
      </w:r>
      <w:r w:rsidRPr="00C019BB">
        <w:rPr>
          <w:lang w:val="en-GB"/>
        </w:rPr>
        <w:t xml:space="preserve">This </w:t>
      </w:r>
      <w:r w:rsidR="003C78AE" w:rsidRPr="00C019BB">
        <w:rPr>
          <w:lang w:val="en-GB"/>
        </w:rPr>
        <w:t xml:space="preserve">includes </w:t>
      </w:r>
      <w:r w:rsidRPr="00C019BB">
        <w:rPr>
          <w:lang w:val="en-GB"/>
        </w:rPr>
        <w:t xml:space="preserve">supply of consumables and chemicals, removal of waste, support for alarms and response in emergencies. As in normal circumstances, you must consider </w:t>
      </w:r>
      <w:r w:rsidR="00506C21" w:rsidRPr="00C019BB">
        <w:rPr>
          <w:lang w:val="en-GB"/>
        </w:rPr>
        <w:t xml:space="preserve">lone working </w:t>
      </w:r>
      <w:r w:rsidRPr="00C019BB">
        <w:rPr>
          <w:lang w:val="en-GB"/>
        </w:rPr>
        <w:t xml:space="preserve">and make appropriate arrangements following </w:t>
      </w:r>
      <w:hyperlink r:id="rId44" w:history="1">
        <w:r w:rsidRPr="00DF0E8D">
          <w:rPr>
            <w:rStyle w:val="Hyperlink"/>
            <w:lang w:val="en-GB"/>
          </w:rPr>
          <w:t xml:space="preserve">UCL </w:t>
        </w:r>
        <w:r w:rsidR="00506C21" w:rsidRPr="00DF0E8D">
          <w:rPr>
            <w:rStyle w:val="Hyperlink"/>
            <w:lang w:val="en-GB"/>
          </w:rPr>
          <w:t>guidance</w:t>
        </w:r>
      </w:hyperlink>
      <w:r w:rsidRPr="00C019BB">
        <w:rPr>
          <w:lang w:val="en-GB"/>
        </w:rPr>
        <w:t>.</w:t>
      </w:r>
    </w:p>
    <w:p w14:paraId="77E31564" w14:textId="1A20AA39" w:rsidR="00C019BB" w:rsidRPr="00C019BB" w:rsidRDefault="00C019BB" w:rsidP="00C019BB">
      <w:pPr>
        <w:pStyle w:val="Heading2"/>
        <w:rPr>
          <w:lang w:val="en-GB"/>
        </w:rPr>
      </w:pPr>
      <w:bookmarkStart w:id="9" w:name="_Vulnerable_groups"/>
      <w:bookmarkEnd w:id="9"/>
      <w:r w:rsidRPr="00C019BB">
        <w:rPr>
          <w:lang w:val="en-GB"/>
        </w:rPr>
        <w:lastRenderedPageBreak/>
        <w:t>Vulnerable groups</w:t>
      </w:r>
    </w:p>
    <w:p w14:paraId="29E92BE2" w14:textId="69590962" w:rsidR="00C019BB" w:rsidRDefault="00C019BB" w:rsidP="00C019BB">
      <w:pPr>
        <w:rPr>
          <w:lang w:val="en-GB"/>
        </w:rPr>
      </w:pPr>
      <w:r w:rsidRPr="00C019BB">
        <w:rPr>
          <w:lang w:val="en-GB"/>
        </w:rPr>
        <w:t xml:space="preserve">Consideration must be given in your risk assessment to vulnerable groups who are at increased risk of severe illness from coronavirus (COVID-19). Further information on this, including a list of underlying health conditions can be found in the UK Government </w:t>
      </w:r>
      <w:hyperlink r:id="rId45" w:history="1">
        <w:r w:rsidR="004F26A6">
          <w:rPr>
            <w:rStyle w:val="Hyperlink"/>
            <w:lang w:val="en-GB"/>
          </w:rPr>
          <w:t>guide on</w:t>
        </w:r>
        <w:r w:rsidR="004F26A6">
          <w:rPr>
            <w:rStyle w:val="Hyperlink"/>
            <w:lang w:val="en-GB"/>
          </w:rPr>
          <w:t xml:space="preserve"> </w:t>
        </w:r>
        <w:r w:rsidR="004F26A6">
          <w:rPr>
            <w:rStyle w:val="Hyperlink"/>
            <w:lang w:val="en-GB"/>
          </w:rPr>
          <w:t xml:space="preserve">protecting vulnerable </w:t>
        </w:r>
        <w:proofErr w:type="gramStart"/>
        <w:r w:rsidR="004F26A6">
          <w:rPr>
            <w:rStyle w:val="Hyperlink"/>
            <w:lang w:val="en-GB"/>
          </w:rPr>
          <w:t>persons</w:t>
        </w:r>
        <w:proofErr w:type="gramEnd"/>
        <w:r w:rsidR="004F26A6">
          <w:rPr>
            <w:rStyle w:val="Hyperlink"/>
            <w:lang w:val="en-GB"/>
          </w:rPr>
          <w:t>.</w:t>
        </w:r>
      </w:hyperlink>
      <w:r w:rsidRPr="00C019BB">
        <w:rPr>
          <w:lang w:val="en-GB"/>
        </w:rPr>
        <w:t>.</w:t>
      </w:r>
    </w:p>
    <w:p w14:paraId="3B4BC33A" w14:textId="568AE7BD" w:rsidR="00EB238A" w:rsidRPr="00C019BB" w:rsidRDefault="00EB238A" w:rsidP="00B37466">
      <w:pPr>
        <w:pStyle w:val="Heading2"/>
        <w:rPr>
          <w:lang w:val="en-GB"/>
        </w:rPr>
      </w:pPr>
      <w:bookmarkStart w:id="10" w:name="_Third_party_use"/>
      <w:bookmarkEnd w:id="10"/>
      <w:r w:rsidRPr="00C019BB">
        <w:rPr>
          <w:lang w:val="en-GB"/>
        </w:rPr>
        <w:t xml:space="preserve">Third party use of UCL </w:t>
      </w:r>
      <w:r w:rsidR="008444A4" w:rsidRPr="00C019BB">
        <w:rPr>
          <w:lang w:val="en-GB"/>
        </w:rPr>
        <w:t>laboratories and equipment</w:t>
      </w:r>
    </w:p>
    <w:p w14:paraId="5D5FFE43" w14:textId="0AF7DD05" w:rsidR="00EB238A" w:rsidRPr="00C019BB" w:rsidRDefault="00EB238A" w:rsidP="00EB238A">
      <w:pPr>
        <w:rPr>
          <w:lang w:val="en-GB"/>
        </w:rPr>
      </w:pPr>
      <w:r w:rsidRPr="00C019BB">
        <w:rPr>
          <w:lang w:val="en-GB"/>
        </w:rPr>
        <w:t xml:space="preserve">Partner organisations, such as NHS Trusts or HSL may request use of UCL laboratories or equipment during </w:t>
      </w:r>
      <w:r w:rsidR="008E4058">
        <w:rPr>
          <w:lang w:val="en-GB"/>
        </w:rPr>
        <w:t>the pandemic</w:t>
      </w:r>
      <w:r w:rsidRPr="00C019BB">
        <w:rPr>
          <w:lang w:val="en-GB"/>
        </w:rPr>
        <w:t>. This situation should be approached in the same manner as</w:t>
      </w:r>
      <w:r w:rsidR="008444A4" w:rsidRPr="00C019BB">
        <w:rPr>
          <w:lang w:val="en-GB"/>
        </w:rPr>
        <w:t xml:space="preserve"> for</w:t>
      </w:r>
      <w:r w:rsidRPr="00C019BB">
        <w:rPr>
          <w:lang w:val="en-GB"/>
        </w:rPr>
        <w:t xml:space="preserve"> contractors carrying out work in UCL </w:t>
      </w:r>
      <w:r w:rsidR="008444A4" w:rsidRPr="00C019BB">
        <w:rPr>
          <w:lang w:val="en-GB"/>
        </w:rPr>
        <w:t>areas</w:t>
      </w:r>
      <w:r w:rsidRPr="00C019BB">
        <w:rPr>
          <w:lang w:val="en-GB"/>
        </w:rPr>
        <w:t xml:space="preserve">. Ask for risk assessments and if appropriate, associated protocols/procedures. </w:t>
      </w:r>
      <w:r w:rsidR="008444A4" w:rsidRPr="00C019BB">
        <w:rPr>
          <w:lang w:val="en-GB"/>
        </w:rPr>
        <w:t xml:space="preserve">Provide a local induction where needed. Ensure that UCL users of the area are informed and that access control is restricted wherever possible, so that </w:t>
      </w:r>
      <w:r w:rsidR="003C78AE" w:rsidRPr="00C019BB">
        <w:rPr>
          <w:lang w:val="en-GB"/>
        </w:rPr>
        <w:t>COVID-19 work and other activities</w:t>
      </w:r>
      <w:r w:rsidR="008444A4" w:rsidRPr="00C019BB">
        <w:rPr>
          <w:lang w:val="en-GB"/>
        </w:rPr>
        <w:t xml:space="preserve"> </w:t>
      </w:r>
      <w:r w:rsidR="003C78AE" w:rsidRPr="00C019BB">
        <w:rPr>
          <w:lang w:val="en-GB"/>
        </w:rPr>
        <w:t>do</w:t>
      </w:r>
      <w:r w:rsidR="008444A4" w:rsidRPr="00C019BB">
        <w:rPr>
          <w:lang w:val="en-GB"/>
        </w:rPr>
        <w:t xml:space="preserve"> not take place simultaneously in the same space. If appropriate, also restrict access to other contractors and visitors, including cleaning staff.</w:t>
      </w:r>
    </w:p>
    <w:p w14:paraId="4A038B7E" w14:textId="79C76AF5" w:rsidR="002D6D8F" w:rsidRDefault="002D6D8F" w:rsidP="00B37466">
      <w:pPr>
        <w:pStyle w:val="Heading2"/>
        <w:rPr>
          <w:lang w:val="en-GB"/>
        </w:rPr>
      </w:pPr>
      <w:bookmarkStart w:id="11" w:name="_Other_research_activity"/>
      <w:bookmarkEnd w:id="11"/>
      <w:r>
        <w:rPr>
          <w:lang w:val="en-GB"/>
        </w:rPr>
        <w:t>Contacts</w:t>
      </w:r>
    </w:p>
    <w:p w14:paraId="432F7EE4" w14:textId="05C8A641" w:rsidR="002D6D8F" w:rsidRDefault="002D6D8F" w:rsidP="002D6D8F">
      <w:pPr>
        <w:rPr>
          <w:lang w:val="en-GB"/>
        </w:rPr>
      </w:pPr>
      <w:r>
        <w:rPr>
          <w:lang w:val="en-GB"/>
        </w:rPr>
        <w:t xml:space="preserve">For more advice and guidance, please contact the </w:t>
      </w:r>
      <w:hyperlink r:id="rId46" w:history="1">
        <w:r w:rsidRPr="002D6D8F">
          <w:rPr>
            <w:rStyle w:val="Hyperlink"/>
            <w:lang w:val="en-GB"/>
          </w:rPr>
          <w:t>UCL Biological Safety Adviser</w:t>
        </w:r>
      </w:hyperlink>
      <w:r>
        <w:rPr>
          <w:lang w:val="en-GB"/>
        </w:rPr>
        <w:t>.</w:t>
      </w:r>
    </w:p>
    <w:p w14:paraId="2CD1A9DC" w14:textId="58091CBD" w:rsidR="006148C8" w:rsidRDefault="006148C8" w:rsidP="006148C8">
      <w:pPr>
        <w:rPr>
          <w:lang w:val="en-GB"/>
        </w:rPr>
      </w:pPr>
      <w:r>
        <w:rPr>
          <w:lang w:val="en-GB"/>
        </w:rPr>
        <w:t xml:space="preserve">This guidance was agreed by the UCL Genetic Modification Safety </w:t>
      </w:r>
      <w:r w:rsidR="005508B3">
        <w:rPr>
          <w:lang w:val="en-GB"/>
        </w:rPr>
        <w:t xml:space="preserve">Committee. The committee advises principally on Genetic Modification work at UCL, however it also </w:t>
      </w:r>
      <w:r w:rsidR="005508B3" w:rsidRPr="005508B3">
        <w:rPr>
          <w:lang w:val="en-GB"/>
        </w:rPr>
        <w:t>advise</w:t>
      </w:r>
      <w:r w:rsidR="005508B3">
        <w:rPr>
          <w:lang w:val="en-GB"/>
        </w:rPr>
        <w:t>s</w:t>
      </w:r>
      <w:r w:rsidR="005508B3" w:rsidRPr="005508B3">
        <w:rPr>
          <w:lang w:val="en-GB"/>
        </w:rPr>
        <w:t xml:space="preserve"> Council, through the </w:t>
      </w:r>
      <w:r w:rsidR="005508B3">
        <w:rPr>
          <w:lang w:val="en-GB"/>
        </w:rPr>
        <w:t>UCL Health &amp; Safety Committee</w:t>
      </w:r>
      <w:r w:rsidR="00210951">
        <w:rPr>
          <w:lang w:val="en-GB"/>
        </w:rPr>
        <w:t>,</w:t>
      </w:r>
      <w:r w:rsidR="005508B3">
        <w:rPr>
          <w:lang w:val="en-GB"/>
        </w:rPr>
        <w:t xml:space="preserve"> on </w:t>
      </w:r>
      <w:r w:rsidR="005508B3" w:rsidRPr="005508B3">
        <w:rPr>
          <w:lang w:val="en-GB"/>
        </w:rPr>
        <w:t>work involving wild-t</w:t>
      </w:r>
      <w:r w:rsidR="005508B3">
        <w:rPr>
          <w:lang w:val="en-GB"/>
        </w:rPr>
        <w:t>ype hazard group 3 organisms.</w:t>
      </w:r>
    </w:p>
    <w:p w14:paraId="79161CF8" w14:textId="0ECC2DBE" w:rsidR="003333DB" w:rsidRPr="00B37466" w:rsidRDefault="003333DB" w:rsidP="00B37466">
      <w:pPr>
        <w:pStyle w:val="Heading2"/>
        <w:rPr>
          <w:lang w:val="en-GB"/>
        </w:rPr>
      </w:pPr>
      <w:r w:rsidRPr="00EA05C2">
        <w:rPr>
          <w:lang w:val="en-GB"/>
        </w:rPr>
        <w:t>Document control</w:t>
      </w:r>
    </w:p>
    <w:tbl>
      <w:tblPr>
        <w:tblStyle w:val="TableGrid"/>
        <w:tblW w:w="0" w:type="auto"/>
        <w:tblInd w:w="-5" w:type="dxa"/>
        <w:tblLook w:val="04A0" w:firstRow="1" w:lastRow="0" w:firstColumn="1" w:lastColumn="0" w:noHBand="0" w:noVBand="1"/>
      </w:tblPr>
      <w:tblGrid>
        <w:gridCol w:w="1985"/>
        <w:gridCol w:w="7087"/>
      </w:tblGrid>
      <w:tr w:rsidR="003333DB" w14:paraId="309AC7EE" w14:textId="77777777" w:rsidTr="00EF0092">
        <w:tc>
          <w:tcPr>
            <w:tcW w:w="1985" w:type="dxa"/>
            <w:vAlign w:val="center"/>
          </w:tcPr>
          <w:p w14:paraId="6947A229" w14:textId="624F3C1A" w:rsidR="003333DB" w:rsidRDefault="00CB3290" w:rsidP="006148C8">
            <w:pPr>
              <w:pStyle w:val="NoSpacing"/>
            </w:pPr>
            <w:r>
              <w:t>Version 1</w:t>
            </w:r>
          </w:p>
        </w:tc>
        <w:tc>
          <w:tcPr>
            <w:tcW w:w="7087" w:type="dxa"/>
            <w:vAlign w:val="center"/>
          </w:tcPr>
          <w:p w14:paraId="7C24F368" w14:textId="5BECB947" w:rsidR="003333DB" w:rsidRPr="00A0786C" w:rsidRDefault="00CB3290" w:rsidP="006148C8">
            <w:pPr>
              <w:pStyle w:val="NoSpacing"/>
            </w:pPr>
            <w:r>
              <w:t>First issued by Safety Services 18</w:t>
            </w:r>
            <w:r w:rsidRPr="00CB3290">
              <w:rPr>
                <w:vertAlign w:val="superscript"/>
              </w:rPr>
              <w:t>th</w:t>
            </w:r>
            <w:r>
              <w:t xml:space="preserve"> March.</w:t>
            </w:r>
          </w:p>
        </w:tc>
      </w:tr>
      <w:tr w:rsidR="00CB3290" w14:paraId="798D4655" w14:textId="77777777" w:rsidTr="00EF0092">
        <w:tc>
          <w:tcPr>
            <w:tcW w:w="1985" w:type="dxa"/>
            <w:vAlign w:val="center"/>
          </w:tcPr>
          <w:p w14:paraId="0619E3C4" w14:textId="7513179D" w:rsidR="00CB3290" w:rsidRPr="00EA05C2" w:rsidRDefault="00CB3290" w:rsidP="006148C8">
            <w:pPr>
              <w:pStyle w:val="NoSpacing"/>
            </w:pPr>
            <w:r>
              <w:t>Version 2</w:t>
            </w:r>
          </w:p>
        </w:tc>
        <w:tc>
          <w:tcPr>
            <w:tcW w:w="7087" w:type="dxa"/>
            <w:vAlign w:val="center"/>
          </w:tcPr>
          <w:p w14:paraId="2A437932" w14:textId="5B53D1A3" w:rsidR="00CB3290" w:rsidRDefault="00CB3290" w:rsidP="00C85A6B">
            <w:pPr>
              <w:pStyle w:val="NoSpacing"/>
            </w:pPr>
            <w:r>
              <w:t>Updated on 27</w:t>
            </w:r>
            <w:r w:rsidRPr="006148C8">
              <w:rPr>
                <w:vertAlign w:val="superscript"/>
              </w:rPr>
              <w:t>th</w:t>
            </w:r>
            <w:r w:rsidR="00C85A6B">
              <w:t xml:space="preserve"> March – revised </w:t>
            </w:r>
            <w:r>
              <w:t>to provide more s</w:t>
            </w:r>
            <w:r w:rsidR="00C85A6B">
              <w:t xml:space="preserve">tructure </w:t>
            </w:r>
            <w:r>
              <w:t>and reflecting a consensus position approved by GMSC.</w:t>
            </w:r>
          </w:p>
        </w:tc>
      </w:tr>
      <w:tr w:rsidR="00CB3290" w14:paraId="3E6E07ED" w14:textId="77777777" w:rsidTr="00EF0092">
        <w:tc>
          <w:tcPr>
            <w:tcW w:w="1985" w:type="dxa"/>
            <w:vAlign w:val="center"/>
          </w:tcPr>
          <w:p w14:paraId="1B224604" w14:textId="7ECC9DA8" w:rsidR="00CB3290" w:rsidRPr="00C019BB" w:rsidRDefault="00CB3290" w:rsidP="006148C8">
            <w:pPr>
              <w:pStyle w:val="NoSpacing"/>
            </w:pPr>
            <w:r w:rsidRPr="00C019BB">
              <w:t>Version 3</w:t>
            </w:r>
          </w:p>
        </w:tc>
        <w:tc>
          <w:tcPr>
            <w:tcW w:w="7087" w:type="dxa"/>
            <w:vAlign w:val="center"/>
          </w:tcPr>
          <w:p w14:paraId="0CE4BE87" w14:textId="66592716" w:rsidR="00CB3290" w:rsidRPr="00C019BB" w:rsidRDefault="00CB3290" w:rsidP="00C85A6B">
            <w:pPr>
              <w:pStyle w:val="NoSpacing"/>
            </w:pPr>
            <w:r w:rsidRPr="00C019BB">
              <w:t xml:space="preserve">Updated </w:t>
            </w:r>
            <w:r w:rsidR="00C019BB" w:rsidRPr="00C019BB">
              <w:t>22</w:t>
            </w:r>
            <w:r w:rsidR="00C019BB" w:rsidRPr="00C019BB">
              <w:rPr>
                <w:vertAlign w:val="superscript"/>
              </w:rPr>
              <w:t>nd</w:t>
            </w:r>
            <w:r w:rsidR="00C019BB" w:rsidRPr="00C019BB">
              <w:t xml:space="preserve"> </w:t>
            </w:r>
            <w:r w:rsidR="00C85A6B" w:rsidRPr="00C019BB">
              <w:t xml:space="preserve">April - </w:t>
            </w:r>
            <w:r w:rsidRPr="00C019BB">
              <w:t xml:space="preserve">new sections on </w:t>
            </w:r>
            <w:r w:rsidR="005B11DE">
              <w:t xml:space="preserve">sample collection; </w:t>
            </w:r>
            <w:r w:rsidR="00C85A6B" w:rsidRPr="00C019BB">
              <w:rPr>
                <w:rFonts w:hint="eastAsia"/>
              </w:rPr>
              <w:t xml:space="preserve">training, competency, supervision and support; </w:t>
            </w:r>
            <w:r w:rsidR="00C019BB" w:rsidRPr="00C019BB">
              <w:t xml:space="preserve">vulnerable groups; </w:t>
            </w:r>
            <w:r w:rsidR="00C85A6B" w:rsidRPr="00C019BB">
              <w:rPr>
                <w:rFonts w:hint="eastAsia"/>
              </w:rPr>
              <w:t xml:space="preserve">third party use of UCL laboratories and related research activity where there </w:t>
            </w:r>
            <w:r w:rsidR="00384702" w:rsidRPr="00C019BB">
              <w:t xml:space="preserve">is </w:t>
            </w:r>
            <w:r w:rsidR="00C85A6B" w:rsidRPr="00C019BB">
              <w:rPr>
                <w:rFonts w:hint="eastAsia"/>
              </w:rPr>
              <w:t>no risk of infection.</w:t>
            </w:r>
          </w:p>
        </w:tc>
      </w:tr>
      <w:tr w:rsidR="00027D60" w14:paraId="20D20BE7" w14:textId="77777777" w:rsidTr="00EF0092">
        <w:tc>
          <w:tcPr>
            <w:tcW w:w="1985" w:type="dxa"/>
            <w:vAlign w:val="center"/>
          </w:tcPr>
          <w:p w14:paraId="7CCC99B6" w14:textId="54D358BF" w:rsidR="00027D60" w:rsidRPr="00C019BB" w:rsidRDefault="00027D60" w:rsidP="006148C8">
            <w:pPr>
              <w:pStyle w:val="NoSpacing"/>
            </w:pPr>
            <w:r>
              <w:t>Version 4</w:t>
            </w:r>
          </w:p>
        </w:tc>
        <w:tc>
          <w:tcPr>
            <w:tcW w:w="7087" w:type="dxa"/>
            <w:vAlign w:val="center"/>
          </w:tcPr>
          <w:p w14:paraId="5031C7FD" w14:textId="0A2C488C" w:rsidR="00027D60" w:rsidRPr="00C019BB" w:rsidRDefault="00027D60" w:rsidP="00162C33">
            <w:pPr>
              <w:pStyle w:val="NoSpacing"/>
            </w:pPr>
            <w:r>
              <w:t>Updated 6</w:t>
            </w:r>
            <w:r w:rsidRPr="00027D60">
              <w:rPr>
                <w:vertAlign w:val="superscript"/>
              </w:rPr>
              <w:t>th</w:t>
            </w:r>
            <w:r>
              <w:t xml:space="preserve"> of May – </w:t>
            </w:r>
            <w:r w:rsidR="00162C33">
              <w:t xml:space="preserve">new appendix added; </w:t>
            </w:r>
            <w:r w:rsidR="005B11DE">
              <w:t xml:space="preserve">a </w:t>
            </w:r>
            <w:r w:rsidR="005B11DE">
              <w:rPr>
                <w:lang w:val="en-GB"/>
              </w:rPr>
              <w:t>summary table for COVID-19 sample types</w:t>
            </w:r>
            <w:r w:rsidR="00162C33">
              <w:rPr>
                <w:lang w:val="en-GB"/>
              </w:rPr>
              <w:t>. Requirement to affix signs on</w:t>
            </w:r>
            <w:r w:rsidR="005B11DE">
              <w:rPr>
                <w:lang w:val="en-GB"/>
              </w:rPr>
              <w:t xml:space="preserve"> laboratory doors and equipment</w:t>
            </w:r>
            <w:r w:rsidR="00162C33">
              <w:rPr>
                <w:lang w:val="en-GB"/>
              </w:rPr>
              <w:t xml:space="preserve"> added into sections 1 and 2</w:t>
            </w:r>
            <w:r w:rsidR="005B11DE">
              <w:rPr>
                <w:lang w:val="en-GB"/>
              </w:rPr>
              <w:t>. Section ‘n</w:t>
            </w:r>
            <w:r w:rsidR="005B11DE" w:rsidRPr="005B11DE">
              <w:rPr>
                <w:lang w:val="en-GB"/>
              </w:rPr>
              <w:t>ote on blood samples</w:t>
            </w:r>
            <w:r w:rsidR="005B11DE">
              <w:rPr>
                <w:lang w:val="en-GB"/>
              </w:rPr>
              <w:t>’ removed, replaced by appendix 1.</w:t>
            </w:r>
          </w:p>
        </w:tc>
      </w:tr>
      <w:tr w:rsidR="00674F03" w14:paraId="4AB11242" w14:textId="77777777" w:rsidTr="00EF0092">
        <w:tc>
          <w:tcPr>
            <w:tcW w:w="1985" w:type="dxa"/>
            <w:vAlign w:val="center"/>
          </w:tcPr>
          <w:p w14:paraId="1108B332" w14:textId="10339F2F" w:rsidR="00674F03" w:rsidRPr="00EF0092" w:rsidRDefault="00674F03" w:rsidP="006148C8">
            <w:pPr>
              <w:pStyle w:val="NoSpacing"/>
            </w:pPr>
            <w:r w:rsidRPr="00EF0092">
              <w:t>Version 5</w:t>
            </w:r>
          </w:p>
        </w:tc>
        <w:tc>
          <w:tcPr>
            <w:tcW w:w="7087" w:type="dxa"/>
            <w:vAlign w:val="center"/>
          </w:tcPr>
          <w:p w14:paraId="15CF3F03" w14:textId="1FB2E1AC" w:rsidR="00674F03" w:rsidRPr="00EF0092" w:rsidRDefault="00674F03" w:rsidP="003D30E8">
            <w:pPr>
              <w:pStyle w:val="NoSpacing"/>
            </w:pPr>
            <w:r w:rsidRPr="00EF0092">
              <w:t xml:space="preserve">Updated </w:t>
            </w:r>
            <w:r w:rsidR="00EF0092" w:rsidRPr="00EF0092">
              <w:t>22</w:t>
            </w:r>
            <w:r w:rsidR="00EF0092" w:rsidRPr="00EF0092">
              <w:rPr>
                <w:vertAlign w:val="superscript"/>
              </w:rPr>
              <w:t>nd</w:t>
            </w:r>
            <w:r w:rsidR="00EF0092" w:rsidRPr="00EF0092">
              <w:t xml:space="preserve"> </w:t>
            </w:r>
            <w:r w:rsidRPr="00EF0092">
              <w:t>of June - clarificatio</w:t>
            </w:r>
            <w:r w:rsidR="008E4058" w:rsidRPr="00EF0092">
              <w:t>n to scope of the guidance added (first page)</w:t>
            </w:r>
            <w:r w:rsidR="00EF0092" w:rsidRPr="00EF0092">
              <w:t xml:space="preserve"> and summary table moved. C</w:t>
            </w:r>
            <w:r w:rsidRPr="00EF0092">
              <w:t xml:space="preserve">hanges in containment level for handling </w:t>
            </w:r>
            <w:r w:rsidR="0086796E" w:rsidRPr="00EF0092">
              <w:t xml:space="preserve">certain </w:t>
            </w:r>
            <w:r w:rsidRPr="00EF0092">
              <w:t xml:space="preserve">blood samples, reflecting changes in understanding of the risk level. </w:t>
            </w:r>
            <w:r w:rsidR="008E4058" w:rsidRPr="00EF0092">
              <w:t xml:space="preserve">New </w:t>
            </w:r>
            <w:r w:rsidR="00EF0092" w:rsidRPr="00EF0092">
              <w:t>section 3 added (see page 4</w:t>
            </w:r>
            <w:r w:rsidR="008E4058" w:rsidRPr="00EF0092">
              <w:t>)</w:t>
            </w:r>
            <w:r w:rsidR="00681AF2" w:rsidRPr="00EF0092">
              <w:t>.</w:t>
            </w:r>
            <w:r w:rsidR="008E4058" w:rsidRPr="00EF0092">
              <w:t xml:space="preserve"> Section on ‘Other research activity’ removed. Appendix updated.</w:t>
            </w:r>
          </w:p>
        </w:tc>
      </w:tr>
      <w:tr w:rsidR="00AF137E" w14:paraId="34831DA8" w14:textId="77777777" w:rsidTr="00EF0092">
        <w:tc>
          <w:tcPr>
            <w:tcW w:w="1985" w:type="dxa"/>
            <w:vAlign w:val="center"/>
          </w:tcPr>
          <w:p w14:paraId="1E11A506" w14:textId="0D5355FB" w:rsidR="00AF137E" w:rsidRPr="00EF0092" w:rsidRDefault="00AF137E" w:rsidP="006148C8">
            <w:pPr>
              <w:pStyle w:val="NoSpacing"/>
            </w:pPr>
            <w:r>
              <w:t>Version 6</w:t>
            </w:r>
          </w:p>
        </w:tc>
        <w:tc>
          <w:tcPr>
            <w:tcW w:w="7087" w:type="dxa"/>
            <w:vAlign w:val="center"/>
          </w:tcPr>
          <w:p w14:paraId="25F49EF7" w14:textId="4C9A854B" w:rsidR="00AF137E" w:rsidRPr="00EF0092" w:rsidRDefault="00AF137E" w:rsidP="003D30E8">
            <w:pPr>
              <w:pStyle w:val="NoSpacing"/>
            </w:pPr>
            <w:r>
              <w:t>Updated 6</w:t>
            </w:r>
            <w:r w:rsidRPr="00AF137E">
              <w:rPr>
                <w:vertAlign w:val="superscript"/>
              </w:rPr>
              <w:t>th</w:t>
            </w:r>
            <w:r>
              <w:t xml:space="preserve"> August – </w:t>
            </w:r>
            <w:r w:rsidR="00467724">
              <w:t>Updated to reflect changes in recommended containment level (3 to 2) for handling blo</w:t>
            </w:r>
            <w:r w:rsidR="003D30E8">
              <w:t>od and CSF samples of all types</w:t>
            </w:r>
            <w:r w:rsidR="00467724">
              <w:t xml:space="preserve"> and for certain convalescent respiratory samples, based on the latest available evidence. A</w:t>
            </w:r>
            <w:r>
              <w:t xml:space="preserve">ppendix 1 </w:t>
            </w:r>
            <w:r w:rsidR="003C648C">
              <w:t xml:space="preserve">(explanation of recommended containment levels) has been </w:t>
            </w:r>
            <w:r>
              <w:t>removed to reduce document length.</w:t>
            </w:r>
          </w:p>
        </w:tc>
      </w:tr>
      <w:tr w:rsidR="00E9610B" w14:paraId="61AF850A" w14:textId="77777777" w:rsidTr="00EF0092">
        <w:tc>
          <w:tcPr>
            <w:tcW w:w="1985" w:type="dxa"/>
            <w:vAlign w:val="center"/>
          </w:tcPr>
          <w:p w14:paraId="3B7AEC2D" w14:textId="2F20A8A2" w:rsidR="00E9610B" w:rsidRDefault="00E9610B" w:rsidP="006148C8">
            <w:pPr>
              <w:pStyle w:val="NoSpacing"/>
            </w:pPr>
            <w:r>
              <w:t>Version 7</w:t>
            </w:r>
          </w:p>
        </w:tc>
        <w:tc>
          <w:tcPr>
            <w:tcW w:w="7087" w:type="dxa"/>
            <w:vAlign w:val="center"/>
          </w:tcPr>
          <w:p w14:paraId="75C35562" w14:textId="5BDA48DD" w:rsidR="00E9610B" w:rsidRDefault="00E9610B" w:rsidP="00E9610B">
            <w:pPr>
              <w:pStyle w:val="NoSpacing"/>
            </w:pPr>
            <w:r>
              <w:t xml:space="preserve">Updated </w:t>
            </w:r>
            <w:r>
              <w:t>5</w:t>
            </w:r>
            <w:r w:rsidRPr="00E9610B">
              <w:rPr>
                <w:vertAlign w:val="superscript"/>
              </w:rPr>
              <w:t>th</w:t>
            </w:r>
            <w:r>
              <w:t xml:space="preserve"> November</w:t>
            </w:r>
            <w:r>
              <w:t xml:space="preserve"> – Updated to reflect changes in recommended containment level (from </w:t>
            </w:r>
            <w:r w:rsidR="003D30E8">
              <w:t>CL</w:t>
            </w:r>
            <w:r>
              <w:t xml:space="preserve">3 to </w:t>
            </w:r>
            <w:r w:rsidR="003D30E8">
              <w:t>CL</w:t>
            </w:r>
            <w:r>
              <w:t xml:space="preserve">2) for handling </w:t>
            </w:r>
            <w:r>
              <w:t>urine</w:t>
            </w:r>
            <w:r>
              <w:t xml:space="preserve"> </w:t>
            </w:r>
            <w:r>
              <w:t>samples of all types</w:t>
            </w:r>
            <w:r>
              <w:t>, based on</w:t>
            </w:r>
            <w:r>
              <w:t xml:space="preserve"> the latest available evidence.</w:t>
            </w:r>
            <w:r w:rsidR="003D30E8">
              <w:t xml:space="preserve"> Updated sample collection section to remove broken links.</w:t>
            </w:r>
          </w:p>
        </w:tc>
      </w:tr>
    </w:tbl>
    <w:p w14:paraId="78CA15DD" w14:textId="77777777" w:rsidR="00470B32" w:rsidRPr="00592628" w:rsidRDefault="00470B32" w:rsidP="00467724">
      <w:bookmarkStart w:id="12" w:name="_Appendix_1_-"/>
      <w:bookmarkEnd w:id="12"/>
    </w:p>
    <w:sectPr w:rsidR="00470B32" w:rsidRPr="00592628" w:rsidSect="00EF009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9B200" w14:textId="77777777" w:rsidR="00CB3143" w:rsidRDefault="00CB3143" w:rsidP="00036543">
      <w:r>
        <w:separator/>
      </w:r>
    </w:p>
  </w:endnote>
  <w:endnote w:type="continuationSeparator" w:id="0">
    <w:p w14:paraId="66EBA5E4" w14:textId="77777777" w:rsidR="00CB3143" w:rsidRDefault="00CB3143"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3B6" w14:textId="6BA7D20B" w:rsidR="00036543" w:rsidRPr="00124A3E" w:rsidRDefault="001F77BF"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473B6E">
      <w:rPr>
        <w:rFonts w:cs="Arial"/>
        <w:b/>
        <w:bCs/>
        <w:noProof/>
        <w:sz w:val="20"/>
        <w:szCs w:val="20"/>
      </w:rPr>
      <w:t>5</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473B6E">
      <w:rPr>
        <w:rFonts w:cs="Arial"/>
        <w:b/>
        <w:bCs/>
        <w:noProof/>
        <w:sz w:val="20"/>
        <w:szCs w:val="20"/>
      </w:rPr>
      <w:t>7</w:t>
    </w:r>
    <w:r w:rsidRPr="001F77BF">
      <w:rPr>
        <w:rFonts w:cs="Arial"/>
        <w:b/>
        <w:bCs/>
        <w:sz w:val="20"/>
        <w:szCs w:val="20"/>
      </w:rPr>
      <w:fldChar w:fldCharType="end"/>
    </w:r>
  </w:p>
  <w:p w14:paraId="18E24FCF" w14:textId="77777777" w:rsidR="00036543" w:rsidRDefault="0003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0C35" w14:textId="16CBDC12" w:rsidR="00B37466" w:rsidRPr="00B37466" w:rsidRDefault="00B37466"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473B6E">
      <w:rPr>
        <w:rFonts w:cs="Arial"/>
        <w:b/>
        <w:bCs/>
        <w:noProof/>
        <w:sz w:val="20"/>
        <w:szCs w:val="20"/>
      </w:rPr>
      <w:t>2</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473B6E">
      <w:rPr>
        <w:rFonts w:cs="Arial"/>
        <w:b/>
        <w:bCs/>
        <w:noProof/>
        <w:sz w:val="20"/>
        <w:szCs w:val="20"/>
      </w:rPr>
      <w:t>7</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B591" w14:textId="77777777" w:rsidR="00CB3143" w:rsidRDefault="00CB3143" w:rsidP="00036543">
      <w:r>
        <w:separator/>
      </w:r>
    </w:p>
  </w:footnote>
  <w:footnote w:type="continuationSeparator" w:id="0">
    <w:p w14:paraId="1B531B29" w14:textId="77777777" w:rsidR="00CB3143" w:rsidRDefault="00CB3143"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119A" w14:textId="3D16DC23" w:rsidR="00B37466" w:rsidRDefault="00037929" w:rsidP="00037929">
    <w:pPr>
      <w:pStyle w:val="NoSpacing"/>
    </w:pPr>
    <w:r>
      <w:rPr>
        <w:noProof/>
        <w:lang w:val="en-GB" w:eastAsia="en-GB"/>
      </w:rPr>
      <mc:AlternateContent>
        <mc:Choice Requires="wps">
          <w:drawing>
            <wp:anchor distT="0" distB="0" distL="114300" distR="114300" simplePos="0" relativeHeight="251657728"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BB987" w14:textId="77777777" w:rsidR="00037929" w:rsidRPr="0084319C" w:rsidRDefault="00037929"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6" type="#_x0000_t202" style="position:absolute;margin-left:28.35pt;margin-top:28.35pt;width:219.7pt;height:3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t8qQIAAKM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" filled="f" stroked="f">
              <v:textbox>
                <w:txbxContent>
                  <w:p w14:paraId="5FFBB987" w14:textId="77777777" w:rsidR="00037929" w:rsidRPr="0084319C" w:rsidRDefault="00037929" w:rsidP="00037929">
                    <w:pPr>
                      <w:pStyle w:val="NoSpacing"/>
                      <w:rPr>
                        <w:b/>
                      </w:rPr>
                    </w:pPr>
                    <w:r w:rsidRPr="0084319C">
                      <w:rPr>
                        <w:b/>
                      </w:rPr>
                      <w:t>UCL SAFETY SERVICES</w:t>
                    </w:r>
                  </w:p>
                </w:txbxContent>
              </v:textbox>
              <w10:wrap anchorx="page" anchory="page"/>
            </v:shape>
          </w:pict>
        </mc:Fallback>
      </mc:AlternateContent>
    </w:r>
    <w:r w:rsidR="00B37466">
      <w:rPr>
        <w:noProof/>
        <w:lang w:val="en-GB" w:eastAsia="en-GB"/>
      </w:rPr>
      <w:drawing>
        <wp:anchor distT="0" distB="0" distL="114300" distR="114300" simplePos="0" relativeHeight="251656704"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1" name="Picture 1"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7E95" w14:textId="769D053E" w:rsidR="00EF0092" w:rsidRDefault="00EF0092" w:rsidP="0003792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0F9"/>
    <w:multiLevelType w:val="hybridMultilevel"/>
    <w:tmpl w:val="67AA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4380E"/>
    <w:multiLevelType w:val="multilevel"/>
    <w:tmpl w:val="41E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12CC6"/>
    <w:multiLevelType w:val="hybridMultilevel"/>
    <w:tmpl w:val="CB484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C2D4D"/>
    <w:multiLevelType w:val="multilevel"/>
    <w:tmpl w:val="3568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0076F"/>
    <w:multiLevelType w:val="hybridMultilevel"/>
    <w:tmpl w:val="C1402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C5C06"/>
    <w:multiLevelType w:val="hybridMultilevel"/>
    <w:tmpl w:val="5C8497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0449AD"/>
    <w:multiLevelType w:val="hybridMultilevel"/>
    <w:tmpl w:val="81C4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F0DBF"/>
    <w:multiLevelType w:val="hybridMultilevel"/>
    <w:tmpl w:val="118CAF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44F815FB"/>
    <w:multiLevelType w:val="hybridMultilevel"/>
    <w:tmpl w:val="CFEC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E476F"/>
    <w:multiLevelType w:val="hybridMultilevel"/>
    <w:tmpl w:val="3E2ED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D8324A"/>
    <w:multiLevelType w:val="hybridMultilevel"/>
    <w:tmpl w:val="DB447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D189B"/>
    <w:multiLevelType w:val="hybridMultilevel"/>
    <w:tmpl w:val="2CFC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D7E9B"/>
    <w:multiLevelType w:val="hybridMultilevel"/>
    <w:tmpl w:val="8DA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6E2091"/>
    <w:multiLevelType w:val="hybridMultilevel"/>
    <w:tmpl w:val="310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04731B"/>
    <w:multiLevelType w:val="multilevel"/>
    <w:tmpl w:val="31C4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A845A1B"/>
    <w:multiLevelType w:val="multilevel"/>
    <w:tmpl w:val="FB60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93F83"/>
    <w:multiLevelType w:val="hybridMultilevel"/>
    <w:tmpl w:val="1366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8"/>
  </w:num>
  <w:num w:numId="4">
    <w:abstractNumId w:val="1"/>
  </w:num>
  <w:num w:numId="5">
    <w:abstractNumId w:val="12"/>
  </w:num>
  <w:num w:numId="6">
    <w:abstractNumId w:val="2"/>
  </w:num>
  <w:num w:numId="7">
    <w:abstractNumId w:val="3"/>
  </w:num>
  <w:num w:numId="8">
    <w:abstractNumId w:val="17"/>
  </w:num>
  <w:num w:numId="9">
    <w:abstractNumId w:val="6"/>
  </w:num>
  <w:num w:numId="10">
    <w:abstractNumId w:val="10"/>
  </w:num>
  <w:num w:numId="11">
    <w:abstractNumId w:val="11"/>
  </w:num>
  <w:num w:numId="12">
    <w:abstractNumId w:val="19"/>
  </w:num>
  <w:num w:numId="13">
    <w:abstractNumId w:val="8"/>
  </w:num>
  <w:num w:numId="14">
    <w:abstractNumId w:val="4"/>
  </w:num>
  <w:num w:numId="15">
    <w:abstractNumId w:val="5"/>
  </w:num>
  <w:num w:numId="16">
    <w:abstractNumId w:val="0"/>
  </w:num>
  <w:num w:numId="17">
    <w:abstractNumId w:val="16"/>
  </w:num>
  <w:num w:numId="18">
    <w:abstractNumId w:val="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27D60"/>
    <w:rsid w:val="00036543"/>
    <w:rsid w:val="00037929"/>
    <w:rsid w:val="000716EB"/>
    <w:rsid w:val="000B66F7"/>
    <w:rsid w:val="000B77A0"/>
    <w:rsid w:val="000E0656"/>
    <w:rsid w:val="00117470"/>
    <w:rsid w:val="00120FB4"/>
    <w:rsid w:val="00162C33"/>
    <w:rsid w:val="00175552"/>
    <w:rsid w:val="00184B7C"/>
    <w:rsid w:val="0019349D"/>
    <w:rsid w:val="001A2FC7"/>
    <w:rsid w:val="001C402F"/>
    <w:rsid w:val="001C5DAF"/>
    <w:rsid w:val="001F1A33"/>
    <w:rsid w:val="001F77BF"/>
    <w:rsid w:val="00210951"/>
    <w:rsid w:val="00221198"/>
    <w:rsid w:val="002439D1"/>
    <w:rsid w:val="00264D2E"/>
    <w:rsid w:val="002756A5"/>
    <w:rsid w:val="00296485"/>
    <w:rsid w:val="002A7B98"/>
    <w:rsid w:val="002C6A56"/>
    <w:rsid w:val="002D6D8F"/>
    <w:rsid w:val="00316DE3"/>
    <w:rsid w:val="00326D92"/>
    <w:rsid w:val="003333DB"/>
    <w:rsid w:val="00384702"/>
    <w:rsid w:val="003B4CDB"/>
    <w:rsid w:val="003C648C"/>
    <w:rsid w:val="003C78AE"/>
    <w:rsid w:val="003D30E8"/>
    <w:rsid w:val="00411396"/>
    <w:rsid w:val="00413635"/>
    <w:rsid w:val="00434C47"/>
    <w:rsid w:val="00451F49"/>
    <w:rsid w:val="00467724"/>
    <w:rsid w:val="00470B32"/>
    <w:rsid w:val="00473B6E"/>
    <w:rsid w:val="00483956"/>
    <w:rsid w:val="00487D9D"/>
    <w:rsid w:val="00493486"/>
    <w:rsid w:val="00494AD2"/>
    <w:rsid w:val="004F26A6"/>
    <w:rsid w:val="00506C21"/>
    <w:rsid w:val="0054621F"/>
    <w:rsid w:val="005508B3"/>
    <w:rsid w:val="00567857"/>
    <w:rsid w:val="00586224"/>
    <w:rsid w:val="00592628"/>
    <w:rsid w:val="005B11DE"/>
    <w:rsid w:val="005B167B"/>
    <w:rsid w:val="005E080B"/>
    <w:rsid w:val="005E7FCB"/>
    <w:rsid w:val="006148C8"/>
    <w:rsid w:val="00623E3C"/>
    <w:rsid w:val="00650D33"/>
    <w:rsid w:val="006519D9"/>
    <w:rsid w:val="00661AF2"/>
    <w:rsid w:val="00674F03"/>
    <w:rsid w:val="00681AF2"/>
    <w:rsid w:val="00691FB5"/>
    <w:rsid w:val="00694937"/>
    <w:rsid w:val="00694A05"/>
    <w:rsid w:val="007279AF"/>
    <w:rsid w:val="00765D0D"/>
    <w:rsid w:val="007C6021"/>
    <w:rsid w:val="007D7DC1"/>
    <w:rsid w:val="0082503D"/>
    <w:rsid w:val="0084319C"/>
    <w:rsid w:val="008444A4"/>
    <w:rsid w:val="00850036"/>
    <w:rsid w:val="00853AFA"/>
    <w:rsid w:val="008601D2"/>
    <w:rsid w:val="0086796E"/>
    <w:rsid w:val="008D1BB9"/>
    <w:rsid w:val="008E3CA2"/>
    <w:rsid w:val="008E4058"/>
    <w:rsid w:val="008F79B4"/>
    <w:rsid w:val="00901E82"/>
    <w:rsid w:val="009415B3"/>
    <w:rsid w:val="009839C6"/>
    <w:rsid w:val="009A3DB2"/>
    <w:rsid w:val="009E31A6"/>
    <w:rsid w:val="00A32323"/>
    <w:rsid w:val="00A32411"/>
    <w:rsid w:val="00AB1672"/>
    <w:rsid w:val="00AB47BE"/>
    <w:rsid w:val="00AC1E89"/>
    <w:rsid w:val="00AF00BB"/>
    <w:rsid w:val="00AF137E"/>
    <w:rsid w:val="00B21E26"/>
    <w:rsid w:val="00B37466"/>
    <w:rsid w:val="00B71326"/>
    <w:rsid w:val="00B860EB"/>
    <w:rsid w:val="00BB12BF"/>
    <w:rsid w:val="00BB7985"/>
    <w:rsid w:val="00BC4A4D"/>
    <w:rsid w:val="00BF44C6"/>
    <w:rsid w:val="00C019BB"/>
    <w:rsid w:val="00C152FC"/>
    <w:rsid w:val="00C23B9C"/>
    <w:rsid w:val="00C47F26"/>
    <w:rsid w:val="00C55E9C"/>
    <w:rsid w:val="00C651A2"/>
    <w:rsid w:val="00C85A6B"/>
    <w:rsid w:val="00CB3143"/>
    <w:rsid w:val="00CB315F"/>
    <w:rsid w:val="00CB3290"/>
    <w:rsid w:val="00CD66EE"/>
    <w:rsid w:val="00D61935"/>
    <w:rsid w:val="00D94CF8"/>
    <w:rsid w:val="00DF0E8D"/>
    <w:rsid w:val="00E9610B"/>
    <w:rsid w:val="00EA287B"/>
    <w:rsid w:val="00EB238A"/>
    <w:rsid w:val="00EE0B42"/>
    <w:rsid w:val="00EE2095"/>
    <w:rsid w:val="00EF0092"/>
    <w:rsid w:val="00EF6CBB"/>
    <w:rsid w:val="00F01599"/>
    <w:rsid w:val="00F67C96"/>
    <w:rsid w:val="00F822ED"/>
    <w:rsid w:val="00F85F8D"/>
    <w:rsid w:val="00F860A1"/>
    <w:rsid w:val="00F968F4"/>
    <w:rsid w:val="00FC3A34"/>
    <w:rsid w:val="00F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361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B374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37929"/>
    <w:pPr>
      <w:keepNext/>
      <w:keepLines/>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3792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221198"/>
    <w:rPr>
      <w:color w:val="0000FF" w:themeColor="hyperlink"/>
      <w:u w:val="single"/>
    </w:rPr>
  </w:style>
  <w:style w:type="paragraph" w:styleId="FootnoteText">
    <w:name w:val="footnote text"/>
    <w:basedOn w:val="Normal"/>
    <w:link w:val="FootnoteTextChar"/>
    <w:uiPriority w:val="99"/>
    <w:semiHidden/>
    <w:unhideWhenUsed/>
    <w:rsid w:val="00F01599"/>
    <w:pPr>
      <w:spacing w:before="0" w:after="0"/>
    </w:pPr>
    <w:rPr>
      <w:sz w:val="20"/>
      <w:szCs w:val="20"/>
    </w:rPr>
  </w:style>
  <w:style w:type="character" w:customStyle="1" w:styleId="FootnoteTextChar">
    <w:name w:val="Footnote Text Char"/>
    <w:basedOn w:val="DefaultParagraphFont"/>
    <w:link w:val="FootnoteText"/>
    <w:uiPriority w:val="99"/>
    <w:semiHidden/>
    <w:rsid w:val="00F01599"/>
    <w:rPr>
      <w:rFonts w:ascii="Arial" w:hAnsi="Arial"/>
      <w:sz w:val="20"/>
      <w:szCs w:val="20"/>
    </w:rPr>
  </w:style>
  <w:style w:type="character" w:styleId="FootnoteReference">
    <w:name w:val="footnote reference"/>
    <w:basedOn w:val="DefaultParagraphFont"/>
    <w:uiPriority w:val="99"/>
    <w:semiHidden/>
    <w:unhideWhenUsed/>
    <w:rsid w:val="00F01599"/>
    <w:rPr>
      <w:vertAlign w:val="superscript"/>
    </w:rPr>
  </w:style>
  <w:style w:type="character" w:styleId="FollowedHyperlink">
    <w:name w:val="FollowedHyperlink"/>
    <w:basedOn w:val="DefaultParagraphFont"/>
    <w:uiPriority w:val="99"/>
    <w:semiHidden/>
    <w:unhideWhenUsed/>
    <w:rsid w:val="008E3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1835">
      <w:bodyDiv w:val="1"/>
      <w:marLeft w:val="0"/>
      <w:marRight w:val="0"/>
      <w:marTop w:val="0"/>
      <w:marBottom w:val="0"/>
      <w:divBdr>
        <w:top w:val="none" w:sz="0" w:space="0" w:color="auto"/>
        <w:left w:val="none" w:sz="0" w:space="0" w:color="auto"/>
        <w:bottom w:val="none" w:sz="0" w:space="0" w:color="auto"/>
        <w:right w:val="none" w:sz="0" w:space="0" w:color="auto"/>
      </w:divBdr>
    </w:div>
    <w:div w:id="521095131">
      <w:bodyDiv w:val="1"/>
      <w:marLeft w:val="0"/>
      <w:marRight w:val="0"/>
      <w:marTop w:val="0"/>
      <w:marBottom w:val="0"/>
      <w:divBdr>
        <w:top w:val="none" w:sz="0" w:space="0" w:color="auto"/>
        <w:left w:val="none" w:sz="0" w:space="0" w:color="auto"/>
        <w:bottom w:val="none" w:sz="0" w:space="0" w:color="auto"/>
        <w:right w:val="none" w:sz="0" w:space="0" w:color="auto"/>
      </w:divBdr>
    </w:div>
    <w:div w:id="735517673">
      <w:bodyDiv w:val="1"/>
      <w:marLeft w:val="0"/>
      <w:marRight w:val="0"/>
      <w:marTop w:val="0"/>
      <w:marBottom w:val="0"/>
      <w:divBdr>
        <w:top w:val="none" w:sz="0" w:space="0" w:color="auto"/>
        <w:left w:val="none" w:sz="0" w:space="0" w:color="auto"/>
        <w:bottom w:val="none" w:sz="0" w:space="0" w:color="auto"/>
        <w:right w:val="none" w:sz="0" w:space="0" w:color="auto"/>
      </w:divBdr>
    </w:div>
    <w:div w:id="740372658">
      <w:bodyDiv w:val="1"/>
      <w:marLeft w:val="0"/>
      <w:marRight w:val="0"/>
      <w:marTop w:val="0"/>
      <w:marBottom w:val="0"/>
      <w:divBdr>
        <w:top w:val="none" w:sz="0" w:space="0" w:color="auto"/>
        <w:left w:val="none" w:sz="0" w:space="0" w:color="auto"/>
        <w:bottom w:val="none" w:sz="0" w:space="0" w:color="auto"/>
        <w:right w:val="none" w:sz="0" w:space="0" w:color="auto"/>
      </w:divBdr>
    </w:div>
    <w:div w:id="1425372689">
      <w:bodyDiv w:val="1"/>
      <w:marLeft w:val="0"/>
      <w:marRight w:val="0"/>
      <w:marTop w:val="0"/>
      <w:marBottom w:val="0"/>
      <w:divBdr>
        <w:top w:val="none" w:sz="0" w:space="0" w:color="auto"/>
        <w:left w:val="none" w:sz="0" w:space="0" w:color="auto"/>
        <w:bottom w:val="none" w:sz="0" w:space="0" w:color="auto"/>
        <w:right w:val="none" w:sz="0" w:space="0" w:color="auto"/>
      </w:divBdr>
    </w:div>
    <w:div w:id="1489244457">
      <w:bodyDiv w:val="1"/>
      <w:marLeft w:val="0"/>
      <w:marRight w:val="0"/>
      <w:marTop w:val="0"/>
      <w:marBottom w:val="0"/>
      <w:divBdr>
        <w:top w:val="none" w:sz="0" w:space="0" w:color="auto"/>
        <w:left w:val="none" w:sz="0" w:space="0" w:color="auto"/>
        <w:bottom w:val="none" w:sz="0" w:space="0" w:color="auto"/>
        <w:right w:val="none" w:sz="0" w:space="0" w:color="auto"/>
      </w:divBdr>
    </w:div>
    <w:div w:id="1759935606">
      <w:bodyDiv w:val="1"/>
      <w:marLeft w:val="0"/>
      <w:marRight w:val="0"/>
      <w:marTop w:val="0"/>
      <w:marBottom w:val="0"/>
      <w:divBdr>
        <w:top w:val="none" w:sz="0" w:space="0" w:color="auto"/>
        <w:left w:val="none" w:sz="0" w:space="0" w:color="auto"/>
        <w:bottom w:val="none" w:sz="0" w:space="0" w:color="auto"/>
        <w:right w:val="none" w:sz="0" w:space="0" w:color="auto"/>
      </w:divBdr>
    </w:div>
    <w:div w:id="1794590885">
      <w:bodyDiv w:val="1"/>
      <w:marLeft w:val="0"/>
      <w:marRight w:val="0"/>
      <w:marTop w:val="0"/>
      <w:marBottom w:val="0"/>
      <w:divBdr>
        <w:top w:val="none" w:sz="0" w:space="0" w:color="auto"/>
        <w:left w:val="none" w:sz="0" w:space="0" w:color="auto"/>
        <w:bottom w:val="none" w:sz="0" w:space="0" w:color="auto"/>
        <w:right w:val="none" w:sz="0" w:space="0" w:color="auto"/>
      </w:divBdr>
    </w:div>
    <w:div w:id="197043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cl.ac.uk/safety-services/sites/safety-services/files/safe_working_with_blood_and_human_tissue.docx" TargetMode="External"/><Relationship Id="rId26" Type="http://schemas.openxmlformats.org/officeDocument/2006/relationships/hyperlink" Target="https://www.ucl.ac.uk/estates/our-services/ucl-cleaning-service" TargetMode="External"/><Relationship Id="rId39" Type="http://schemas.openxmlformats.org/officeDocument/2006/relationships/hyperlink" Target="https://www.gov.uk/government/publications/wuhan-novel-coronavirus-infection-prevention-and-control/covid-19-infection-prevention-and-control-guidance-low-risk-pathway" TargetMode="External"/><Relationship Id="rId21" Type="http://schemas.openxmlformats.org/officeDocument/2006/relationships/hyperlink" Target="https://www.ucl.ac.uk/safety-services/sites/safety-services/files/safe_working_with_blood_and_human_tissue.docx" TargetMode="External"/><Relationship Id="rId34" Type="http://schemas.openxmlformats.org/officeDocument/2006/relationships/hyperlink" Target="https://www.ucl.ac.uk/safety-services/risknet" TargetMode="External"/><Relationship Id="rId42" Type="http://schemas.openxmlformats.org/officeDocument/2006/relationships/hyperlink" Target="https://www.gov.uk/government/publications/wuhan-novel-coronavirus-guidance-for-clinical-diagnostic-laboratories/wuhan-novel-coronavirus-handling-and-processing-of-laboratory-specimen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c.uk/safety-services/policies/2020/apr/risk-assessment" TargetMode="External"/><Relationship Id="rId29" Type="http://schemas.openxmlformats.org/officeDocument/2006/relationships/hyperlink" Target="https://www.ucl.ac.uk/estates/our-services/ucl-clean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safety-services/sites/safety-services/files/safe_working_with_blood_and_human_tissue.docx" TargetMode="External"/><Relationship Id="rId24" Type="http://schemas.openxmlformats.org/officeDocument/2006/relationships/header" Target="header2.xml"/><Relationship Id="rId32" Type="http://schemas.openxmlformats.org/officeDocument/2006/relationships/hyperlink" Target="https://www.ucl.ac.uk/safety-services/sites/safety-services/files/safe_working_with_blood_and_human_tissue.docx" TargetMode="External"/><Relationship Id="rId37" Type="http://schemas.openxmlformats.org/officeDocument/2006/relationships/hyperlink" Target="https://www.ncbi.nlm.nih.gov/pmc/articles/PMC4353909/" TargetMode="External"/><Relationship Id="rId40" Type="http://schemas.openxmlformats.org/officeDocument/2006/relationships/hyperlink" Target="https://www.gov.uk/government/publications/wuhan-novel-coronavirus-infection-prevention-and-control/covid-19-personal-protective-equipment-ppe" TargetMode="External"/><Relationship Id="rId45"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afety@ucl.ac.uk" TargetMode="External"/><Relationship Id="rId28" Type="http://schemas.openxmlformats.org/officeDocument/2006/relationships/hyperlink" Target="https://www.gov.uk/government/publications/wuhan-novel-coronavirus-guidance-for-clinical-diagnostic-laboratories/wuhan-novel-coronavirus-handling-and-processing-of-laboratory-specimens" TargetMode="External"/><Relationship Id="rId36" Type="http://schemas.openxmlformats.org/officeDocument/2006/relationships/hyperlink" Target="https://www.vernacare.com/our-products/products/vernagel-100-sachets/" TargetMode="External"/><Relationship Id="rId10" Type="http://schemas.openxmlformats.org/officeDocument/2006/relationships/endnotes" Target="endnotes.xml"/><Relationship Id="rId19" Type="http://schemas.openxmlformats.org/officeDocument/2006/relationships/hyperlink" Target="https://www.ucl.ac.uk/safety-services/sites/safety-services/files/safe_working_with_blood_and_human_tissue.docx" TargetMode="External"/><Relationship Id="rId31" Type="http://schemas.openxmlformats.org/officeDocument/2006/relationships/hyperlink" Target="https://www.ucl.ac.uk/safety-services/a-z/lone-working" TargetMode="External"/><Relationship Id="rId44" Type="http://schemas.openxmlformats.org/officeDocument/2006/relationships/hyperlink" Target="https://www.ucl.ac.uk/safety-services/a-z/lone-wor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cl.ac.uk/safety-services/sites/safety-services/files/safe_working_with_blood_and_human_tissue.docx" TargetMode="External"/><Relationship Id="rId27" Type="http://schemas.openxmlformats.org/officeDocument/2006/relationships/hyperlink" Target="https://www.ucl.ac.uk/safety-services/sites/safety-services/files/covid-19_laboratory_signage.docx" TargetMode="External"/><Relationship Id="rId30" Type="http://schemas.openxmlformats.org/officeDocument/2006/relationships/hyperlink" Target="https://www.ucl.ac.uk/safety-services/sites/safety-services/files/covid-19_laboratory_signage.docx" TargetMode="External"/><Relationship Id="rId35" Type="http://schemas.openxmlformats.org/officeDocument/2006/relationships/hyperlink" Target="https://www.youtube.com/watch?v=18QEJUA9XBs" TargetMode="External"/><Relationship Id="rId43" Type="http://schemas.openxmlformats.org/officeDocument/2006/relationships/hyperlink" Target="https://assets.publishing.service.gov.uk/government/uploads/system/uploads/attachment_data/file/875914/PHE_Packaging_requirements_for_COVID-19_samples_A3_poster.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uhan-novel-coronavirus-guidance-for-clinical-diagnostic-laboratories/wuhan-novel-coronavirus-handling-and-processing-of-laboratory-specimens" TargetMode="External"/><Relationship Id="rId17" Type="http://schemas.openxmlformats.org/officeDocument/2006/relationships/hyperlink" Target="https://www.ucl.ac.uk/safety-services/sites/safety-services/files/safe_working_with_blood_and_human_tissue.docx" TargetMode="External"/><Relationship Id="rId25" Type="http://schemas.openxmlformats.org/officeDocument/2006/relationships/hyperlink" Target="https://www.ucl.ac.uk/safety-services/sites/safety-services/files/covid-19_laboratory_signage.docx" TargetMode="External"/><Relationship Id="rId33" Type="http://schemas.openxmlformats.org/officeDocument/2006/relationships/hyperlink" Target="https://www.ucl.ac.uk/safety-services/a-z/lone-working" TargetMode="External"/><Relationship Id="rId38" Type="http://schemas.openxmlformats.org/officeDocument/2006/relationships/hyperlink" Target="https://www.ncbi.nlm.nih.gov/pmc/articles/PMC4555185" TargetMode="External"/><Relationship Id="rId46" Type="http://schemas.openxmlformats.org/officeDocument/2006/relationships/hyperlink" Target="mailto:a.minnis@ucl.ac.uk" TargetMode="External"/><Relationship Id="rId20" Type="http://schemas.openxmlformats.org/officeDocument/2006/relationships/hyperlink" Target="https://www.ucl.ac.uk/safety-services/sites/safety-services/files/safe_working_with_blood_and_human_tissue.docx" TargetMode="External"/><Relationship Id="rId41" Type="http://schemas.openxmlformats.org/officeDocument/2006/relationships/hyperlink" Target="https://assets.publishing.service.gov.uk/government/uploads/system/uploads/attachment_data/file/877531/Best_Practice_management_of_blood_body_fluid_spillag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24" ma:contentTypeDescription="Create a new document." ma:contentTypeScope="" ma:versionID="abc58f882167423b4fa1f222d1dee358">
  <xsd:schema xmlns:xsd="http://www.w3.org/2001/XMLSchema" xmlns:xs="http://www.w3.org/2001/XMLSchema" xmlns:p="http://schemas.microsoft.com/office/2006/metadata/properties" xmlns:ns2="5935f67c-6364-4d82-9a2c-1c22cfcf867f" targetNamespace="http://schemas.microsoft.com/office/2006/metadata/properties" ma:root="true" ma:fieldsID="d55de8369fb740837007ea7b8f8738df" ns2:_="">
    <xsd:import namespace="5935f67c-6364-4d82-9a2c-1c22cfcf867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Members xmlns="5935f67c-6364-4d82-9a2c-1c22cfcf867f" xsi:nil="true"/>
    <AppVersion xmlns="5935f67c-6364-4d82-9a2c-1c22cfcf867f" xsi:nil="true"/>
    <TeamsChannelId xmlns="5935f67c-6364-4d82-9a2c-1c22cfcf867f" xsi:nil="true"/>
    <IsNotebookLocked xmlns="5935f67c-6364-4d82-9a2c-1c22cfcf867f" xsi:nil="true"/>
    <Distribution_Groups xmlns="5935f67c-6364-4d82-9a2c-1c22cfcf867f" xsi:nil="true"/>
    <Math_Settings xmlns="5935f67c-6364-4d82-9a2c-1c22cfcf867f" xsi:nil="true"/>
    <Templates xmlns="5935f67c-6364-4d82-9a2c-1c22cfcf867f" xsi:nil="true"/>
    <Has_Leaders_Only_SectionGroup xmlns="5935f67c-6364-4d82-9a2c-1c22cfcf867f" xsi:nil="true"/>
    <DefaultSectionNames xmlns="5935f67c-6364-4d82-9a2c-1c22cfcf867f" xsi:nil="true"/>
    <Is_Collaboration_Space_Locked xmlns="5935f67c-6364-4d82-9a2c-1c22cfcf867f" xsi:nil="true"/>
    <Invited_Leaders xmlns="5935f67c-6364-4d82-9a2c-1c22cfcf867f" xsi:nil="true"/>
    <LMS_Mappings xmlns="5935f67c-6364-4d82-9a2c-1c22cfcf867f" xsi:nil="true"/>
    <Member_Groups xmlns="5935f67c-6364-4d82-9a2c-1c22cfcf867f">
      <UserInfo>
        <DisplayName/>
        <AccountId xsi:nil="true"/>
        <AccountType/>
      </UserInfo>
    </Member_Groups>
    <Self_Registration_Enabled xmlns="5935f67c-6364-4d82-9a2c-1c22cfcf867f" xsi:nil="true"/>
    <NotebookType xmlns="5935f67c-6364-4d82-9a2c-1c22cfcf867f" xsi:nil="true"/>
    <Leaders xmlns="5935f67c-6364-4d82-9a2c-1c22cfcf867f">
      <UserInfo>
        <DisplayName/>
        <AccountId xsi:nil="true"/>
        <AccountType/>
      </UserInfo>
    </Leaders>
    <Members xmlns="5935f67c-6364-4d82-9a2c-1c22cfcf867f">
      <UserInfo>
        <DisplayName/>
        <AccountId xsi:nil="true"/>
        <AccountType/>
      </UserInfo>
    </Members>
    <FolderType xmlns="5935f67c-6364-4d82-9a2c-1c22cfcf867f" xsi:nil="true"/>
    <CultureName xmlns="5935f67c-6364-4d82-9a2c-1c22cfcf867f" xsi:nil="true"/>
    <Owner xmlns="5935f67c-6364-4d82-9a2c-1c22cfcf867f">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5D7E-2073-4C96-8E10-0D7930F421E4}">
  <ds:schemaRefs>
    <ds:schemaRef ds:uri="http://schemas.microsoft.com/sharepoint/v3/contenttype/forms"/>
  </ds:schemaRefs>
</ds:datastoreItem>
</file>

<file path=customXml/itemProps2.xml><?xml version="1.0" encoding="utf-8"?>
<ds:datastoreItem xmlns:ds="http://schemas.openxmlformats.org/officeDocument/2006/customXml" ds:itemID="{C22DBF2A-DE4E-4DF5-BC7C-CE2905D6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5f67c-6364-4d82-9a2c-1c22cfcf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00837-AF5C-4381-8737-754956479C6A}">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5935f67c-6364-4d82-9a2c-1c22cfcf867f"/>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378E437-9AEA-4B5A-82DD-E8A205B5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Andrew Minnis</cp:lastModifiedBy>
  <cp:revision>5</cp:revision>
  <dcterms:created xsi:type="dcterms:W3CDTF">2020-11-05T15:59:00Z</dcterms:created>
  <dcterms:modified xsi:type="dcterms:W3CDTF">2020-11-05T17:24:00Z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