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E9705" w14:textId="77777777" w:rsidR="00B76A27" w:rsidRPr="004111BE" w:rsidRDefault="00B76A27" w:rsidP="00B76A27">
      <w:pPr>
        <w:jc w:val="both"/>
      </w:pPr>
    </w:p>
    <w:p w14:paraId="38E4564F" w14:textId="77777777" w:rsidR="00B76A27" w:rsidRPr="004111BE" w:rsidRDefault="00B76A27" w:rsidP="00B76A27">
      <w:pPr>
        <w:jc w:val="center"/>
        <w:rPr>
          <w:b/>
          <w:sz w:val="36"/>
          <w:szCs w:val="36"/>
        </w:rPr>
      </w:pPr>
      <w:r w:rsidRPr="004111BE">
        <w:rPr>
          <w:b/>
          <w:sz w:val="36"/>
          <w:szCs w:val="36"/>
        </w:rPr>
        <w:t>The Prognosis in Palliative care Study II (PiPS2)</w:t>
      </w:r>
    </w:p>
    <w:p w14:paraId="2ACFF715" w14:textId="77777777" w:rsidR="00B76A27" w:rsidRPr="004111BE" w:rsidRDefault="00B76A27" w:rsidP="00B76A27">
      <w:pPr>
        <w:jc w:val="center"/>
        <w:rPr>
          <w:b/>
          <w:sz w:val="36"/>
          <w:szCs w:val="36"/>
        </w:rPr>
      </w:pPr>
      <w:r w:rsidRPr="004111BE">
        <w:rPr>
          <w:b/>
          <w:sz w:val="36"/>
          <w:szCs w:val="36"/>
        </w:rPr>
        <w:t>Statistical Analysis Plan</w:t>
      </w:r>
    </w:p>
    <w:p w14:paraId="0746A711" w14:textId="77777777" w:rsidR="00B76A27" w:rsidRPr="004111BE" w:rsidRDefault="00B76A27" w:rsidP="00B76A27">
      <w:pPr>
        <w:jc w:val="center"/>
      </w:pPr>
      <w:r w:rsidRPr="004111BE">
        <w:t>V</w:t>
      </w:r>
      <w:r>
        <w:t xml:space="preserve"> 1.0</w:t>
      </w:r>
    </w:p>
    <w:p w14:paraId="3C83E0C3" w14:textId="77777777" w:rsidR="00B76A27" w:rsidRPr="004111BE" w:rsidRDefault="00B76A27" w:rsidP="00B76A27">
      <w:pPr>
        <w:spacing w:after="0"/>
        <w:jc w:val="center"/>
      </w:pPr>
      <w:r w:rsidRPr="004111BE">
        <w:t>Started: 19</w:t>
      </w:r>
      <w:r w:rsidRPr="004111BE">
        <w:rPr>
          <w:vertAlign w:val="superscript"/>
        </w:rPr>
        <w:t>th</w:t>
      </w:r>
      <w:r w:rsidRPr="004111BE">
        <w:t xml:space="preserve"> Oct 2017</w:t>
      </w:r>
    </w:p>
    <w:p w14:paraId="2A526B6A" w14:textId="727CF5E9" w:rsidR="00B76A27" w:rsidRPr="004111BE" w:rsidRDefault="00B76A27" w:rsidP="00B76A27">
      <w:pPr>
        <w:spacing w:after="0"/>
        <w:jc w:val="center"/>
      </w:pPr>
      <w:r w:rsidRPr="004111BE">
        <w:t xml:space="preserve">Edited: </w:t>
      </w:r>
      <w:r w:rsidR="008565AA">
        <w:t>1</w:t>
      </w:r>
      <w:r w:rsidR="00A1768D">
        <w:t>3</w:t>
      </w:r>
      <w:r w:rsidRPr="004111BE">
        <w:t xml:space="preserve"> </w:t>
      </w:r>
      <w:r>
        <w:t>Nov</w:t>
      </w:r>
      <w:r w:rsidRPr="004111BE">
        <w:t xml:space="preserve"> 2018</w:t>
      </w:r>
    </w:p>
    <w:p w14:paraId="36EF7B6E" w14:textId="77777777" w:rsidR="00B76A27" w:rsidRPr="004111BE" w:rsidRDefault="00B76A27" w:rsidP="00B76A27"/>
    <w:p w14:paraId="1C5EEE19" w14:textId="77777777" w:rsidR="00B76A27" w:rsidRPr="004111BE" w:rsidRDefault="00B76A27" w:rsidP="00B76A27">
      <w:pPr>
        <w:jc w:val="both"/>
        <w:rPr>
          <w:b/>
        </w:rPr>
      </w:pPr>
      <w:r w:rsidRPr="004111BE">
        <w:rPr>
          <w:b/>
        </w:rPr>
        <w:t>Version History Log</w:t>
      </w:r>
    </w:p>
    <w:tbl>
      <w:tblPr>
        <w:tblStyle w:val="TableGrid"/>
        <w:tblW w:w="0" w:type="auto"/>
        <w:tblLook w:val="04A0" w:firstRow="1" w:lastRow="0" w:firstColumn="1" w:lastColumn="0" w:noHBand="0" w:noVBand="1"/>
      </w:tblPr>
      <w:tblGrid>
        <w:gridCol w:w="1233"/>
        <w:gridCol w:w="2383"/>
        <w:gridCol w:w="5400"/>
      </w:tblGrid>
      <w:tr w:rsidR="00B76A27" w:rsidRPr="004111BE" w14:paraId="6496D7B8" w14:textId="77777777" w:rsidTr="00F3652A">
        <w:tc>
          <w:tcPr>
            <w:tcW w:w="1233" w:type="dxa"/>
          </w:tcPr>
          <w:p w14:paraId="00E10556" w14:textId="77777777" w:rsidR="00B76A27" w:rsidRPr="004111BE" w:rsidRDefault="00B76A27" w:rsidP="00F17F2D">
            <w:pPr>
              <w:pStyle w:val="NoSpacing"/>
            </w:pPr>
            <w:r w:rsidRPr="004111BE">
              <w:t>Version</w:t>
            </w:r>
          </w:p>
        </w:tc>
        <w:tc>
          <w:tcPr>
            <w:tcW w:w="2383" w:type="dxa"/>
          </w:tcPr>
          <w:p w14:paraId="539655F6" w14:textId="77777777" w:rsidR="00B76A27" w:rsidRPr="004111BE" w:rsidRDefault="00B76A27" w:rsidP="00F17F2D">
            <w:pPr>
              <w:pStyle w:val="NoSpacing"/>
            </w:pPr>
            <w:r w:rsidRPr="004111BE">
              <w:t>Date Implemented</w:t>
            </w:r>
          </w:p>
        </w:tc>
        <w:tc>
          <w:tcPr>
            <w:tcW w:w="5400" w:type="dxa"/>
          </w:tcPr>
          <w:p w14:paraId="496C8E2B" w14:textId="77777777" w:rsidR="00B76A27" w:rsidRPr="004111BE" w:rsidRDefault="00B76A27" w:rsidP="00F17F2D">
            <w:pPr>
              <w:pStyle w:val="NoSpacing"/>
            </w:pPr>
            <w:r w:rsidRPr="004111BE">
              <w:t>Details of change</w:t>
            </w:r>
          </w:p>
        </w:tc>
      </w:tr>
      <w:tr w:rsidR="00B76A27" w:rsidRPr="004111BE" w14:paraId="104B7C11" w14:textId="77777777" w:rsidTr="00F3652A">
        <w:tc>
          <w:tcPr>
            <w:tcW w:w="1233" w:type="dxa"/>
          </w:tcPr>
          <w:p w14:paraId="09DE8E5B" w14:textId="77777777" w:rsidR="00B76A27" w:rsidRPr="004111BE" w:rsidRDefault="00B76A27" w:rsidP="00F17F2D">
            <w:pPr>
              <w:pStyle w:val="NoSpacing"/>
            </w:pPr>
            <w:r w:rsidRPr="004111BE">
              <w:t>0.1</w:t>
            </w:r>
          </w:p>
        </w:tc>
        <w:tc>
          <w:tcPr>
            <w:tcW w:w="2383" w:type="dxa"/>
          </w:tcPr>
          <w:p w14:paraId="3A07EABD" w14:textId="77777777" w:rsidR="00B76A27" w:rsidRPr="004111BE" w:rsidRDefault="00B76A27" w:rsidP="00F17F2D">
            <w:pPr>
              <w:pStyle w:val="NoSpacing"/>
            </w:pPr>
            <w:r w:rsidRPr="004111BE">
              <w:t>Oct 2017</w:t>
            </w:r>
          </w:p>
        </w:tc>
        <w:tc>
          <w:tcPr>
            <w:tcW w:w="5400" w:type="dxa"/>
          </w:tcPr>
          <w:p w14:paraId="5CC5188B" w14:textId="77777777" w:rsidR="00B76A27" w:rsidRPr="004111BE" w:rsidRDefault="00B76A27" w:rsidP="00F17F2D">
            <w:pPr>
              <w:pStyle w:val="NoSpacing"/>
            </w:pPr>
          </w:p>
        </w:tc>
      </w:tr>
      <w:tr w:rsidR="00B76A27" w:rsidRPr="004111BE" w14:paraId="4C036DEB" w14:textId="77777777" w:rsidTr="00F3652A">
        <w:tc>
          <w:tcPr>
            <w:tcW w:w="1233" w:type="dxa"/>
          </w:tcPr>
          <w:p w14:paraId="3AE35D69" w14:textId="77777777" w:rsidR="00B76A27" w:rsidRPr="004111BE" w:rsidRDefault="00B76A27" w:rsidP="00F17F2D">
            <w:pPr>
              <w:pStyle w:val="NoSpacing"/>
            </w:pPr>
            <w:r w:rsidRPr="004111BE">
              <w:t>0.2</w:t>
            </w:r>
          </w:p>
        </w:tc>
        <w:tc>
          <w:tcPr>
            <w:tcW w:w="2383" w:type="dxa"/>
          </w:tcPr>
          <w:p w14:paraId="3F8358B1" w14:textId="77777777" w:rsidR="00B76A27" w:rsidRPr="004111BE" w:rsidRDefault="00B76A27" w:rsidP="00F17F2D">
            <w:pPr>
              <w:pStyle w:val="NoSpacing"/>
            </w:pPr>
            <w:r w:rsidRPr="004111BE">
              <w:t>10 Jan 2018</w:t>
            </w:r>
          </w:p>
        </w:tc>
        <w:tc>
          <w:tcPr>
            <w:tcW w:w="5400" w:type="dxa"/>
          </w:tcPr>
          <w:p w14:paraId="2CEE4615" w14:textId="77777777" w:rsidR="00B76A27" w:rsidRPr="004111BE" w:rsidRDefault="00B76A27" w:rsidP="00F17F2D">
            <w:pPr>
              <w:pStyle w:val="NoSpacing"/>
            </w:pPr>
            <w:r w:rsidRPr="004111BE">
              <w:t>Rumana Omar and Paddy Stone provided feedback</w:t>
            </w:r>
          </w:p>
        </w:tc>
      </w:tr>
      <w:tr w:rsidR="00B76A27" w:rsidRPr="004111BE" w14:paraId="62F101E1" w14:textId="77777777" w:rsidTr="00F3652A">
        <w:tc>
          <w:tcPr>
            <w:tcW w:w="1233" w:type="dxa"/>
          </w:tcPr>
          <w:p w14:paraId="3A9CA57E" w14:textId="77777777" w:rsidR="00B76A27" w:rsidRPr="004111BE" w:rsidRDefault="00B76A27" w:rsidP="00F17F2D">
            <w:pPr>
              <w:pStyle w:val="NoSpacing"/>
            </w:pPr>
            <w:r w:rsidRPr="004111BE">
              <w:t>0.3</w:t>
            </w:r>
          </w:p>
        </w:tc>
        <w:tc>
          <w:tcPr>
            <w:tcW w:w="2383" w:type="dxa"/>
          </w:tcPr>
          <w:p w14:paraId="26859370" w14:textId="77777777" w:rsidR="00B76A27" w:rsidRPr="004111BE" w:rsidRDefault="00B76A27" w:rsidP="00F17F2D">
            <w:pPr>
              <w:pStyle w:val="NoSpacing"/>
            </w:pPr>
            <w:r w:rsidRPr="004111BE">
              <w:t>29 Jan 2018</w:t>
            </w:r>
          </w:p>
        </w:tc>
        <w:tc>
          <w:tcPr>
            <w:tcW w:w="5400" w:type="dxa"/>
          </w:tcPr>
          <w:p w14:paraId="6D760028" w14:textId="77777777" w:rsidR="00B76A27" w:rsidRPr="004111BE" w:rsidRDefault="00B76A27" w:rsidP="00F17F2D">
            <w:pPr>
              <w:pStyle w:val="NoSpacing"/>
            </w:pPr>
            <w:r w:rsidRPr="004111BE">
              <w:t>Paddy Stone and Anastasia Kalpakidou provided feedback</w:t>
            </w:r>
          </w:p>
        </w:tc>
      </w:tr>
      <w:tr w:rsidR="00B76A27" w:rsidRPr="004111BE" w14:paraId="4CC18FE2" w14:textId="77777777" w:rsidTr="00F3652A">
        <w:tc>
          <w:tcPr>
            <w:tcW w:w="1233" w:type="dxa"/>
          </w:tcPr>
          <w:p w14:paraId="52E1FE9C" w14:textId="77777777" w:rsidR="00B76A27" w:rsidRPr="004111BE" w:rsidRDefault="00B76A27" w:rsidP="00F17F2D">
            <w:pPr>
              <w:pStyle w:val="NoSpacing"/>
            </w:pPr>
            <w:r w:rsidRPr="004111BE">
              <w:t>0.4</w:t>
            </w:r>
          </w:p>
        </w:tc>
        <w:tc>
          <w:tcPr>
            <w:tcW w:w="2383" w:type="dxa"/>
          </w:tcPr>
          <w:p w14:paraId="42F199C3" w14:textId="77777777" w:rsidR="00B76A27" w:rsidRPr="004111BE" w:rsidRDefault="00B76A27" w:rsidP="00F17F2D">
            <w:pPr>
              <w:pStyle w:val="NoSpacing"/>
            </w:pPr>
            <w:r w:rsidRPr="004111BE">
              <w:t>06 Aug 2018</w:t>
            </w:r>
          </w:p>
        </w:tc>
        <w:tc>
          <w:tcPr>
            <w:tcW w:w="5400" w:type="dxa"/>
          </w:tcPr>
          <w:p w14:paraId="49A4A7AE" w14:textId="77777777" w:rsidR="00B76A27" w:rsidRPr="004111BE" w:rsidRDefault="00B76A27" w:rsidP="00F17F2D">
            <w:pPr>
              <w:pStyle w:val="NoSpacing"/>
            </w:pPr>
            <w:r w:rsidRPr="004111BE">
              <w:t xml:space="preserve">Susan Charman provided feedback. </w:t>
            </w:r>
          </w:p>
        </w:tc>
      </w:tr>
      <w:tr w:rsidR="00B76A27" w:rsidRPr="004111BE" w14:paraId="1C32F918" w14:textId="77777777" w:rsidTr="00F3652A">
        <w:tc>
          <w:tcPr>
            <w:tcW w:w="1233" w:type="dxa"/>
          </w:tcPr>
          <w:p w14:paraId="38B9AA7E" w14:textId="77777777" w:rsidR="00B76A27" w:rsidRPr="004111BE" w:rsidRDefault="00B76A27" w:rsidP="00F17F2D">
            <w:pPr>
              <w:pStyle w:val="NoSpacing"/>
            </w:pPr>
            <w:r>
              <w:t>1.0</w:t>
            </w:r>
          </w:p>
        </w:tc>
        <w:tc>
          <w:tcPr>
            <w:tcW w:w="2383" w:type="dxa"/>
          </w:tcPr>
          <w:p w14:paraId="45CE7200" w14:textId="77777777" w:rsidR="00B76A27" w:rsidRPr="004111BE" w:rsidRDefault="00B76A27" w:rsidP="00F17F2D">
            <w:pPr>
              <w:pStyle w:val="NoSpacing"/>
            </w:pPr>
            <w:r>
              <w:t>13 Nov 2018</w:t>
            </w:r>
          </w:p>
        </w:tc>
        <w:tc>
          <w:tcPr>
            <w:tcW w:w="5400" w:type="dxa"/>
          </w:tcPr>
          <w:p w14:paraId="1BF835C1" w14:textId="77777777" w:rsidR="00B76A27" w:rsidRPr="004111BE" w:rsidRDefault="00B76A27" w:rsidP="00F17F2D">
            <w:pPr>
              <w:pStyle w:val="NoSpacing"/>
            </w:pPr>
            <w:r>
              <w:t>Signed and authorised by team</w:t>
            </w:r>
          </w:p>
        </w:tc>
      </w:tr>
    </w:tbl>
    <w:p w14:paraId="6A8AC83C" w14:textId="77777777" w:rsidR="00B76A27" w:rsidRPr="004111BE" w:rsidRDefault="00B76A27" w:rsidP="00B76A27">
      <w:pPr>
        <w:jc w:val="both"/>
      </w:pPr>
    </w:p>
    <w:p w14:paraId="6930A0AD" w14:textId="77777777" w:rsidR="00B76A27" w:rsidRPr="004111BE" w:rsidRDefault="00B76A27" w:rsidP="00B76A27">
      <w:pPr>
        <w:jc w:val="both"/>
        <w:rPr>
          <w:b/>
        </w:rPr>
      </w:pPr>
      <w:r w:rsidRPr="004111BE">
        <w:rPr>
          <w:b/>
        </w:rPr>
        <w:t>SAP Authorisation</w:t>
      </w:r>
    </w:p>
    <w:tbl>
      <w:tblPr>
        <w:tblStyle w:val="TableGrid"/>
        <w:tblW w:w="0" w:type="auto"/>
        <w:tblLook w:val="04A0" w:firstRow="1" w:lastRow="0" w:firstColumn="1" w:lastColumn="0" w:noHBand="0" w:noVBand="1"/>
      </w:tblPr>
      <w:tblGrid>
        <w:gridCol w:w="1555"/>
        <w:gridCol w:w="7461"/>
      </w:tblGrid>
      <w:tr w:rsidR="00B76A27" w:rsidRPr="004111BE" w14:paraId="1C0D84A4" w14:textId="77777777" w:rsidTr="00F3652A">
        <w:tc>
          <w:tcPr>
            <w:tcW w:w="9016" w:type="dxa"/>
            <w:gridSpan w:val="2"/>
          </w:tcPr>
          <w:p w14:paraId="099108DC" w14:textId="77777777" w:rsidR="00B76A27" w:rsidRPr="004111BE" w:rsidRDefault="00B76A27" w:rsidP="00F17F2D">
            <w:pPr>
              <w:pStyle w:val="NoSpacing"/>
            </w:pPr>
            <w:r w:rsidRPr="004111BE">
              <w:t>Author</w:t>
            </w:r>
          </w:p>
        </w:tc>
      </w:tr>
      <w:tr w:rsidR="00B76A27" w:rsidRPr="004111BE" w14:paraId="38F114A6" w14:textId="77777777" w:rsidTr="00F3652A">
        <w:tc>
          <w:tcPr>
            <w:tcW w:w="1555" w:type="dxa"/>
          </w:tcPr>
          <w:p w14:paraId="4DA63B34" w14:textId="77777777" w:rsidR="00B76A27" w:rsidRPr="004111BE" w:rsidRDefault="00B76A27" w:rsidP="00F17F2D">
            <w:pPr>
              <w:pStyle w:val="NoSpacing"/>
            </w:pPr>
            <w:r w:rsidRPr="004111BE">
              <w:t>Name:</w:t>
            </w:r>
          </w:p>
        </w:tc>
        <w:tc>
          <w:tcPr>
            <w:tcW w:w="7461" w:type="dxa"/>
          </w:tcPr>
          <w:p w14:paraId="7D3A197F" w14:textId="77777777" w:rsidR="00B76A27" w:rsidRPr="004111BE" w:rsidRDefault="00B76A27" w:rsidP="00F17F2D">
            <w:pPr>
              <w:pStyle w:val="NoSpacing"/>
            </w:pPr>
            <w:r w:rsidRPr="004111BE">
              <w:t>Ms Victoria Vickerstaff</w:t>
            </w:r>
          </w:p>
        </w:tc>
      </w:tr>
      <w:tr w:rsidR="00B76A27" w:rsidRPr="004111BE" w14:paraId="0435D8AC" w14:textId="77777777" w:rsidTr="00F3652A">
        <w:tc>
          <w:tcPr>
            <w:tcW w:w="1555" w:type="dxa"/>
          </w:tcPr>
          <w:p w14:paraId="13B1F35B" w14:textId="77777777" w:rsidR="00B76A27" w:rsidRPr="004111BE" w:rsidRDefault="00B76A27" w:rsidP="00F17F2D">
            <w:pPr>
              <w:pStyle w:val="NoSpacing"/>
            </w:pPr>
            <w:r w:rsidRPr="004111BE">
              <w:t>Role:</w:t>
            </w:r>
          </w:p>
        </w:tc>
        <w:tc>
          <w:tcPr>
            <w:tcW w:w="7461" w:type="dxa"/>
          </w:tcPr>
          <w:p w14:paraId="2CD1B5BD" w14:textId="77777777" w:rsidR="00B76A27" w:rsidRPr="004111BE" w:rsidRDefault="00B76A27" w:rsidP="00F17F2D">
            <w:pPr>
              <w:pStyle w:val="NoSpacing"/>
            </w:pPr>
            <w:r w:rsidRPr="004111BE">
              <w:t>Trial statistician</w:t>
            </w:r>
          </w:p>
        </w:tc>
      </w:tr>
      <w:tr w:rsidR="00B76A27" w:rsidRPr="004111BE" w14:paraId="3867C6BB" w14:textId="77777777" w:rsidTr="00F3652A">
        <w:tc>
          <w:tcPr>
            <w:tcW w:w="1555" w:type="dxa"/>
          </w:tcPr>
          <w:p w14:paraId="20C5FD20" w14:textId="77777777" w:rsidR="00B76A27" w:rsidRPr="004111BE" w:rsidRDefault="00B76A27" w:rsidP="00F17F2D">
            <w:pPr>
              <w:pStyle w:val="NoSpacing"/>
            </w:pPr>
            <w:r w:rsidRPr="004111BE">
              <w:t>Signature:</w:t>
            </w:r>
          </w:p>
        </w:tc>
        <w:tc>
          <w:tcPr>
            <w:tcW w:w="7461" w:type="dxa"/>
          </w:tcPr>
          <w:p w14:paraId="668C88C4" w14:textId="77777777" w:rsidR="00B76A27" w:rsidRPr="004111BE" w:rsidRDefault="00B76A27" w:rsidP="00F17F2D">
            <w:pPr>
              <w:pStyle w:val="NoSpacing"/>
            </w:pPr>
            <w:r w:rsidRPr="003C30C8">
              <w:rPr>
                <w:b/>
                <w:noProof/>
                <w:lang w:eastAsia="en-GB"/>
              </w:rPr>
              <w:drawing>
                <wp:inline distT="0" distB="0" distL="0" distR="0" wp14:anchorId="5E20A3C9" wp14:editId="25384E35">
                  <wp:extent cx="570322" cy="209550"/>
                  <wp:effectExtent l="0" t="0" r="1270" b="0"/>
                  <wp:docPr id="3" name="Picture 3" descr="\\ad.ucl.ac.uk\homev\ucakvhv\Documents\signature nea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cl.ac.uk\homev\ucakvhv\Documents\signature nearly.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2243" b="49854"/>
                          <a:stretch/>
                        </pic:blipFill>
                        <pic:spPr bwMode="auto">
                          <a:xfrm>
                            <a:off x="0" y="0"/>
                            <a:ext cx="572035" cy="2101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6A27" w:rsidRPr="004111BE" w14:paraId="21068ECF" w14:textId="77777777" w:rsidTr="00F3652A">
        <w:tc>
          <w:tcPr>
            <w:tcW w:w="1555" w:type="dxa"/>
          </w:tcPr>
          <w:p w14:paraId="003FD39F" w14:textId="77777777" w:rsidR="00B76A27" w:rsidRPr="004111BE" w:rsidRDefault="00B76A27" w:rsidP="00F17F2D">
            <w:pPr>
              <w:pStyle w:val="NoSpacing"/>
            </w:pPr>
            <w:r w:rsidRPr="004111BE">
              <w:t>Date:</w:t>
            </w:r>
          </w:p>
        </w:tc>
        <w:tc>
          <w:tcPr>
            <w:tcW w:w="7461" w:type="dxa"/>
          </w:tcPr>
          <w:p w14:paraId="2BA62C84" w14:textId="77777777" w:rsidR="00B76A27" w:rsidRPr="004111BE" w:rsidRDefault="00B76A27" w:rsidP="00F17F2D">
            <w:pPr>
              <w:pStyle w:val="NoSpacing"/>
            </w:pPr>
            <w:r>
              <w:t>13/11/2018</w:t>
            </w:r>
          </w:p>
        </w:tc>
      </w:tr>
    </w:tbl>
    <w:p w14:paraId="13A16EAC" w14:textId="77777777" w:rsidR="00B76A27" w:rsidRPr="004111BE" w:rsidRDefault="00B76A27" w:rsidP="00B76A27">
      <w:pPr>
        <w:jc w:val="both"/>
      </w:pPr>
    </w:p>
    <w:tbl>
      <w:tblPr>
        <w:tblStyle w:val="TableGrid"/>
        <w:tblW w:w="0" w:type="auto"/>
        <w:tblLook w:val="04A0" w:firstRow="1" w:lastRow="0" w:firstColumn="1" w:lastColumn="0" w:noHBand="0" w:noVBand="1"/>
      </w:tblPr>
      <w:tblGrid>
        <w:gridCol w:w="1555"/>
        <w:gridCol w:w="7461"/>
      </w:tblGrid>
      <w:tr w:rsidR="00B76A27" w:rsidRPr="004111BE" w14:paraId="5A16AB05" w14:textId="77777777" w:rsidTr="00F3652A">
        <w:tc>
          <w:tcPr>
            <w:tcW w:w="9016" w:type="dxa"/>
            <w:gridSpan w:val="2"/>
          </w:tcPr>
          <w:p w14:paraId="331F7D4C" w14:textId="77777777" w:rsidR="00B76A27" w:rsidRPr="004111BE" w:rsidRDefault="00B76A27" w:rsidP="00F17F2D">
            <w:pPr>
              <w:pStyle w:val="NoSpacing"/>
            </w:pPr>
            <w:r w:rsidRPr="004111BE">
              <w:t>Approver</w:t>
            </w:r>
          </w:p>
        </w:tc>
      </w:tr>
      <w:tr w:rsidR="00B76A27" w:rsidRPr="004111BE" w14:paraId="28A07037" w14:textId="77777777" w:rsidTr="00F3652A">
        <w:tc>
          <w:tcPr>
            <w:tcW w:w="1555" w:type="dxa"/>
          </w:tcPr>
          <w:p w14:paraId="32ABB390" w14:textId="77777777" w:rsidR="00B76A27" w:rsidRPr="004111BE" w:rsidRDefault="00B76A27" w:rsidP="00F17F2D">
            <w:pPr>
              <w:pStyle w:val="NoSpacing"/>
            </w:pPr>
            <w:r w:rsidRPr="004111BE">
              <w:t>Name:</w:t>
            </w:r>
          </w:p>
        </w:tc>
        <w:tc>
          <w:tcPr>
            <w:tcW w:w="7461" w:type="dxa"/>
          </w:tcPr>
          <w:p w14:paraId="00145F80" w14:textId="77777777" w:rsidR="00B76A27" w:rsidRPr="004111BE" w:rsidRDefault="00B76A27" w:rsidP="00F17F2D">
            <w:pPr>
              <w:pStyle w:val="NoSpacing"/>
            </w:pPr>
            <w:r w:rsidRPr="004111BE">
              <w:t>Prof. Rumana Omar</w:t>
            </w:r>
          </w:p>
        </w:tc>
      </w:tr>
      <w:tr w:rsidR="00B76A27" w:rsidRPr="004111BE" w14:paraId="5302AB5C" w14:textId="77777777" w:rsidTr="00F3652A">
        <w:tc>
          <w:tcPr>
            <w:tcW w:w="1555" w:type="dxa"/>
          </w:tcPr>
          <w:p w14:paraId="2DFDC919" w14:textId="77777777" w:rsidR="00B76A27" w:rsidRPr="004111BE" w:rsidRDefault="00B76A27" w:rsidP="00F17F2D">
            <w:pPr>
              <w:pStyle w:val="NoSpacing"/>
            </w:pPr>
            <w:r w:rsidRPr="004111BE">
              <w:t>Role:</w:t>
            </w:r>
          </w:p>
        </w:tc>
        <w:tc>
          <w:tcPr>
            <w:tcW w:w="7461" w:type="dxa"/>
          </w:tcPr>
          <w:p w14:paraId="7C188065" w14:textId="77777777" w:rsidR="00B76A27" w:rsidRPr="004111BE" w:rsidRDefault="00B76A27" w:rsidP="00F17F2D">
            <w:pPr>
              <w:pStyle w:val="NoSpacing"/>
            </w:pPr>
            <w:r w:rsidRPr="004111BE">
              <w:t>Lead statistician</w:t>
            </w:r>
          </w:p>
        </w:tc>
      </w:tr>
      <w:tr w:rsidR="00B76A27" w:rsidRPr="004111BE" w14:paraId="77EBB8FB" w14:textId="77777777" w:rsidTr="00F3652A">
        <w:tc>
          <w:tcPr>
            <w:tcW w:w="1555" w:type="dxa"/>
          </w:tcPr>
          <w:p w14:paraId="2874CE40" w14:textId="77777777" w:rsidR="00B76A27" w:rsidRPr="004111BE" w:rsidRDefault="00B76A27" w:rsidP="00F17F2D">
            <w:pPr>
              <w:pStyle w:val="NoSpacing"/>
            </w:pPr>
            <w:r w:rsidRPr="004111BE">
              <w:t>Signature:</w:t>
            </w:r>
          </w:p>
        </w:tc>
        <w:tc>
          <w:tcPr>
            <w:tcW w:w="7461" w:type="dxa"/>
          </w:tcPr>
          <w:p w14:paraId="24194152" w14:textId="2ADB25B6" w:rsidR="00B76A27" w:rsidRPr="004111BE" w:rsidRDefault="004F0C27" w:rsidP="00F17F2D">
            <w:pPr>
              <w:pStyle w:val="NoSpacing"/>
            </w:pPr>
            <w:r>
              <w:rPr>
                <w:rFonts w:ascii="Times New Roman" w:hAnsi="Times New Roman"/>
                <w:noProof/>
                <w:sz w:val="24"/>
                <w:lang w:eastAsia="en-GB"/>
              </w:rPr>
              <w:drawing>
                <wp:inline distT="0" distB="0" distL="0" distR="0" wp14:anchorId="449BEED2" wp14:editId="314E7B40">
                  <wp:extent cx="1504950" cy="196850"/>
                  <wp:effectExtent l="0" t="0" r="0" b="0"/>
                  <wp:docPr id="5" name="Picture 5"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04950" cy="196850"/>
                          </a:xfrm>
                          <a:prstGeom prst="rect">
                            <a:avLst/>
                          </a:prstGeom>
                          <a:noFill/>
                          <a:ln>
                            <a:noFill/>
                          </a:ln>
                        </pic:spPr>
                      </pic:pic>
                    </a:graphicData>
                  </a:graphic>
                </wp:inline>
              </w:drawing>
            </w:r>
          </w:p>
        </w:tc>
      </w:tr>
      <w:tr w:rsidR="00B76A27" w:rsidRPr="004111BE" w14:paraId="5C90D210" w14:textId="77777777" w:rsidTr="00F3652A">
        <w:tc>
          <w:tcPr>
            <w:tcW w:w="1555" w:type="dxa"/>
          </w:tcPr>
          <w:p w14:paraId="29247F5A" w14:textId="77777777" w:rsidR="00B76A27" w:rsidRPr="004111BE" w:rsidRDefault="00B76A27" w:rsidP="00F17F2D">
            <w:pPr>
              <w:pStyle w:val="NoSpacing"/>
            </w:pPr>
            <w:r w:rsidRPr="004111BE">
              <w:t>Date:</w:t>
            </w:r>
          </w:p>
        </w:tc>
        <w:tc>
          <w:tcPr>
            <w:tcW w:w="7461" w:type="dxa"/>
          </w:tcPr>
          <w:p w14:paraId="7836776F" w14:textId="34427A54" w:rsidR="00B76A27" w:rsidRPr="004111BE" w:rsidRDefault="004F0C27" w:rsidP="00F17F2D">
            <w:pPr>
              <w:pStyle w:val="NoSpacing"/>
            </w:pPr>
            <w:r>
              <w:t>16/11/2018</w:t>
            </w:r>
          </w:p>
        </w:tc>
      </w:tr>
    </w:tbl>
    <w:p w14:paraId="3AD789A7" w14:textId="77777777" w:rsidR="00B76A27" w:rsidRPr="004111BE" w:rsidRDefault="00B76A27" w:rsidP="00B76A27">
      <w:pPr>
        <w:jc w:val="both"/>
      </w:pPr>
    </w:p>
    <w:tbl>
      <w:tblPr>
        <w:tblStyle w:val="TableGrid"/>
        <w:tblW w:w="0" w:type="auto"/>
        <w:tblLook w:val="04A0" w:firstRow="1" w:lastRow="0" w:firstColumn="1" w:lastColumn="0" w:noHBand="0" w:noVBand="1"/>
      </w:tblPr>
      <w:tblGrid>
        <w:gridCol w:w="1555"/>
        <w:gridCol w:w="7461"/>
      </w:tblGrid>
      <w:tr w:rsidR="00B76A27" w:rsidRPr="004111BE" w14:paraId="2048EBFF" w14:textId="77777777" w:rsidTr="00F3652A">
        <w:tc>
          <w:tcPr>
            <w:tcW w:w="9016" w:type="dxa"/>
            <w:gridSpan w:val="2"/>
          </w:tcPr>
          <w:p w14:paraId="79C89D56" w14:textId="77777777" w:rsidR="00B76A27" w:rsidRPr="004111BE" w:rsidRDefault="00B76A27" w:rsidP="00F17F2D">
            <w:pPr>
              <w:pStyle w:val="NoSpacing"/>
            </w:pPr>
            <w:r w:rsidRPr="004111BE">
              <w:t>Approver</w:t>
            </w:r>
          </w:p>
        </w:tc>
      </w:tr>
      <w:tr w:rsidR="00B76A27" w:rsidRPr="004111BE" w14:paraId="04C57281" w14:textId="77777777" w:rsidTr="00F3652A">
        <w:tc>
          <w:tcPr>
            <w:tcW w:w="1555" w:type="dxa"/>
          </w:tcPr>
          <w:p w14:paraId="289263F0" w14:textId="77777777" w:rsidR="00B76A27" w:rsidRPr="004111BE" w:rsidRDefault="00B76A27" w:rsidP="00F17F2D">
            <w:pPr>
              <w:pStyle w:val="NoSpacing"/>
            </w:pPr>
            <w:r w:rsidRPr="004111BE">
              <w:t>Name:</w:t>
            </w:r>
          </w:p>
        </w:tc>
        <w:tc>
          <w:tcPr>
            <w:tcW w:w="7461" w:type="dxa"/>
          </w:tcPr>
          <w:p w14:paraId="1310C0E9" w14:textId="77777777" w:rsidR="00B76A27" w:rsidRPr="004111BE" w:rsidRDefault="00B76A27" w:rsidP="00F17F2D">
            <w:pPr>
              <w:pStyle w:val="NoSpacing"/>
            </w:pPr>
            <w:r w:rsidRPr="004111BE">
              <w:t>Prof. Paddy Stone</w:t>
            </w:r>
          </w:p>
        </w:tc>
      </w:tr>
      <w:tr w:rsidR="00B76A27" w:rsidRPr="004111BE" w14:paraId="2832815C" w14:textId="77777777" w:rsidTr="00F3652A">
        <w:tc>
          <w:tcPr>
            <w:tcW w:w="1555" w:type="dxa"/>
          </w:tcPr>
          <w:p w14:paraId="25C679C2" w14:textId="77777777" w:rsidR="00B76A27" w:rsidRPr="004111BE" w:rsidRDefault="00B76A27" w:rsidP="00F17F2D">
            <w:pPr>
              <w:pStyle w:val="NoSpacing"/>
            </w:pPr>
            <w:r w:rsidRPr="004111BE">
              <w:t>Role:</w:t>
            </w:r>
          </w:p>
        </w:tc>
        <w:tc>
          <w:tcPr>
            <w:tcW w:w="7461" w:type="dxa"/>
          </w:tcPr>
          <w:p w14:paraId="4A39D879" w14:textId="77777777" w:rsidR="00B76A27" w:rsidRPr="004111BE" w:rsidRDefault="00B76A27" w:rsidP="00F17F2D">
            <w:pPr>
              <w:pStyle w:val="NoSpacing"/>
            </w:pPr>
            <w:r w:rsidRPr="004111BE">
              <w:t>Chief investigator</w:t>
            </w:r>
          </w:p>
        </w:tc>
      </w:tr>
      <w:tr w:rsidR="00B76A27" w:rsidRPr="004111BE" w14:paraId="5FB99349" w14:textId="77777777" w:rsidTr="00F3652A">
        <w:tc>
          <w:tcPr>
            <w:tcW w:w="1555" w:type="dxa"/>
          </w:tcPr>
          <w:p w14:paraId="34997360" w14:textId="77777777" w:rsidR="00B76A27" w:rsidRPr="004111BE" w:rsidRDefault="00B76A27" w:rsidP="00F17F2D">
            <w:pPr>
              <w:pStyle w:val="NoSpacing"/>
            </w:pPr>
            <w:r w:rsidRPr="004111BE">
              <w:t>Signature:</w:t>
            </w:r>
          </w:p>
        </w:tc>
        <w:tc>
          <w:tcPr>
            <w:tcW w:w="7461" w:type="dxa"/>
          </w:tcPr>
          <w:p w14:paraId="7DEBF241" w14:textId="77777777" w:rsidR="00B76A27" w:rsidRPr="004111BE" w:rsidRDefault="00B76A27" w:rsidP="00F17F2D">
            <w:pPr>
              <w:pStyle w:val="NoSpacing"/>
            </w:pPr>
            <w:r>
              <w:rPr>
                <w:noProof/>
                <w:lang w:eastAsia="en-GB"/>
              </w:rPr>
              <w:drawing>
                <wp:inline distT="0" distB="0" distL="0" distR="0" wp14:anchorId="7C1D0837" wp14:editId="00D11255">
                  <wp:extent cx="571500" cy="2791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762" cy="278745"/>
                          </a:xfrm>
                          <a:prstGeom prst="rect">
                            <a:avLst/>
                          </a:prstGeom>
                        </pic:spPr>
                      </pic:pic>
                    </a:graphicData>
                  </a:graphic>
                </wp:inline>
              </w:drawing>
            </w:r>
          </w:p>
        </w:tc>
      </w:tr>
      <w:tr w:rsidR="00B76A27" w:rsidRPr="004111BE" w14:paraId="43C45D04" w14:textId="77777777" w:rsidTr="00F3652A">
        <w:tc>
          <w:tcPr>
            <w:tcW w:w="1555" w:type="dxa"/>
          </w:tcPr>
          <w:p w14:paraId="6D54321B" w14:textId="77777777" w:rsidR="00B76A27" w:rsidRPr="004111BE" w:rsidRDefault="00B76A27" w:rsidP="00F17F2D">
            <w:pPr>
              <w:pStyle w:val="NoSpacing"/>
            </w:pPr>
            <w:r w:rsidRPr="004111BE">
              <w:t>Date:</w:t>
            </w:r>
          </w:p>
        </w:tc>
        <w:tc>
          <w:tcPr>
            <w:tcW w:w="7461" w:type="dxa"/>
          </w:tcPr>
          <w:p w14:paraId="521326CD" w14:textId="77777777" w:rsidR="00B76A27" w:rsidRPr="004111BE" w:rsidRDefault="00B76A27" w:rsidP="00F17F2D">
            <w:pPr>
              <w:pStyle w:val="NoSpacing"/>
            </w:pPr>
            <w:r>
              <w:t>13-Nov-2018</w:t>
            </w:r>
          </w:p>
        </w:tc>
      </w:tr>
    </w:tbl>
    <w:p w14:paraId="5F31346C" w14:textId="77777777" w:rsidR="00B76A27" w:rsidRPr="004111BE" w:rsidRDefault="00B76A27" w:rsidP="00B76A27">
      <w:pPr>
        <w:pStyle w:val="ListParagraph"/>
        <w:jc w:val="both"/>
      </w:pPr>
    </w:p>
    <w:p w14:paraId="7DB5087E" w14:textId="77777777" w:rsidR="00B76A27" w:rsidRPr="004111BE" w:rsidRDefault="00B76A27" w:rsidP="00B76A27">
      <w:pPr>
        <w:pStyle w:val="ListParagraph"/>
        <w:jc w:val="center"/>
      </w:pPr>
      <w:r w:rsidRPr="004111BE">
        <w:rPr>
          <w:noProof/>
          <w:lang w:eastAsia="en-GB"/>
        </w:rPr>
        <w:drawing>
          <wp:inline distT="0" distB="0" distL="0" distR="0" wp14:anchorId="6FB8ED2A" wp14:editId="246F5D7F">
            <wp:extent cx="1300398"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404" cy="446548"/>
                    </a:xfrm>
                    <a:prstGeom prst="rect">
                      <a:avLst/>
                    </a:prstGeom>
                    <a:noFill/>
                    <a:ln>
                      <a:noFill/>
                    </a:ln>
                  </pic:spPr>
                </pic:pic>
              </a:graphicData>
            </a:graphic>
          </wp:inline>
        </w:drawing>
      </w:r>
      <w:r w:rsidRPr="004111BE">
        <w:rPr>
          <w:noProof/>
          <w:lang w:eastAsia="en-GB"/>
        </w:rPr>
        <w:drawing>
          <wp:inline distT="0" distB="0" distL="0" distR="0" wp14:anchorId="5F628C1B" wp14:editId="62A5BFC6">
            <wp:extent cx="1282292" cy="441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109" cy="463379"/>
                    </a:xfrm>
                    <a:prstGeom prst="rect">
                      <a:avLst/>
                    </a:prstGeom>
                    <a:noFill/>
                    <a:ln>
                      <a:noFill/>
                    </a:ln>
                  </pic:spPr>
                </pic:pic>
              </a:graphicData>
            </a:graphic>
          </wp:inline>
        </w:drawing>
      </w:r>
    </w:p>
    <w:p w14:paraId="2513D43E" w14:textId="77777777" w:rsidR="00B76A27" w:rsidRPr="004111BE" w:rsidRDefault="00B76A27" w:rsidP="00B76A27">
      <w:r w:rsidRPr="004111BE">
        <w:br w:type="page"/>
      </w:r>
    </w:p>
    <w:sdt>
      <w:sdtPr>
        <w:rPr>
          <w:rFonts w:eastAsiaTheme="minorEastAsia" w:cstheme="minorBidi"/>
          <w:b w:val="0"/>
          <w:bCs w:val="0"/>
          <w:sz w:val="22"/>
          <w:szCs w:val="22"/>
          <w:lang w:bidi="ar-SA"/>
        </w:rPr>
        <w:id w:val="2078480032"/>
        <w:docPartObj>
          <w:docPartGallery w:val="Table of Contents"/>
          <w:docPartUnique/>
        </w:docPartObj>
      </w:sdtPr>
      <w:sdtEndPr>
        <w:rPr>
          <w:noProof/>
        </w:rPr>
      </w:sdtEndPr>
      <w:sdtContent>
        <w:p w14:paraId="04C21BC7" w14:textId="77777777" w:rsidR="00B76A27" w:rsidRPr="004111BE" w:rsidRDefault="00B76A27" w:rsidP="00B76A27">
          <w:pPr>
            <w:pStyle w:val="TOCHeading"/>
            <w:numPr>
              <w:ilvl w:val="0"/>
              <w:numId w:val="0"/>
            </w:numPr>
            <w:jc w:val="both"/>
            <w:rPr>
              <w:sz w:val="22"/>
              <w:szCs w:val="22"/>
            </w:rPr>
          </w:pPr>
          <w:r w:rsidRPr="004111BE">
            <w:rPr>
              <w:sz w:val="22"/>
              <w:szCs w:val="22"/>
            </w:rPr>
            <w:t>Contents</w:t>
          </w:r>
        </w:p>
        <w:p w14:paraId="25B05F30" w14:textId="0710E95B" w:rsidR="00B76A27" w:rsidRDefault="00B76A27" w:rsidP="00B76A27">
          <w:pPr>
            <w:pStyle w:val="TOC1"/>
            <w:rPr>
              <w:noProof/>
              <w:sz w:val="24"/>
              <w:szCs w:val="24"/>
              <w:lang w:eastAsia="en-GB"/>
            </w:rPr>
          </w:pPr>
          <w:r w:rsidRPr="004111BE">
            <w:fldChar w:fldCharType="begin"/>
          </w:r>
          <w:r w:rsidRPr="004111BE">
            <w:instrText xml:space="preserve"> TOC \o "1-3" \h \z \u </w:instrText>
          </w:r>
          <w:r w:rsidRPr="004111BE">
            <w:fldChar w:fldCharType="separate"/>
          </w:r>
          <w:hyperlink w:anchor="_Toc529967092" w:history="1">
            <w:r w:rsidRPr="00B2327D">
              <w:rPr>
                <w:rStyle w:val="Hyperlink"/>
                <w:noProof/>
              </w:rPr>
              <w:t>1.</w:t>
            </w:r>
            <w:r>
              <w:rPr>
                <w:noProof/>
                <w:sz w:val="24"/>
                <w:szCs w:val="24"/>
                <w:lang w:eastAsia="en-GB"/>
              </w:rPr>
              <w:tab/>
            </w:r>
            <w:r w:rsidRPr="00B2327D">
              <w:rPr>
                <w:rStyle w:val="Hyperlink"/>
                <w:noProof/>
              </w:rPr>
              <w:t>Study Summary</w:t>
            </w:r>
            <w:r>
              <w:rPr>
                <w:noProof/>
                <w:webHidden/>
              </w:rPr>
              <w:tab/>
            </w:r>
            <w:r>
              <w:rPr>
                <w:noProof/>
                <w:webHidden/>
              </w:rPr>
              <w:fldChar w:fldCharType="begin"/>
            </w:r>
            <w:r>
              <w:rPr>
                <w:noProof/>
                <w:webHidden/>
              </w:rPr>
              <w:instrText xml:space="preserve"> PAGEREF _Toc529967092 \h </w:instrText>
            </w:r>
            <w:r>
              <w:rPr>
                <w:noProof/>
                <w:webHidden/>
              </w:rPr>
            </w:r>
            <w:r>
              <w:rPr>
                <w:noProof/>
                <w:webHidden/>
              </w:rPr>
              <w:fldChar w:fldCharType="separate"/>
            </w:r>
            <w:r w:rsidR="00125799">
              <w:rPr>
                <w:noProof/>
                <w:webHidden/>
              </w:rPr>
              <w:t>3</w:t>
            </w:r>
            <w:r>
              <w:rPr>
                <w:noProof/>
                <w:webHidden/>
              </w:rPr>
              <w:fldChar w:fldCharType="end"/>
            </w:r>
          </w:hyperlink>
        </w:p>
        <w:p w14:paraId="7A406942" w14:textId="3DBC71AE" w:rsidR="00B76A27" w:rsidRDefault="00DA3466" w:rsidP="00B76A27">
          <w:pPr>
            <w:pStyle w:val="TOC1"/>
            <w:rPr>
              <w:noProof/>
              <w:sz w:val="24"/>
              <w:szCs w:val="24"/>
              <w:lang w:eastAsia="en-GB"/>
            </w:rPr>
          </w:pPr>
          <w:hyperlink w:anchor="_Toc529967093" w:history="1">
            <w:r w:rsidR="00B76A27" w:rsidRPr="00B2327D">
              <w:rPr>
                <w:rStyle w:val="Hyperlink"/>
                <w:noProof/>
              </w:rPr>
              <w:t>2.</w:t>
            </w:r>
            <w:r w:rsidR="00B76A27">
              <w:rPr>
                <w:noProof/>
                <w:sz w:val="24"/>
                <w:szCs w:val="24"/>
                <w:lang w:eastAsia="en-GB"/>
              </w:rPr>
              <w:tab/>
            </w:r>
            <w:r w:rsidR="00B76A27" w:rsidRPr="00B2327D">
              <w:rPr>
                <w:rStyle w:val="Hyperlink"/>
                <w:noProof/>
              </w:rPr>
              <w:t>Analysis Plan Summary</w:t>
            </w:r>
            <w:r w:rsidR="00B76A27">
              <w:rPr>
                <w:noProof/>
                <w:webHidden/>
              </w:rPr>
              <w:tab/>
            </w:r>
            <w:r w:rsidR="00B76A27">
              <w:rPr>
                <w:noProof/>
                <w:webHidden/>
              </w:rPr>
              <w:fldChar w:fldCharType="begin"/>
            </w:r>
            <w:r w:rsidR="00B76A27">
              <w:rPr>
                <w:noProof/>
                <w:webHidden/>
              </w:rPr>
              <w:instrText xml:space="preserve"> PAGEREF _Toc529967093 \h </w:instrText>
            </w:r>
            <w:r w:rsidR="00B76A27">
              <w:rPr>
                <w:noProof/>
                <w:webHidden/>
              </w:rPr>
            </w:r>
            <w:r w:rsidR="00B76A27">
              <w:rPr>
                <w:noProof/>
                <w:webHidden/>
              </w:rPr>
              <w:fldChar w:fldCharType="separate"/>
            </w:r>
            <w:r w:rsidR="00125799">
              <w:rPr>
                <w:noProof/>
                <w:webHidden/>
              </w:rPr>
              <w:t>4</w:t>
            </w:r>
            <w:r w:rsidR="00B76A27">
              <w:rPr>
                <w:noProof/>
                <w:webHidden/>
              </w:rPr>
              <w:fldChar w:fldCharType="end"/>
            </w:r>
          </w:hyperlink>
        </w:p>
        <w:p w14:paraId="14130B5B" w14:textId="273B50F7" w:rsidR="00B76A27" w:rsidRDefault="00DA3466" w:rsidP="00B76A27">
          <w:pPr>
            <w:pStyle w:val="TOC1"/>
            <w:rPr>
              <w:noProof/>
              <w:sz w:val="24"/>
              <w:szCs w:val="24"/>
              <w:lang w:eastAsia="en-GB"/>
            </w:rPr>
          </w:pPr>
          <w:hyperlink w:anchor="_Toc529967094" w:history="1">
            <w:r w:rsidR="00B76A27" w:rsidRPr="00B2327D">
              <w:rPr>
                <w:rStyle w:val="Hyperlink"/>
                <w:noProof/>
              </w:rPr>
              <w:t>3.</w:t>
            </w:r>
            <w:r w:rsidR="00B76A27">
              <w:rPr>
                <w:noProof/>
                <w:sz w:val="24"/>
                <w:szCs w:val="24"/>
                <w:lang w:eastAsia="en-GB"/>
              </w:rPr>
              <w:tab/>
            </w:r>
            <w:r w:rsidR="00B76A27" w:rsidRPr="00B2327D">
              <w:rPr>
                <w:rStyle w:val="Hyperlink"/>
                <w:noProof/>
              </w:rPr>
              <w:t>Introduction</w:t>
            </w:r>
            <w:r w:rsidR="00B76A27">
              <w:rPr>
                <w:noProof/>
                <w:webHidden/>
              </w:rPr>
              <w:tab/>
            </w:r>
            <w:r w:rsidR="00B76A27">
              <w:rPr>
                <w:noProof/>
                <w:webHidden/>
              </w:rPr>
              <w:fldChar w:fldCharType="begin"/>
            </w:r>
            <w:r w:rsidR="00B76A27">
              <w:rPr>
                <w:noProof/>
                <w:webHidden/>
              </w:rPr>
              <w:instrText xml:space="preserve"> PAGEREF _Toc529967094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39A757A2" w14:textId="27AD79E0" w:rsidR="00B76A27" w:rsidRDefault="00DA3466" w:rsidP="00B76A27">
          <w:pPr>
            <w:pStyle w:val="TOC2"/>
            <w:tabs>
              <w:tab w:val="left" w:pos="960"/>
              <w:tab w:val="right" w:leader="dot" w:pos="9016"/>
            </w:tabs>
            <w:rPr>
              <w:noProof/>
              <w:sz w:val="24"/>
              <w:szCs w:val="24"/>
              <w:lang w:eastAsia="en-GB"/>
            </w:rPr>
          </w:pPr>
          <w:hyperlink w:anchor="_Toc529967095" w:history="1">
            <w:r w:rsidR="00B76A27" w:rsidRPr="00B2327D">
              <w:rPr>
                <w:rStyle w:val="Hyperlink"/>
                <w:noProof/>
              </w:rPr>
              <w:t>3.1.</w:t>
            </w:r>
            <w:r w:rsidR="00B76A27">
              <w:rPr>
                <w:noProof/>
                <w:sz w:val="24"/>
                <w:szCs w:val="24"/>
                <w:lang w:eastAsia="en-GB"/>
              </w:rPr>
              <w:tab/>
            </w:r>
            <w:r w:rsidR="00B76A27" w:rsidRPr="00B2327D">
              <w:rPr>
                <w:rStyle w:val="Hyperlink"/>
                <w:noProof/>
              </w:rPr>
              <w:t>Purpose and scope of the statistical analysis plan</w:t>
            </w:r>
            <w:r w:rsidR="00B76A27">
              <w:rPr>
                <w:noProof/>
                <w:webHidden/>
              </w:rPr>
              <w:tab/>
            </w:r>
            <w:r w:rsidR="00B76A27">
              <w:rPr>
                <w:noProof/>
                <w:webHidden/>
              </w:rPr>
              <w:fldChar w:fldCharType="begin"/>
            </w:r>
            <w:r w:rsidR="00B76A27">
              <w:rPr>
                <w:noProof/>
                <w:webHidden/>
              </w:rPr>
              <w:instrText xml:space="preserve"> PAGEREF _Toc529967095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63D9B6D2" w14:textId="5A877753" w:rsidR="00B76A27" w:rsidRDefault="00DA3466" w:rsidP="00B76A27">
          <w:pPr>
            <w:pStyle w:val="TOC2"/>
            <w:tabs>
              <w:tab w:val="left" w:pos="960"/>
              <w:tab w:val="right" w:leader="dot" w:pos="9016"/>
            </w:tabs>
            <w:rPr>
              <w:noProof/>
              <w:sz w:val="24"/>
              <w:szCs w:val="24"/>
              <w:lang w:eastAsia="en-GB"/>
            </w:rPr>
          </w:pPr>
          <w:hyperlink w:anchor="_Toc529967096" w:history="1">
            <w:r w:rsidR="00B76A27" w:rsidRPr="00B2327D">
              <w:rPr>
                <w:rStyle w:val="Hyperlink"/>
                <w:noProof/>
              </w:rPr>
              <w:t>3.2.</w:t>
            </w:r>
            <w:r w:rsidR="00B76A27">
              <w:rPr>
                <w:noProof/>
                <w:sz w:val="24"/>
                <w:szCs w:val="24"/>
                <w:lang w:eastAsia="en-GB"/>
              </w:rPr>
              <w:tab/>
            </w:r>
            <w:r w:rsidR="00B76A27" w:rsidRPr="00B2327D">
              <w:rPr>
                <w:rStyle w:val="Hyperlink"/>
                <w:noProof/>
              </w:rPr>
              <w:t>Analysis organisation</w:t>
            </w:r>
            <w:r w:rsidR="00B76A27">
              <w:rPr>
                <w:noProof/>
                <w:webHidden/>
              </w:rPr>
              <w:tab/>
            </w:r>
            <w:r w:rsidR="00B76A27">
              <w:rPr>
                <w:noProof/>
                <w:webHidden/>
              </w:rPr>
              <w:fldChar w:fldCharType="begin"/>
            </w:r>
            <w:r w:rsidR="00B76A27">
              <w:rPr>
                <w:noProof/>
                <w:webHidden/>
              </w:rPr>
              <w:instrText xml:space="preserve"> PAGEREF _Toc529967096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32476F61" w14:textId="18A5C573" w:rsidR="00B76A27" w:rsidRDefault="00DA3466" w:rsidP="00B76A27">
          <w:pPr>
            <w:pStyle w:val="TOC2"/>
            <w:tabs>
              <w:tab w:val="left" w:pos="960"/>
              <w:tab w:val="right" w:leader="dot" w:pos="9016"/>
            </w:tabs>
            <w:rPr>
              <w:noProof/>
              <w:sz w:val="24"/>
              <w:szCs w:val="24"/>
              <w:lang w:eastAsia="en-GB"/>
            </w:rPr>
          </w:pPr>
          <w:hyperlink w:anchor="_Toc529967097" w:history="1">
            <w:r w:rsidR="00B76A27" w:rsidRPr="00B2327D">
              <w:rPr>
                <w:rStyle w:val="Hyperlink"/>
                <w:noProof/>
              </w:rPr>
              <w:t>3.3.</w:t>
            </w:r>
            <w:r w:rsidR="00B76A27">
              <w:rPr>
                <w:noProof/>
                <w:sz w:val="24"/>
                <w:szCs w:val="24"/>
                <w:lang w:eastAsia="en-GB"/>
              </w:rPr>
              <w:tab/>
            </w:r>
            <w:r w:rsidR="00B76A27" w:rsidRPr="00B2327D">
              <w:rPr>
                <w:rStyle w:val="Hyperlink"/>
                <w:noProof/>
              </w:rPr>
              <w:t>Data checking</w:t>
            </w:r>
            <w:r w:rsidR="00B76A27">
              <w:rPr>
                <w:noProof/>
                <w:webHidden/>
              </w:rPr>
              <w:tab/>
            </w:r>
            <w:r w:rsidR="00B76A27">
              <w:rPr>
                <w:noProof/>
                <w:webHidden/>
              </w:rPr>
              <w:fldChar w:fldCharType="begin"/>
            </w:r>
            <w:r w:rsidR="00B76A27">
              <w:rPr>
                <w:noProof/>
                <w:webHidden/>
              </w:rPr>
              <w:instrText xml:space="preserve"> PAGEREF _Toc529967097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7988B4F3" w14:textId="2216C09A" w:rsidR="00B76A27" w:rsidRDefault="00DA3466" w:rsidP="00B76A27">
          <w:pPr>
            <w:pStyle w:val="TOC1"/>
            <w:rPr>
              <w:noProof/>
              <w:sz w:val="24"/>
              <w:szCs w:val="24"/>
              <w:lang w:eastAsia="en-GB"/>
            </w:rPr>
          </w:pPr>
          <w:hyperlink w:anchor="_Toc529967098" w:history="1">
            <w:r w:rsidR="00B76A27" w:rsidRPr="00B2327D">
              <w:rPr>
                <w:rStyle w:val="Hyperlink"/>
                <w:noProof/>
              </w:rPr>
              <w:t>4.</w:t>
            </w:r>
            <w:r w:rsidR="00B76A27">
              <w:rPr>
                <w:noProof/>
                <w:sz w:val="24"/>
                <w:szCs w:val="24"/>
                <w:lang w:eastAsia="en-GB"/>
              </w:rPr>
              <w:tab/>
            </w:r>
            <w:r w:rsidR="00B76A27" w:rsidRPr="00B2327D">
              <w:rPr>
                <w:rStyle w:val="Hyperlink"/>
                <w:noProof/>
              </w:rPr>
              <w:t>Data collection</w:t>
            </w:r>
            <w:r w:rsidR="00B76A27">
              <w:rPr>
                <w:noProof/>
                <w:webHidden/>
              </w:rPr>
              <w:tab/>
            </w:r>
            <w:r w:rsidR="00B76A27">
              <w:rPr>
                <w:noProof/>
                <w:webHidden/>
              </w:rPr>
              <w:fldChar w:fldCharType="begin"/>
            </w:r>
            <w:r w:rsidR="00B76A27">
              <w:rPr>
                <w:noProof/>
                <w:webHidden/>
              </w:rPr>
              <w:instrText xml:space="preserve"> PAGEREF _Toc529967098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0C92D0E1" w14:textId="17769E12" w:rsidR="00B76A27" w:rsidRDefault="00DA3466" w:rsidP="00B76A27">
          <w:pPr>
            <w:pStyle w:val="TOC2"/>
            <w:tabs>
              <w:tab w:val="left" w:pos="960"/>
              <w:tab w:val="right" w:leader="dot" w:pos="9016"/>
            </w:tabs>
            <w:rPr>
              <w:noProof/>
              <w:sz w:val="24"/>
              <w:szCs w:val="24"/>
              <w:lang w:eastAsia="en-GB"/>
            </w:rPr>
          </w:pPr>
          <w:hyperlink w:anchor="_Toc529967099" w:history="1">
            <w:r w:rsidR="00B76A27" w:rsidRPr="00B2327D">
              <w:rPr>
                <w:rStyle w:val="Hyperlink"/>
                <w:noProof/>
              </w:rPr>
              <w:t>4.1.</w:t>
            </w:r>
            <w:r w:rsidR="00B76A27">
              <w:rPr>
                <w:noProof/>
                <w:sz w:val="24"/>
                <w:szCs w:val="24"/>
                <w:lang w:eastAsia="en-GB"/>
              </w:rPr>
              <w:tab/>
            </w:r>
            <w:r w:rsidR="00B76A27" w:rsidRPr="00B2327D">
              <w:rPr>
                <w:rStyle w:val="Hyperlink"/>
                <w:noProof/>
              </w:rPr>
              <w:t>Primary outcome measures</w:t>
            </w:r>
            <w:r w:rsidR="00B76A27">
              <w:rPr>
                <w:noProof/>
                <w:webHidden/>
              </w:rPr>
              <w:tab/>
            </w:r>
            <w:r w:rsidR="00B76A27">
              <w:rPr>
                <w:noProof/>
                <w:webHidden/>
              </w:rPr>
              <w:fldChar w:fldCharType="begin"/>
            </w:r>
            <w:r w:rsidR="00B76A27">
              <w:rPr>
                <w:noProof/>
                <w:webHidden/>
              </w:rPr>
              <w:instrText xml:space="preserve"> PAGEREF _Toc529967099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7764124A" w14:textId="1C68C668" w:rsidR="00B76A27" w:rsidRDefault="00DA3466" w:rsidP="00B76A27">
          <w:pPr>
            <w:pStyle w:val="TOC2"/>
            <w:tabs>
              <w:tab w:val="left" w:pos="960"/>
              <w:tab w:val="right" w:leader="dot" w:pos="9016"/>
            </w:tabs>
            <w:rPr>
              <w:noProof/>
              <w:sz w:val="24"/>
              <w:szCs w:val="24"/>
              <w:lang w:eastAsia="en-GB"/>
            </w:rPr>
          </w:pPr>
          <w:hyperlink w:anchor="_Toc529967100" w:history="1">
            <w:r w:rsidR="00B76A27" w:rsidRPr="00B2327D">
              <w:rPr>
                <w:rStyle w:val="Hyperlink"/>
                <w:noProof/>
              </w:rPr>
              <w:t>4.2.</w:t>
            </w:r>
            <w:r w:rsidR="00B76A27">
              <w:rPr>
                <w:noProof/>
                <w:sz w:val="24"/>
                <w:szCs w:val="24"/>
                <w:lang w:eastAsia="en-GB"/>
              </w:rPr>
              <w:tab/>
            </w:r>
            <w:r w:rsidR="00B76A27" w:rsidRPr="00B2327D">
              <w:rPr>
                <w:rStyle w:val="Hyperlink"/>
                <w:noProof/>
              </w:rPr>
              <w:t>Secondary outcome measures</w:t>
            </w:r>
            <w:r w:rsidR="00B76A27">
              <w:rPr>
                <w:noProof/>
                <w:webHidden/>
              </w:rPr>
              <w:tab/>
            </w:r>
            <w:r w:rsidR="00B76A27">
              <w:rPr>
                <w:noProof/>
                <w:webHidden/>
              </w:rPr>
              <w:fldChar w:fldCharType="begin"/>
            </w:r>
            <w:r w:rsidR="00B76A27">
              <w:rPr>
                <w:noProof/>
                <w:webHidden/>
              </w:rPr>
              <w:instrText xml:space="preserve"> PAGEREF _Toc529967100 \h </w:instrText>
            </w:r>
            <w:r w:rsidR="00B76A27">
              <w:rPr>
                <w:noProof/>
                <w:webHidden/>
              </w:rPr>
            </w:r>
            <w:r w:rsidR="00B76A27">
              <w:rPr>
                <w:noProof/>
                <w:webHidden/>
              </w:rPr>
              <w:fldChar w:fldCharType="separate"/>
            </w:r>
            <w:r w:rsidR="00125799">
              <w:rPr>
                <w:noProof/>
                <w:webHidden/>
              </w:rPr>
              <w:t>5</w:t>
            </w:r>
            <w:r w:rsidR="00B76A27">
              <w:rPr>
                <w:noProof/>
                <w:webHidden/>
              </w:rPr>
              <w:fldChar w:fldCharType="end"/>
            </w:r>
          </w:hyperlink>
        </w:p>
        <w:p w14:paraId="551E96D2" w14:textId="0E4D9AFB" w:rsidR="00B76A27" w:rsidRDefault="00DA3466" w:rsidP="00B76A27">
          <w:pPr>
            <w:pStyle w:val="TOC1"/>
            <w:rPr>
              <w:noProof/>
              <w:sz w:val="24"/>
              <w:szCs w:val="24"/>
              <w:lang w:eastAsia="en-GB"/>
            </w:rPr>
          </w:pPr>
          <w:hyperlink w:anchor="_Toc529967101" w:history="1">
            <w:r w:rsidR="00B76A27" w:rsidRPr="00B2327D">
              <w:rPr>
                <w:rStyle w:val="Hyperlink"/>
                <w:noProof/>
              </w:rPr>
              <w:t>5.</w:t>
            </w:r>
            <w:r w:rsidR="00B76A27">
              <w:rPr>
                <w:noProof/>
                <w:sz w:val="24"/>
                <w:szCs w:val="24"/>
                <w:lang w:eastAsia="en-GB"/>
              </w:rPr>
              <w:tab/>
            </w:r>
            <w:r w:rsidR="00B76A27" w:rsidRPr="00B2327D">
              <w:rPr>
                <w:rStyle w:val="Hyperlink"/>
                <w:noProof/>
              </w:rPr>
              <w:t>Data analysis plan</w:t>
            </w:r>
            <w:r w:rsidR="00B76A27">
              <w:rPr>
                <w:noProof/>
                <w:webHidden/>
              </w:rPr>
              <w:tab/>
            </w:r>
            <w:r w:rsidR="00B76A27">
              <w:rPr>
                <w:noProof/>
                <w:webHidden/>
              </w:rPr>
              <w:fldChar w:fldCharType="begin"/>
            </w:r>
            <w:r w:rsidR="00B76A27">
              <w:rPr>
                <w:noProof/>
                <w:webHidden/>
              </w:rPr>
              <w:instrText xml:space="preserve"> PAGEREF _Toc529967101 \h </w:instrText>
            </w:r>
            <w:r w:rsidR="00B76A27">
              <w:rPr>
                <w:noProof/>
                <w:webHidden/>
              </w:rPr>
            </w:r>
            <w:r w:rsidR="00B76A27">
              <w:rPr>
                <w:noProof/>
                <w:webHidden/>
              </w:rPr>
              <w:fldChar w:fldCharType="separate"/>
            </w:r>
            <w:r w:rsidR="00125799">
              <w:rPr>
                <w:noProof/>
                <w:webHidden/>
              </w:rPr>
              <w:t>6</w:t>
            </w:r>
            <w:r w:rsidR="00B76A27">
              <w:rPr>
                <w:noProof/>
                <w:webHidden/>
              </w:rPr>
              <w:fldChar w:fldCharType="end"/>
            </w:r>
          </w:hyperlink>
        </w:p>
        <w:p w14:paraId="118CCC89" w14:textId="6248C3E8" w:rsidR="00B76A27" w:rsidRDefault="00DA3466" w:rsidP="00B76A27">
          <w:pPr>
            <w:pStyle w:val="TOC2"/>
            <w:tabs>
              <w:tab w:val="left" w:pos="960"/>
              <w:tab w:val="right" w:leader="dot" w:pos="9016"/>
            </w:tabs>
            <w:rPr>
              <w:noProof/>
              <w:sz w:val="24"/>
              <w:szCs w:val="24"/>
              <w:lang w:eastAsia="en-GB"/>
            </w:rPr>
          </w:pPr>
          <w:hyperlink w:anchor="_Toc529967102" w:history="1">
            <w:r w:rsidR="00B76A27" w:rsidRPr="00B2327D">
              <w:rPr>
                <w:rStyle w:val="Hyperlink"/>
                <w:noProof/>
              </w:rPr>
              <w:t>5.1.</w:t>
            </w:r>
            <w:r w:rsidR="00B76A27">
              <w:rPr>
                <w:noProof/>
                <w:sz w:val="24"/>
                <w:szCs w:val="24"/>
                <w:lang w:eastAsia="en-GB"/>
              </w:rPr>
              <w:tab/>
            </w:r>
            <w:r w:rsidR="00B76A27" w:rsidRPr="00B2327D">
              <w:rPr>
                <w:rStyle w:val="Hyperlink"/>
                <w:noProof/>
              </w:rPr>
              <w:t>Descriptive analysis</w:t>
            </w:r>
            <w:r w:rsidR="00B76A27">
              <w:rPr>
                <w:noProof/>
                <w:webHidden/>
              </w:rPr>
              <w:tab/>
            </w:r>
            <w:r w:rsidR="00B76A27">
              <w:rPr>
                <w:noProof/>
                <w:webHidden/>
              </w:rPr>
              <w:fldChar w:fldCharType="begin"/>
            </w:r>
            <w:r w:rsidR="00B76A27">
              <w:rPr>
                <w:noProof/>
                <w:webHidden/>
              </w:rPr>
              <w:instrText xml:space="preserve"> PAGEREF _Toc529967102 \h </w:instrText>
            </w:r>
            <w:r w:rsidR="00B76A27">
              <w:rPr>
                <w:noProof/>
                <w:webHidden/>
              </w:rPr>
            </w:r>
            <w:r w:rsidR="00B76A27">
              <w:rPr>
                <w:noProof/>
                <w:webHidden/>
              </w:rPr>
              <w:fldChar w:fldCharType="separate"/>
            </w:r>
            <w:r w:rsidR="00125799">
              <w:rPr>
                <w:noProof/>
                <w:webHidden/>
              </w:rPr>
              <w:t>6</w:t>
            </w:r>
            <w:r w:rsidR="00B76A27">
              <w:rPr>
                <w:noProof/>
                <w:webHidden/>
              </w:rPr>
              <w:fldChar w:fldCharType="end"/>
            </w:r>
          </w:hyperlink>
        </w:p>
        <w:p w14:paraId="618F59DE" w14:textId="6F625B7B" w:rsidR="00B76A27" w:rsidRDefault="00DA3466" w:rsidP="00B76A27">
          <w:pPr>
            <w:pStyle w:val="TOC2"/>
            <w:tabs>
              <w:tab w:val="left" w:pos="960"/>
              <w:tab w:val="right" w:leader="dot" w:pos="9016"/>
            </w:tabs>
            <w:rPr>
              <w:noProof/>
              <w:sz w:val="24"/>
              <w:szCs w:val="24"/>
              <w:lang w:eastAsia="en-GB"/>
            </w:rPr>
          </w:pPr>
          <w:hyperlink w:anchor="_Toc529967103" w:history="1">
            <w:r w:rsidR="00B76A27" w:rsidRPr="00B2327D">
              <w:rPr>
                <w:rStyle w:val="Hyperlink"/>
                <w:noProof/>
              </w:rPr>
              <w:t>5.2.</w:t>
            </w:r>
            <w:r w:rsidR="00B76A27">
              <w:rPr>
                <w:noProof/>
                <w:sz w:val="24"/>
                <w:szCs w:val="24"/>
                <w:lang w:eastAsia="en-GB"/>
              </w:rPr>
              <w:tab/>
            </w:r>
            <w:r w:rsidR="00B76A27" w:rsidRPr="00B2327D">
              <w:rPr>
                <w:rStyle w:val="Hyperlink"/>
                <w:noProof/>
              </w:rPr>
              <w:t>Primary analysis</w:t>
            </w:r>
            <w:r w:rsidR="00B76A27">
              <w:rPr>
                <w:noProof/>
                <w:webHidden/>
              </w:rPr>
              <w:tab/>
            </w:r>
            <w:r w:rsidR="00B76A27">
              <w:rPr>
                <w:noProof/>
                <w:webHidden/>
              </w:rPr>
              <w:fldChar w:fldCharType="begin"/>
            </w:r>
            <w:r w:rsidR="00B76A27">
              <w:rPr>
                <w:noProof/>
                <w:webHidden/>
              </w:rPr>
              <w:instrText xml:space="preserve"> PAGEREF _Toc529967103 \h </w:instrText>
            </w:r>
            <w:r w:rsidR="00B76A27">
              <w:rPr>
                <w:noProof/>
                <w:webHidden/>
              </w:rPr>
            </w:r>
            <w:r w:rsidR="00B76A27">
              <w:rPr>
                <w:noProof/>
                <w:webHidden/>
              </w:rPr>
              <w:fldChar w:fldCharType="separate"/>
            </w:r>
            <w:r w:rsidR="00125799">
              <w:rPr>
                <w:noProof/>
                <w:webHidden/>
              </w:rPr>
              <w:t>6</w:t>
            </w:r>
            <w:r w:rsidR="00B76A27">
              <w:rPr>
                <w:noProof/>
                <w:webHidden/>
              </w:rPr>
              <w:fldChar w:fldCharType="end"/>
            </w:r>
          </w:hyperlink>
        </w:p>
        <w:p w14:paraId="53777908" w14:textId="12A1A9E4" w:rsidR="00B76A27" w:rsidRDefault="00DA3466" w:rsidP="00B76A27">
          <w:pPr>
            <w:pStyle w:val="TOC2"/>
            <w:tabs>
              <w:tab w:val="left" w:pos="960"/>
              <w:tab w:val="right" w:leader="dot" w:pos="9016"/>
            </w:tabs>
            <w:rPr>
              <w:noProof/>
              <w:sz w:val="24"/>
              <w:szCs w:val="24"/>
              <w:lang w:eastAsia="en-GB"/>
            </w:rPr>
          </w:pPr>
          <w:hyperlink w:anchor="_Toc529967104" w:history="1">
            <w:r w:rsidR="00B76A27" w:rsidRPr="00B2327D">
              <w:rPr>
                <w:rStyle w:val="Hyperlink"/>
                <w:noProof/>
              </w:rPr>
              <w:t>5.3.</w:t>
            </w:r>
            <w:r w:rsidR="00B76A27">
              <w:rPr>
                <w:noProof/>
                <w:sz w:val="24"/>
                <w:szCs w:val="24"/>
                <w:lang w:eastAsia="en-GB"/>
              </w:rPr>
              <w:tab/>
            </w:r>
            <w:r w:rsidR="00B76A27" w:rsidRPr="00B2327D">
              <w:rPr>
                <w:rStyle w:val="Hyperlink"/>
                <w:noProof/>
              </w:rPr>
              <w:t>Secondary analysis</w:t>
            </w:r>
            <w:r w:rsidR="00B76A27">
              <w:rPr>
                <w:noProof/>
                <w:webHidden/>
              </w:rPr>
              <w:tab/>
            </w:r>
            <w:r w:rsidR="00B76A27">
              <w:rPr>
                <w:noProof/>
                <w:webHidden/>
              </w:rPr>
              <w:fldChar w:fldCharType="begin"/>
            </w:r>
            <w:r w:rsidR="00B76A27">
              <w:rPr>
                <w:noProof/>
                <w:webHidden/>
              </w:rPr>
              <w:instrText xml:space="preserve"> PAGEREF _Toc529967104 \h </w:instrText>
            </w:r>
            <w:r w:rsidR="00B76A27">
              <w:rPr>
                <w:noProof/>
                <w:webHidden/>
              </w:rPr>
            </w:r>
            <w:r w:rsidR="00B76A27">
              <w:rPr>
                <w:noProof/>
                <w:webHidden/>
              </w:rPr>
              <w:fldChar w:fldCharType="separate"/>
            </w:r>
            <w:r w:rsidR="00125799">
              <w:rPr>
                <w:noProof/>
                <w:webHidden/>
              </w:rPr>
              <w:t>7</w:t>
            </w:r>
            <w:r w:rsidR="00B76A27">
              <w:rPr>
                <w:noProof/>
                <w:webHidden/>
              </w:rPr>
              <w:fldChar w:fldCharType="end"/>
            </w:r>
          </w:hyperlink>
        </w:p>
        <w:p w14:paraId="296B0A83" w14:textId="05551004" w:rsidR="00B76A27" w:rsidRDefault="00DA3466" w:rsidP="00B76A27">
          <w:pPr>
            <w:pStyle w:val="TOC2"/>
            <w:tabs>
              <w:tab w:val="left" w:pos="960"/>
              <w:tab w:val="right" w:leader="dot" w:pos="9016"/>
            </w:tabs>
            <w:rPr>
              <w:noProof/>
              <w:sz w:val="24"/>
              <w:szCs w:val="24"/>
              <w:lang w:eastAsia="en-GB"/>
            </w:rPr>
          </w:pPr>
          <w:hyperlink w:anchor="_Toc529967105" w:history="1">
            <w:r w:rsidR="00B76A27" w:rsidRPr="00B2327D">
              <w:rPr>
                <w:rStyle w:val="Hyperlink"/>
                <w:noProof/>
              </w:rPr>
              <w:t>5.4.</w:t>
            </w:r>
            <w:r w:rsidR="00B76A27">
              <w:rPr>
                <w:noProof/>
                <w:sz w:val="24"/>
                <w:szCs w:val="24"/>
                <w:lang w:eastAsia="en-GB"/>
              </w:rPr>
              <w:tab/>
            </w:r>
            <w:r w:rsidR="00B76A27" w:rsidRPr="00B2327D">
              <w:rPr>
                <w:rStyle w:val="Hyperlink"/>
                <w:noProof/>
              </w:rPr>
              <w:t>Sensitivity and other planned analyses</w:t>
            </w:r>
            <w:r w:rsidR="00B76A27">
              <w:rPr>
                <w:noProof/>
                <w:webHidden/>
              </w:rPr>
              <w:tab/>
            </w:r>
            <w:r w:rsidR="00B76A27">
              <w:rPr>
                <w:noProof/>
                <w:webHidden/>
              </w:rPr>
              <w:fldChar w:fldCharType="begin"/>
            </w:r>
            <w:r w:rsidR="00B76A27">
              <w:rPr>
                <w:noProof/>
                <w:webHidden/>
              </w:rPr>
              <w:instrText xml:space="preserve"> PAGEREF _Toc529967105 \h </w:instrText>
            </w:r>
            <w:r w:rsidR="00B76A27">
              <w:rPr>
                <w:noProof/>
                <w:webHidden/>
              </w:rPr>
            </w:r>
            <w:r w:rsidR="00B76A27">
              <w:rPr>
                <w:noProof/>
                <w:webHidden/>
              </w:rPr>
              <w:fldChar w:fldCharType="separate"/>
            </w:r>
            <w:r w:rsidR="00125799">
              <w:rPr>
                <w:noProof/>
                <w:webHidden/>
              </w:rPr>
              <w:t>8</w:t>
            </w:r>
            <w:r w:rsidR="00B76A27">
              <w:rPr>
                <w:noProof/>
                <w:webHidden/>
              </w:rPr>
              <w:fldChar w:fldCharType="end"/>
            </w:r>
          </w:hyperlink>
        </w:p>
        <w:p w14:paraId="0A7F1EEE" w14:textId="5487CC66" w:rsidR="00B76A27" w:rsidRDefault="00DA3466" w:rsidP="00B76A27">
          <w:pPr>
            <w:pStyle w:val="TOC1"/>
            <w:rPr>
              <w:noProof/>
              <w:sz w:val="24"/>
              <w:szCs w:val="24"/>
              <w:lang w:eastAsia="en-GB"/>
            </w:rPr>
          </w:pPr>
          <w:hyperlink w:anchor="_Toc529967106" w:history="1">
            <w:r w:rsidR="00B76A27" w:rsidRPr="00B2327D">
              <w:rPr>
                <w:rStyle w:val="Hyperlink"/>
                <w:noProof/>
              </w:rPr>
              <w:t>6.</w:t>
            </w:r>
            <w:r w:rsidR="00B76A27">
              <w:rPr>
                <w:noProof/>
                <w:sz w:val="24"/>
                <w:szCs w:val="24"/>
                <w:lang w:eastAsia="en-GB"/>
              </w:rPr>
              <w:tab/>
            </w:r>
            <w:r w:rsidR="00B76A27" w:rsidRPr="00B2327D">
              <w:rPr>
                <w:rStyle w:val="Hyperlink"/>
                <w:noProof/>
              </w:rPr>
              <w:t>Software</w:t>
            </w:r>
            <w:r w:rsidR="00B76A27">
              <w:rPr>
                <w:noProof/>
                <w:webHidden/>
              </w:rPr>
              <w:tab/>
            </w:r>
            <w:r w:rsidR="00B76A27">
              <w:rPr>
                <w:noProof/>
                <w:webHidden/>
              </w:rPr>
              <w:fldChar w:fldCharType="begin"/>
            </w:r>
            <w:r w:rsidR="00B76A27">
              <w:rPr>
                <w:noProof/>
                <w:webHidden/>
              </w:rPr>
              <w:instrText xml:space="preserve"> PAGEREF _Toc529967106 \h </w:instrText>
            </w:r>
            <w:r w:rsidR="00B76A27">
              <w:rPr>
                <w:noProof/>
                <w:webHidden/>
              </w:rPr>
            </w:r>
            <w:r w:rsidR="00B76A27">
              <w:rPr>
                <w:noProof/>
                <w:webHidden/>
              </w:rPr>
              <w:fldChar w:fldCharType="separate"/>
            </w:r>
            <w:r w:rsidR="00125799">
              <w:rPr>
                <w:noProof/>
                <w:webHidden/>
              </w:rPr>
              <w:t>8</w:t>
            </w:r>
            <w:r w:rsidR="00B76A27">
              <w:rPr>
                <w:noProof/>
                <w:webHidden/>
              </w:rPr>
              <w:fldChar w:fldCharType="end"/>
            </w:r>
          </w:hyperlink>
        </w:p>
        <w:p w14:paraId="49D2540C" w14:textId="78BF658E" w:rsidR="00B76A27" w:rsidRDefault="00DA3466" w:rsidP="00B76A27">
          <w:pPr>
            <w:pStyle w:val="TOC1"/>
            <w:rPr>
              <w:noProof/>
              <w:sz w:val="24"/>
              <w:szCs w:val="24"/>
              <w:lang w:eastAsia="en-GB"/>
            </w:rPr>
          </w:pPr>
          <w:hyperlink w:anchor="_Toc529967107" w:history="1">
            <w:r w:rsidR="00B76A27" w:rsidRPr="00B2327D">
              <w:rPr>
                <w:rStyle w:val="Hyperlink"/>
                <w:noProof/>
              </w:rPr>
              <w:t>7.</w:t>
            </w:r>
            <w:r w:rsidR="00B76A27">
              <w:rPr>
                <w:noProof/>
                <w:sz w:val="24"/>
                <w:szCs w:val="24"/>
                <w:lang w:eastAsia="en-GB"/>
              </w:rPr>
              <w:tab/>
            </w:r>
            <w:r w:rsidR="00B76A27" w:rsidRPr="00B2327D">
              <w:rPr>
                <w:rStyle w:val="Hyperlink"/>
                <w:noProof/>
              </w:rPr>
              <w:t>References</w:t>
            </w:r>
            <w:r w:rsidR="00B76A27">
              <w:rPr>
                <w:noProof/>
                <w:webHidden/>
              </w:rPr>
              <w:tab/>
            </w:r>
            <w:r w:rsidR="00B76A27">
              <w:rPr>
                <w:noProof/>
                <w:webHidden/>
              </w:rPr>
              <w:fldChar w:fldCharType="begin"/>
            </w:r>
            <w:r w:rsidR="00B76A27">
              <w:rPr>
                <w:noProof/>
                <w:webHidden/>
              </w:rPr>
              <w:instrText xml:space="preserve"> PAGEREF _Toc529967107 \h </w:instrText>
            </w:r>
            <w:r w:rsidR="00B76A27">
              <w:rPr>
                <w:noProof/>
                <w:webHidden/>
              </w:rPr>
            </w:r>
            <w:r w:rsidR="00B76A27">
              <w:rPr>
                <w:noProof/>
                <w:webHidden/>
              </w:rPr>
              <w:fldChar w:fldCharType="separate"/>
            </w:r>
            <w:r w:rsidR="00125799">
              <w:rPr>
                <w:noProof/>
                <w:webHidden/>
              </w:rPr>
              <w:t>8</w:t>
            </w:r>
            <w:r w:rsidR="00B76A27">
              <w:rPr>
                <w:noProof/>
                <w:webHidden/>
              </w:rPr>
              <w:fldChar w:fldCharType="end"/>
            </w:r>
          </w:hyperlink>
        </w:p>
        <w:p w14:paraId="24EF240E" w14:textId="77777777" w:rsidR="00B76A27" w:rsidRPr="004111BE" w:rsidRDefault="00B76A27" w:rsidP="00B76A27">
          <w:pPr>
            <w:jc w:val="both"/>
            <w:rPr>
              <w:noProof/>
            </w:rPr>
          </w:pPr>
          <w:r w:rsidRPr="004111BE">
            <w:rPr>
              <w:b/>
              <w:bCs/>
              <w:noProof/>
            </w:rPr>
            <w:fldChar w:fldCharType="end"/>
          </w:r>
        </w:p>
      </w:sdtContent>
    </w:sdt>
    <w:p w14:paraId="054702CF" w14:textId="77777777" w:rsidR="00B76A27" w:rsidRPr="004111BE" w:rsidRDefault="00B76A27" w:rsidP="00B76A27">
      <w:pPr>
        <w:rPr>
          <w:noProof/>
        </w:rPr>
      </w:pPr>
      <w:r w:rsidRPr="004111BE">
        <w:rPr>
          <w:noProof/>
        </w:rPr>
        <w:br w:type="page"/>
      </w:r>
    </w:p>
    <w:p w14:paraId="10436AE3" w14:textId="77777777" w:rsidR="00B76A27" w:rsidRPr="004111BE" w:rsidRDefault="00B76A27" w:rsidP="00B76A27">
      <w:pPr>
        <w:pStyle w:val="Heading1"/>
        <w:numPr>
          <w:ilvl w:val="0"/>
          <w:numId w:val="1"/>
        </w:numPr>
        <w:jc w:val="both"/>
        <w:rPr>
          <w:sz w:val="22"/>
          <w:szCs w:val="22"/>
        </w:rPr>
      </w:pPr>
      <w:bookmarkStart w:id="0" w:name="_Toc529967092"/>
      <w:r w:rsidRPr="004111BE">
        <w:rPr>
          <w:sz w:val="22"/>
          <w:szCs w:val="22"/>
        </w:rPr>
        <w:lastRenderedPageBreak/>
        <w:t>Study Summary</w:t>
      </w:r>
      <w:bookmarkEnd w:id="0"/>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885"/>
      </w:tblGrid>
      <w:tr w:rsidR="00B76A27" w:rsidRPr="004111BE" w14:paraId="22AC0BE5" w14:textId="77777777" w:rsidTr="00F3652A">
        <w:tc>
          <w:tcPr>
            <w:tcW w:w="9072" w:type="dxa"/>
            <w:gridSpan w:val="2"/>
          </w:tcPr>
          <w:p w14:paraId="056835F9" w14:textId="77777777" w:rsidR="00B76A27" w:rsidRPr="004111BE" w:rsidRDefault="00B76A27" w:rsidP="00057C13">
            <w:pPr>
              <w:pStyle w:val="NoSpacing"/>
            </w:pPr>
            <w:r w:rsidRPr="004111BE">
              <w:t>For full details see the protocol (version 3.0 21.08.2017).</w:t>
            </w:r>
          </w:p>
          <w:p w14:paraId="09EB4B15" w14:textId="77777777" w:rsidR="00B76A27" w:rsidRPr="004111BE" w:rsidRDefault="00B76A27" w:rsidP="00057C13">
            <w:pPr>
              <w:pStyle w:val="NoSpacing"/>
            </w:pPr>
          </w:p>
        </w:tc>
      </w:tr>
      <w:tr w:rsidR="00B76A27" w:rsidRPr="004111BE" w14:paraId="0CFDB899" w14:textId="77777777" w:rsidTr="00F3652A">
        <w:tc>
          <w:tcPr>
            <w:tcW w:w="2187" w:type="dxa"/>
          </w:tcPr>
          <w:p w14:paraId="3D510A90" w14:textId="77777777" w:rsidR="00B76A27" w:rsidRPr="004111BE" w:rsidRDefault="00B76A27" w:rsidP="00057C13">
            <w:pPr>
              <w:pStyle w:val="NoSpacing"/>
              <w:rPr>
                <w:rFonts w:cs="Arial"/>
                <w:b/>
              </w:rPr>
            </w:pPr>
            <w:r w:rsidRPr="004111BE">
              <w:rPr>
                <w:b/>
              </w:rPr>
              <w:t>Title</w:t>
            </w:r>
          </w:p>
        </w:tc>
        <w:tc>
          <w:tcPr>
            <w:tcW w:w="6885" w:type="dxa"/>
          </w:tcPr>
          <w:p w14:paraId="690EFCE5" w14:textId="77777777" w:rsidR="00B76A27" w:rsidRPr="004111BE" w:rsidRDefault="00B76A27" w:rsidP="00057C13">
            <w:pPr>
              <w:pStyle w:val="NoSpacing"/>
              <w:rPr>
                <w:bCs/>
              </w:rPr>
            </w:pPr>
            <w:r w:rsidRPr="004111BE">
              <w:t>The Prognosis in Palliative care Study II (PiPS2): A multicentre prospective, observational, validation cohort study</w:t>
            </w:r>
          </w:p>
          <w:p w14:paraId="7F08BB13" w14:textId="77777777" w:rsidR="00B76A27" w:rsidRPr="004111BE" w:rsidRDefault="00B76A27" w:rsidP="00057C13">
            <w:pPr>
              <w:pStyle w:val="NoSpacing"/>
              <w:rPr>
                <w:b/>
              </w:rPr>
            </w:pPr>
          </w:p>
        </w:tc>
      </w:tr>
      <w:tr w:rsidR="00B76A27" w:rsidRPr="004111BE" w14:paraId="13DF241A" w14:textId="77777777" w:rsidTr="00F3652A">
        <w:tc>
          <w:tcPr>
            <w:tcW w:w="2187" w:type="dxa"/>
          </w:tcPr>
          <w:p w14:paraId="7C9F803F" w14:textId="77777777" w:rsidR="00B76A27" w:rsidRPr="004111BE" w:rsidRDefault="00B76A27" w:rsidP="00057C13">
            <w:pPr>
              <w:pStyle w:val="NoSpacing"/>
              <w:rPr>
                <w:rFonts w:cs="Arial"/>
                <w:b/>
              </w:rPr>
            </w:pPr>
            <w:r w:rsidRPr="004111BE">
              <w:rPr>
                <w:b/>
              </w:rPr>
              <w:t>Short title</w:t>
            </w:r>
          </w:p>
        </w:tc>
        <w:tc>
          <w:tcPr>
            <w:tcW w:w="6885" w:type="dxa"/>
          </w:tcPr>
          <w:p w14:paraId="0E07F9B6" w14:textId="77777777" w:rsidR="00B76A27" w:rsidRPr="004111BE" w:rsidRDefault="00B76A27" w:rsidP="00057C13">
            <w:pPr>
              <w:pStyle w:val="NoSpacing"/>
            </w:pPr>
            <w:r w:rsidRPr="004111BE">
              <w:t>The Prognosis in Palliative care Study II (PiPS2)</w:t>
            </w:r>
          </w:p>
          <w:p w14:paraId="6303624E" w14:textId="77777777" w:rsidR="00B76A27" w:rsidRPr="004111BE" w:rsidRDefault="00B76A27" w:rsidP="00057C13">
            <w:pPr>
              <w:pStyle w:val="NoSpacing"/>
              <w:rPr>
                <w:rFonts w:cs="Arial"/>
                <w:b/>
              </w:rPr>
            </w:pPr>
          </w:p>
        </w:tc>
      </w:tr>
      <w:tr w:rsidR="00B76A27" w:rsidRPr="004111BE" w14:paraId="6E8E1B11" w14:textId="77777777" w:rsidTr="00F3652A">
        <w:tc>
          <w:tcPr>
            <w:tcW w:w="2187" w:type="dxa"/>
          </w:tcPr>
          <w:p w14:paraId="7278C425" w14:textId="77777777" w:rsidR="00B76A27" w:rsidRPr="004111BE" w:rsidRDefault="00B76A27" w:rsidP="00057C13">
            <w:pPr>
              <w:pStyle w:val="NoSpacing"/>
              <w:rPr>
                <w:b/>
              </w:rPr>
            </w:pPr>
            <w:r w:rsidRPr="004111BE">
              <w:rPr>
                <w:b/>
              </w:rPr>
              <w:t>Chief Investigator</w:t>
            </w:r>
          </w:p>
          <w:p w14:paraId="1E09C351" w14:textId="77777777" w:rsidR="00B76A27" w:rsidRPr="004111BE" w:rsidRDefault="00B76A27" w:rsidP="00057C13">
            <w:pPr>
              <w:pStyle w:val="NoSpacing"/>
              <w:rPr>
                <w:b/>
              </w:rPr>
            </w:pPr>
          </w:p>
        </w:tc>
        <w:tc>
          <w:tcPr>
            <w:tcW w:w="6885" w:type="dxa"/>
          </w:tcPr>
          <w:p w14:paraId="7796C846" w14:textId="77777777" w:rsidR="00B76A27" w:rsidRPr="004111BE" w:rsidRDefault="00B76A27" w:rsidP="00057C13">
            <w:pPr>
              <w:pStyle w:val="NoSpacing"/>
              <w:rPr>
                <w:rFonts w:cs="Arial"/>
                <w:b/>
              </w:rPr>
            </w:pPr>
            <w:r w:rsidRPr="004111BE">
              <w:rPr>
                <w:rFonts w:cstheme="minorHAnsi"/>
              </w:rPr>
              <w:t>Patrick Stone</w:t>
            </w:r>
          </w:p>
        </w:tc>
      </w:tr>
      <w:tr w:rsidR="00B76A27" w:rsidRPr="004111BE" w14:paraId="6871DC78" w14:textId="77777777" w:rsidTr="00F3652A">
        <w:tc>
          <w:tcPr>
            <w:tcW w:w="2187" w:type="dxa"/>
          </w:tcPr>
          <w:p w14:paraId="5CB13BE8" w14:textId="77777777" w:rsidR="00B76A27" w:rsidRPr="004111BE" w:rsidRDefault="00B76A27" w:rsidP="00057C13">
            <w:pPr>
              <w:pStyle w:val="NoSpacing"/>
              <w:rPr>
                <w:b/>
              </w:rPr>
            </w:pPr>
            <w:r w:rsidRPr="004111BE">
              <w:rPr>
                <w:b/>
              </w:rPr>
              <w:t>Statisticians</w:t>
            </w:r>
          </w:p>
          <w:p w14:paraId="1654204E" w14:textId="77777777" w:rsidR="00B76A27" w:rsidRPr="004111BE" w:rsidRDefault="00B76A27" w:rsidP="00057C13">
            <w:pPr>
              <w:pStyle w:val="NoSpacing"/>
              <w:rPr>
                <w:b/>
              </w:rPr>
            </w:pPr>
          </w:p>
        </w:tc>
        <w:tc>
          <w:tcPr>
            <w:tcW w:w="6885" w:type="dxa"/>
          </w:tcPr>
          <w:p w14:paraId="34680ED4" w14:textId="77777777" w:rsidR="00B76A27" w:rsidRPr="004111BE" w:rsidRDefault="00B76A27" w:rsidP="00057C13">
            <w:pPr>
              <w:pStyle w:val="NoSpacing"/>
              <w:rPr>
                <w:rFonts w:cs="Arial"/>
              </w:rPr>
            </w:pPr>
            <w:r w:rsidRPr="004111BE">
              <w:rPr>
                <w:rFonts w:cs="Arial"/>
              </w:rPr>
              <w:t>Senior statistician: Prof Rumana Omar</w:t>
            </w:r>
          </w:p>
          <w:p w14:paraId="170DA13A" w14:textId="77777777" w:rsidR="00B76A27" w:rsidRPr="004111BE" w:rsidRDefault="00B76A27" w:rsidP="00057C13">
            <w:pPr>
              <w:pStyle w:val="NoSpacing"/>
              <w:rPr>
                <w:rFonts w:cs="Arial"/>
              </w:rPr>
            </w:pPr>
            <w:r w:rsidRPr="004111BE">
              <w:rPr>
                <w:rFonts w:cs="Arial"/>
              </w:rPr>
              <w:t>Study statistician: Ms</w:t>
            </w:r>
            <w:r w:rsidRPr="004111BE">
              <w:rPr>
                <w:rFonts w:cs="Arial"/>
                <w:b/>
              </w:rPr>
              <w:t xml:space="preserve"> </w:t>
            </w:r>
            <w:r w:rsidRPr="004111BE">
              <w:rPr>
                <w:rFonts w:cs="Arial"/>
              </w:rPr>
              <w:t>Victoria Vickerstaff</w:t>
            </w:r>
            <w:r w:rsidRPr="004111BE" w:rsidDel="00E126E8">
              <w:rPr>
                <w:rFonts w:cs="Arial"/>
              </w:rPr>
              <w:t xml:space="preserve"> </w:t>
            </w:r>
          </w:p>
          <w:p w14:paraId="00EEE91E" w14:textId="77777777" w:rsidR="00B76A27" w:rsidRPr="004111BE" w:rsidRDefault="00B76A27" w:rsidP="00057C13">
            <w:pPr>
              <w:pStyle w:val="NoSpacing"/>
              <w:rPr>
                <w:rFonts w:cs="Arial"/>
                <w:b/>
              </w:rPr>
            </w:pPr>
          </w:p>
        </w:tc>
      </w:tr>
      <w:tr w:rsidR="00B76A27" w:rsidRPr="004111BE" w14:paraId="79C1022D" w14:textId="77777777" w:rsidTr="00F3652A">
        <w:tc>
          <w:tcPr>
            <w:tcW w:w="2187" w:type="dxa"/>
          </w:tcPr>
          <w:p w14:paraId="7323C6C0" w14:textId="77777777" w:rsidR="00B76A27" w:rsidRPr="004111BE" w:rsidRDefault="00B76A27" w:rsidP="00057C13">
            <w:pPr>
              <w:pStyle w:val="NoSpacing"/>
              <w:rPr>
                <w:rFonts w:cs="Arial"/>
                <w:b/>
              </w:rPr>
            </w:pPr>
            <w:r w:rsidRPr="004111BE">
              <w:rPr>
                <w:rFonts w:cs="Arial"/>
                <w:b/>
              </w:rPr>
              <w:t>Phase of study</w:t>
            </w:r>
          </w:p>
          <w:p w14:paraId="3E8CB347" w14:textId="77777777" w:rsidR="00B76A27" w:rsidRPr="004111BE" w:rsidRDefault="00B76A27" w:rsidP="00057C13">
            <w:pPr>
              <w:pStyle w:val="NoSpacing"/>
              <w:rPr>
                <w:rFonts w:cs="Arial"/>
              </w:rPr>
            </w:pPr>
          </w:p>
        </w:tc>
        <w:tc>
          <w:tcPr>
            <w:tcW w:w="6885" w:type="dxa"/>
          </w:tcPr>
          <w:p w14:paraId="36C68AA1" w14:textId="77777777" w:rsidR="00B76A27" w:rsidRPr="004111BE" w:rsidRDefault="00B76A27" w:rsidP="00057C13">
            <w:pPr>
              <w:pStyle w:val="NoSpacing"/>
              <w:rPr>
                <w:rFonts w:cs="Arial"/>
              </w:rPr>
            </w:pPr>
            <w:r w:rsidRPr="004111BE">
              <w:t>Phase III prognostic validation study</w:t>
            </w:r>
            <w:r w:rsidRPr="004111BE">
              <w:rPr>
                <w:rFonts w:cs="Arial"/>
              </w:rPr>
              <w:t xml:space="preserve"> </w:t>
            </w:r>
          </w:p>
        </w:tc>
      </w:tr>
      <w:tr w:rsidR="00B76A27" w:rsidRPr="004111BE" w14:paraId="32E5E955" w14:textId="77777777" w:rsidTr="00F3652A">
        <w:tc>
          <w:tcPr>
            <w:tcW w:w="2187" w:type="dxa"/>
          </w:tcPr>
          <w:p w14:paraId="7C7D6152" w14:textId="77777777" w:rsidR="00B76A27" w:rsidRPr="004111BE" w:rsidRDefault="00B76A27" w:rsidP="00057C13">
            <w:pPr>
              <w:pStyle w:val="NoSpacing"/>
              <w:rPr>
                <w:b/>
              </w:rPr>
            </w:pPr>
            <w:r w:rsidRPr="004111BE">
              <w:rPr>
                <w:b/>
              </w:rPr>
              <w:t>Primary objective</w:t>
            </w:r>
          </w:p>
        </w:tc>
        <w:tc>
          <w:tcPr>
            <w:tcW w:w="6885" w:type="dxa"/>
          </w:tcPr>
          <w:p w14:paraId="710B730F" w14:textId="77777777" w:rsidR="00B76A27" w:rsidRPr="004111BE" w:rsidRDefault="00B76A27" w:rsidP="00057C13">
            <w:pPr>
              <w:pStyle w:val="NoSpacing"/>
              <w:rPr>
                <w:lang w:val="en-US"/>
              </w:rPr>
            </w:pPr>
            <w:r w:rsidRPr="004111BE">
              <w:rPr>
                <w:lang w:val="en-US"/>
              </w:rPr>
              <w:t>To validate PiPS-A&amp;B and to compare PIPS-B against clinicians’ predictions of survival</w:t>
            </w:r>
          </w:p>
          <w:p w14:paraId="5F49F26B" w14:textId="77777777" w:rsidR="00B76A27" w:rsidRPr="004111BE" w:rsidRDefault="00B76A27" w:rsidP="00057C13">
            <w:pPr>
              <w:pStyle w:val="NoSpacing"/>
              <w:rPr>
                <w:rFonts w:cs="Arial"/>
                <w:b/>
              </w:rPr>
            </w:pPr>
          </w:p>
        </w:tc>
      </w:tr>
      <w:tr w:rsidR="00B76A27" w:rsidRPr="004111BE" w14:paraId="20BBF7C2" w14:textId="77777777" w:rsidTr="00F3652A">
        <w:tc>
          <w:tcPr>
            <w:tcW w:w="2187" w:type="dxa"/>
          </w:tcPr>
          <w:p w14:paraId="39354263" w14:textId="77777777" w:rsidR="00B76A27" w:rsidRPr="004111BE" w:rsidRDefault="00B76A27" w:rsidP="00057C13">
            <w:pPr>
              <w:pStyle w:val="NoSpacing"/>
              <w:rPr>
                <w:b/>
              </w:rPr>
            </w:pPr>
            <w:r w:rsidRPr="004111BE">
              <w:rPr>
                <w:b/>
              </w:rPr>
              <w:t>Primary Outcome Measure</w:t>
            </w:r>
          </w:p>
          <w:p w14:paraId="4B40A801" w14:textId="77777777" w:rsidR="00B76A27" w:rsidRPr="004111BE" w:rsidRDefault="00B76A27" w:rsidP="00057C13">
            <w:pPr>
              <w:pStyle w:val="NoSpacing"/>
              <w:rPr>
                <w:b/>
              </w:rPr>
            </w:pPr>
          </w:p>
        </w:tc>
        <w:tc>
          <w:tcPr>
            <w:tcW w:w="6885" w:type="dxa"/>
          </w:tcPr>
          <w:p w14:paraId="0A7A189D" w14:textId="77777777" w:rsidR="00B76A27" w:rsidRPr="004111BE" w:rsidRDefault="00B76A27" w:rsidP="00057C13">
            <w:pPr>
              <w:pStyle w:val="NoSpacing"/>
              <w:rPr>
                <w:rFonts w:cs="Arial"/>
              </w:rPr>
            </w:pPr>
            <w:r w:rsidRPr="004111BE">
              <w:rPr>
                <w:rFonts w:cs="Arial"/>
              </w:rPr>
              <w:t xml:space="preserve">The primary outcomes will be the survival of the participants (measured from date of study entry) and the predictions of the PiPS-B prognostic model. </w:t>
            </w:r>
          </w:p>
          <w:p w14:paraId="090F083E" w14:textId="77777777" w:rsidR="00B76A27" w:rsidRPr="004111BE" w:rsidRDefault="00B76A27" w:rsidP="00057C13">
            <w:pPr>
              <w:pStyle w:val="NoSpacing"/>
              <w:rPr>
                <w:rFonts w:cs="Arial"/>
              </w:rPr>
            </w:pPr>
          </w:p>
        </w:tc>
      </w:tr>
      <w:tr w:rsidR="00B76A27" w:rsidRPr="004111BE" w14:paraId="562C7739" w14:textId="77777777" w:rsidTr="00F3652A">
        <w:tc>
          <w:tcPr>
            <w:tcW w:w="2187" w:type="dxa"/>
          </w:tcPr>
          <w:p w14:paraId="661CA105" w14:textId="77777777" w:rsidR="00B76A27" w:rsidRPr="004111BE" w:rsidRDefault="00B76A27" w:rsidP="00057C13">
            <w:pPr>
              <w:pStyle w:val="NoSpacing"/>
              <w:rPr>
                <w:rFonts w:cs="Arial"/>
                <w:b/>
              </w:rPr>
            </w:pPr>
            <w:r w:rsidRPr="004111BE">
              <w:rPr>
                <w:rFonts w:cs="Arial"/>
                <w:b/>
              </w:rPr>
              <w:t>Population</w:t>
            </w:r>
          </w:p>
        </w:tc>
        <w:tc>
          <w:tcPr>
            <w:tcW w:w="6885" w:type="dxa"/>
          </w:tcPr>
          <w:p w14:paraId="735A2AF5" w14:textId="77777777" w:rsidR="00B76A27" w:rsidRPr="004111BE" w:rsidRDefault="00B76A27" w:rsidP="00057C13">
            <w:pPr>
              <w:pStyle w:val="NoSpacing"/>
            </w:pPr>
            <w:r w:rsidRPr="004111BE">
              <w:t>Patients with locally advanced or metastatic, incurable cancer recently referred to the participating palliative care service. Patients with or without capacity are included in the study.</w:t>
            </w:r>
          </w:p>
          <w:p w14:paraId="652EF9A7" w14:textId="77777777" w:rsidR="00B76A27" w:rsidRPr="004111BE" w:rsidRDefault="00B76A27" w:rsidP="00057C13">
            <w:pPr>
              <w:pStyle w:val="NoSpacing"/>
              <w:rPr>
                <w:rFonts w:cs="Arial"/>
              </w:rPr>
            </w:pPr>
          </w:p>
        </w:tc>
      </w:tr>
      <w:tr w:rsidR="00B76A27" w:rsidRPr="004111BE" w14:paraId="18E816E2" w14:textId="77777777" w:rsidTr="00F3652A">
        <w:tc>
          <w:tcPr>
            <w:tcW w:w="2187" w:type="dxa"/>
          </w:tcPr>
          <w:p w14:paraId="02E6B3B5" w14:textId="77777777" w:rsidR="00B76A27" w:rsidRPr="004111BE" w:rsidRDefault="00B76A27" w:rsidP="00057C13">
            <w:pPr>
              <w:pStyle w:val="NoSpacing"/>
              <w:rPr>
                <w:b/>
              </w:rPr>
            </w:pPr>
            <w:r w:rsidRPr="004111BE">
              <w:rPr>
                <w:b/>
              </w:rPr>
              <w:t xml:space="preserve">Sample size </w:t>
            </w:r>
          </w:p>
        </w:tc>
        <w:tc>
          <w:tcPr>
            <w:tcW w:w="6885" w:type="dxa"/>
          </w:tcPr>
          <w:p w14:paraId="6788CCBE" w14:textId="77777777" w:rsidR="00B76A27" w:rsidRPr="004111BE" w:rsidRDefault="00B76A27" w:rsidP="00057C13">
            <w:pPr>
              <w:pStyle w:val="NoSpacing"/>
            </w:pPr>
            <w:r w:rsidRPr="004111BE">
              <w:t xml:space="preserve">To show at least a 5% improvement in correct predictions (in terms of overall agreement with observed patient survival giving an odds ratio of 1.28) when using the model compared to clinicians’ predictions, assuming 80% power and 5% significance level and using a McNemar’s test, a total of 1,267 patients will be required.  We will recruit patients until we have obtained 1,267 participants with blood results (the validation set for PiPS-B). </w:t>
            </w:r>
            <w:r w:rsidRPr="004111BE">
              <w:rPr>
                <w:rFonts w:cs="Arial"/>
              </w:rPr>
              <w:t>We estimate that in order to obtain 1,267 complete data sets we will need to recruit 1,334 patients with capacity (this assumes 5% missing data). In order to recruit 1,334 patients with capacity (without restricting our focus to those who are able to provide blood results or whom have blood results available) we will need to recruit 1,778 patients in total (this assumes 25% of total patients included in the study will lack capacity and will be unable to provide a blood test).</w:t>
            </w:r>
          </w:p>
          <w:p w14:paraId="06237264" w14:textId="77777777" w:rsidR="00B76A27" w:rsidRPr="004111BE" w:rsidRDefault="00B76A27" w:rsidP="00057C13">
            <w:pPr>
              <w:pStyle w:val="NoSpacing"/>
              <w:rPr>
                <w:rFonts w:cs="Arial"/>
              </w:rPr>
            </w:pPr>
          </w:p>
        </w:tc>
      </w:tr>
      <w:tr w:rsidR="00B76A27" w:rsidRPr="004111BE" w14:paraId="2F9EEF5E" w14:textId="77777777" w:rsidTr="00F3652A">
        <w:tc>
          <w:tcPr>
            <w:tcW w:w="2187" w:type="dxa"/>
          </w:tcPr>
          <w:p w14:paraId="1AC2AA8E" w14:textId="77777777" w:rsidR="00B76A27" w:rsidRPr="004111BE" w:rsidRDefault="00B76A27" w:rsidP="00057C13">
            <w:pPr>
              <w:pStyle w:val="NoSpacing"/>
              <w:rPr>
                <w:b/>
              </w:rPr>
            </w:pPr>
            <w:r w:rsidRPr="004111BE">
              <w:rPr>
                <w:b/>
              </w:rPr>
              <w:t>Clinical Trials Gov</w:t>
            </w:r>
          </w:p>
        </w:tc>
        <w:tc>
          <w:tcPr>
            <w:tcW w:w="6885" w:type="dxa"/>
          </w:tcPr>
          <w:p w14:paraId="3915C3E2" w14:textId="77777777" w:rsidR="00B76A27" w:rsidRPr="004111BE" w:rsidRDefault="00B76A27" w:rsidP="00057C13">
            <w:pPr>
              <w:pStyle w:val="NoSpacing"/>
            </w:pPr>
            <w:r w:rsidRPr="004111BE">
              <w:t>ISRCTN13688211</w:t>
            </w:r>
          </w:p>
          <w:p w14:paraId="130874B8" w14:textId="77777777" w:rsidR="00B76A27" w:rsidRPr="004111BE" w:rsidRDefault="00B76A27" w:rsidP="00057C13">
            <w:pPr>
              <w:pStyle w:val="NoSpacing"/>
            </w:pPr>
          </w:p>
          <w:p w14:paraId="4672727D" w14:textId="77777777" w:rsidR="00B76A27" w:rsidRPr="004111BE" w:rsidRDefault="00B76A27" w:rsidP="00057C13">
            <w:pPr>
              <w:pStyle w:val="NoSpacing"/>
              <w:rPr>
                <w:rFonts w:cs="Arial"/>
                <w:b/>
              </w:rPr>
            </w:pPr>
          </w:p>
        </w:tc>
      </w:tr>
      <w:tr w:rsidR="00B76A27" w:rsidRPr="004111BE" w14:paraId="223FCCF1" w14:textId="77777777" w:rsidTr="00F3652A">
        <w:tc>
          <w:tcPr>
            <w:tcW w:w="2187" w:type="dxa"/>
          </w:tcPr>
          <w:p w14:paraId="7F51A756" w14:textId="77777777" w:rsidR="00B76A27" w:rsidRPr="004111BE" w:rsidRDefault="00B76A27" w:rsidP="00057C13">
            <w:pPr>
              <w:pStyle w:val="NoSpacing"/>
              <w:rPr>
                <w:b/>
              </w:rPr>
            </w:pPr>
          </w:p>
        </w:tc>
        <w:tc>
          <w:tcPr>
            <w:tcW w:w="6885" w:type="dxa"/>
          </w:tcPr>
          <w:p w14:paraId="7A8D854D" w14:textId="77777777" w:rsidR="00B76A27" w:rsidRPr="004111BE" w:rsidRDefault="00B76A27" w:rsidP="00057C13">
            <w:pPr>
              <w:pStyle w:val="NoSpacing"/>
              <w:rPr>
                <w:rFonts w:cs="Arial"/>
                <w:b/>
              </w:rPr>
            </w:pPr>
          </w:p>
        </w:tc>
      </w:tr>
    </w:tbl>
    <w:p w14:paraId="04A5F7AC" w14:textId="77777777" w:rsidR="00B76A27" w:rsidRPr="004111BE" w:rsidRDefault="00B76A27" w:rsidP="00B76A27">
      <w:pPr>
        <w:ind w:firstLine="720"/>
        <w:jc w:val="both"/>
        <w:rPr>
          <w:rFonts w:cs="Arial"/>
          <w:b/>
        </w:rPr>
      </w:pPr>
    </w:p>
    <w:p w14:paraId="6E1B24D9" w14:textId="77777777" w:rsidR="00B76A27" w:rsidRPr="004111BE" w:rsidRDefault="00B76A27" w:rsidP="00B76A27">
      <w:pPr>
        <w:rPr>
          <w:rFonts w:cs="Arial"/>
          <w:b/>
        </w:rPr>
      </w:pPr>
      <w:r w:rsidRPr="004111BE">
        <w:rPr>
          <w:rFonts w:cs="Arial"/>
          <w:b/>
        </w:rPr>
        <w:br w:type="page"/>
      </w:r>
    </w:p>
    <w:p w14:paraId="22618ED9" w14:textId="77777777" w:rsidR="00B76A27" w:rsidRPr="004111BE" w:rsidRDefault="00B76A27" w:rsidP="00B76A27">
      <w:pPr>
        <w:pStyle w:val="Heading1"/>
        <w:numPr>
          <w:ilvl w:val="0"/>
          <w:numId w:val="1"/>
        </w:numPr>
        <w:jc w:val="both"/>
        <w:rPr>
          <w:sz w:val="22"/>
          <w:szCs w:val="22"/>
        </w:rPr>
      </w:pPr>
      <w:bookmarkStart w:id="1" w:name="_Toc529967093"/>
      <w:bookmarkStart w:id="2" w:name="_Toc393807690"/>
      <w:r w:rsidRPr="004111BE">
        <w:rPr>
          <w:sz w:val="22"/>
          <w:szCs w:val="22"/>
        </w:rPr>
        <w:lastRenderedPageBreak/>
        <w:t>Analysis Plan Summary</w:t>
      </w:r>
      <w:bookmarkEnd w:id="1"/>
      <w:r w:rsidRPr="004111BE">
        <w:rPr>
          <w:sz w:val="22"/>
          <w:szCs w:val="22"/>
        </w:rPr>
        <w:t xml:space="preserve"> </w:t>
      </w:r>
    </w:p>
    <w:p w14:paraId="13B1D19C" w14:textId="77777777" w:rsidR="00B76A27" w:rsidRPr="004111BE" w:rsidRDefault="00B76A27" w:rsidP="00B76A27">
      <w:pPr>
        <w:rPr>
          <w:b/>
        </w:rPr>
      </w:pPr>
      <w:r w:rsidRPr="004111BE">
        <w:rPr>
          <w:b/>
        </w:rPr>
        <w:t>Descriptive analysis</w:t>
      </w:r>
    </w:p>
    <w:p w14:paraId="27C2F8AF" w14:textId="77777777" w:rsidR="00B76A27" w:rsidRPr="004111BE" w:rsidRDefault="00B76A27" w:rsidP="00B76A27">
      <w:pPr>
        <w:autoSpaceDE w:val="0"/>
        <w:autoSpaceDN w:val="0"/>
        <w:adjustRightInd w:val="0"/>
      </w:pPr>
      <w:r w:rsidRPr="004111BE">
        <w:t>Predictors and the outcomes will be summarised using descriptive analysis. Categorical predictors will be reported as raw numbers and percentages. Continuous variables will be summarised using mean or median and standard deviation or interquartile (IQ) range as appropriate. The percentage of values missing for each predictor will also be presented. The survival times of patients will be summarised using median and IQ ranges, and Kaplan Meier graphs.</w:t>
      </w:r>
    </w:p>
    <w:p w14:paraId="7DCB0F16" w14:textId="77777777" w:rsidR="00B76A27" w:rsidRPr="004111BE" w:rsidRDefault="00B76A27" w:rsidP="00B76A27">
      <w:pPr>
        <w:rPr>
          <w:b/>
        </w:rPr>
      </w:pPr>
      <w:r w:rsidRPr="004111BE">
        <w:rPr>
          <w:b/>
        </w:rPr>
        <w:t>Validation of PiPS models</w:t>
      </w:r>
    </w:p>
    <w:p w14:paraId="720EC410" w14:textId="77777777" w:rsidR="00B76A27" w:rsidRPr="004111BE" w:rsidRDefault="00B76A27" w:rsidP="00B76A27">
      <w:pPr>
        <w:autoSpaceDE w:val="0"/>
        <w:autoSpaceDN w:val="0"/>
        <w:adjustRightInd w:val="0"/>
      </w:pPr>
      <w:r w:rsidRPr="004111BE">
        <w:t>The discriminatory ability of the models will be assessed using the C-statistic. Separate C-statistics will be calculated for the “two weeks” and the “two months” models. We will also assess model performance by plotting Kaplan-Meier survival curves for each of the three risk groups identified by the PiPs models (“days,” “weeks,” and “months+”). Model calibration will be assessed by comparing observed and predicted probabilities.</w:t>
      </w:r>
    </w:p>
    <w:p w14:paraId="3B848A6E" w14:textId="77777777" w:rsidR="00B76A27" w:rsidRPr="004111BE" w:rsidRDefault="00B76A27" w:rsidP="00B76A27">
      <w:pPr>
        <w:rPr>
          <w:b/>
        </w:rPr>
      </w:pPr>
      <w:r w:rsidRPr="004111BE">
        <w:rPr>
          <w:b/>
        </w:rPr>
        <w:t>Comparison between PiPS model and clinician predictions</w:t>
      </w:r>
    </w:p>
    <w:p w14:paraId="66BF7819" w14:textId="77777777" w:rsidR="00B76A27" w:rsidRPr="004111BE" w:rsidRDefault="00B76A27" w:rsidP="00B76A27">
      <w:pPr>
        <w:rPr>
          <w:rFonts w:cs="Arial"/>
        </w:rPr>
      </w:pPr>
      <w:r w:rsidRPr="004111BE">
        <w:t>To compare the accuracy of the model and clinicians’ predictions, the primary analysis will focus on the PiPS-B model. McNemar’s test will be used to compare the proportion of overall patient deaths predicted correctly by PIPS-B with the corresponding proportion predicted correctly by clinicians.</w:t>
      </w:r>
    </w:p>
    <w:p w14:paraId="5A6F44A0" w14:textId="77777777" w:rsidR="00B76A27" w:rsidRPr="004111BE" w:rsidRDefault="00B76A27" w:rsidP="00B76A27">
      <w:r w:rsidRPr="004111BE">
        <w:br w:type="page"/>
      </w:r>
    </w:p>
    <w:p w14:paraId="79A89D64" w14:textId="77777777" w:rsidR="00B76A27" w:rsidRPr="004111BE" w:rsidRDefault="00B76A27" w:rsidP="00B76A27">
      <w:pPr>
        <w:pStyle w:val="Heading1"/>
        <w:numPr>
          <w:ilvl w:val="0"/>
          <w:numId w:val="1"/>
        </w:numPr>
        <w:jc w:val="both"/>
        <w:rPr>
          <w:sz w:val="22"/>
          <w:szCs w:val="22"/>
        </w:rPr>
      </w:pPr>
      <w:bookmarkStart w:id="3" w:name="_Toc529967094"/>
      <w:r w:rsidRPr="004111BE">
        <w:rPr>
          <w:sz w:val="22"/>
          <w:szCs w:val="22"/>
        </w:rPr>
        <w:lastRenderedPageBreak/>
        <w:t>Introduction</w:t>
      </w:r>
      <w:bookmarkEnd w:id="3"/>
    </w:p>
    <w:p w14:paraId="54AAFB6A"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r w:rsidRPr="004111BE">
        <w:rPr>
          <w:rFonts w:asciiTheme="minorHAnsi" w:hAnsiTheme="minorHAnsi"/>
          <w:sz w:val="22"/>
          <w:szCs w:val="22"/>
        </w:rPr>
        <w:t xml:space="preserve"> </w:t>
      </w:r>
      <w:bookmarkStart w:id="4" w:name="_Toc529967095"/>
      <w:r w:rsidRPr="004111BE">
        <w:rPr>
          <w:rFonts w:asciiTheme="minorHAnsi" w:hAnsiTheme="minorHAnsi"/>
          <w:sz w:val="22"/>
          <w:szCs w:val="22"/>
        </w:rPr>
        <w:t>Purpose and scope of the statistical analysis plan</w:t>
      </w:r>
      <w:bookmarkEnd w:id="4"/>
      <w:r w:rsidRPr="004111BE">
        <w:rPr>
          <w:rFonts w:asciiTheme="minorHAnsi" w:hAnsiTheme="minorHAnsi"/>
          <w:sz w:val="22"/>
          <w:szCs w:val="22"/>
        </w:rPr>
        <w:t xml:space="preserve"> </w:t>
      </w:r>
    </w:p>
    <w:p w14:paraId="3E7BF58A" w14:textId="77777777" w:rsidR="00B76A27" w:rsidRPr="004111BE" w:rsidRDefault="00B76A27" w:rsidP="00B76A27">
      <w:pPr>
        <w:jc w:val="both"/>
      </w:pPr>
      <w:r w:rsidRPr="004111BE">
        <w:t>This document describes the main statistical analyses to be applied to the data from PIPSII study. This Statistical Analysis Plan was written by Victoria Vickerstaff and Rumana Omar.  The plan was agreed by the Study Management Group.</w:t>
      </w:r>
    </w:p>
    <w:p w14:paraId="3487756B"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5" w:name="_Toc529967096"/>
      <w:r w:rsidRPr="004111BE">
        <w:rPr>
          <w:rFonts w:asciiTheme="minorHAnsi" w:hAnsiTheme="minorHAnsi"/>
          <w:sz w:val="22"/>
          <w:szCs w:val="22"/>
        </w:rPr>
        <w:t>Analysis organisation</w:t>
      </w:r>
      <w:bookmarkEnd w:id="5"/>
    </w:p>
    <w:p w14:paraId="4BB04BE2" w14:textId="77777777" w:rsidR="00B76A27" w:rsidRPr="004111BE" w:rsidRDefault="00B76A27" w:rsidP="00B76A27">
      <w:pPr>
        <w:jc w:val="both"/>
      </w:pPr>
      <w:r w:rsidRPr="004111BE">
        <w:t xml:space="preserve">The final analysis will be performed after the dates of death have been obtained from </w:t>
      </w:r>
      <w:r>
        <w:t xml:space="preserve">NHS Digital </w:t>
      </w:r>
      <w:r w:rsidRPr="004111BE">
        <w:t>three months after completion of the study. Prior to the final analysis, all relevant data will have been entered, checked and locked, the analysis plan will have been finalised and approved, and the analysis programs prepared as much as possible. The primary analysis will be performed independently by two statisticians (VV and RO) to ensure its accuracy.</w:t>
      </w:r>
    </w:p>
    <w:p w14:paraId="455BF7EA"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6" w:name="_Toc529967097"/>
      <w:r w:rsidRPr="004111BE">
        <w:rPr>
          <w:rFonts w:asciiTheme="minorHAnsi" w:hAnsiTheme="minorHAnsi"/>
          <w:sz w:val="22"/>
          <w:szCs w:val="22"/>
        </w:rPr>
        <w:t>Data checking</w:t>
      </w:r>
      <w:bookmarkEnd w:id="6"/>
    </w:p>
    <w:p w14:paraId="7442AB8A" w14:textId="77777777" w:rsidR="00B76A27" w:rsidRPr="004111BE" w:rsidRDefault="00B76A27" w:rsidP="00B76A27">
      <w:pPr>
        <w:jc w:val="both"/>
      </w:pPr>
      <w:r w:rsidRPr="004111BE">
        <w:t>Before analysis, basic checks will be performed to confirm the quality of the data.  Incomplete or inconsistent data include:</w:t>
      </w:r>
    </w:p>
    <w:p w14:paraId="3CBBBDAD" w14:textId="77777777" w:rsidR="00B76A27" w:rsidRPr="004111BE" w:rsidRDefault="00B76A27" w:rsidP="00B76A27">
      <w:pPr>
        <w:pStyle w:val="ListParagraph"/>
        <w:numPr>
          <w:ilvl w:val="0"/>
          <w:numId w:val="2"/>
        </w:numPr>
        <w:jc w:val="both"/>
      </w:pPr>
      <w:r w:rsidRPr="004111BE">
        <w:t>Missing data</w:t>
      </w:r>
    </w:p>
    <w:p w14:paraId="09686919" w14:textId="77777777" w:rsidR="00B76A27" w:rsidRPr="004111BE" w:rsidRDefault="00B76A27" w:rsidP="00B76A27">
      <w:pPr>
        <w:pStyle w:val="ListParagraph"/>
        <w:numPr>
          <w:ilvl w:val="0"/>
          <w:numId w:val="2"/>
        </w:numPr>
        <w:jc w:val="both"/>
      </w:pPr>
      <w:r w:rsidRPr="004111BE">
        <w:t>Data outside expected range</w:t>
      </w:r>
    </w:p>
    <w:p w14:paraId="05948FFE" w14:textId="77777777" w:rsidR="00B76A27" w:rsidRPr="004111BE" w:rsidRDefault="00B76A27" w:rsidP="00B76A27">
      <w:pPr>
        <w:pStyle w:val="ListParagraph"/>
        <w:numPr>
          <w:ilvl w:val="0"/>
          <w:numId w:val="2"/>
        </w:numPr>
        <w:jc w:val="both"/>
      </w:pPr>
      <w:r w:rsidRPr="004111BE">
        <w:t>Other inconsistencies between variables e.g., in the dates the questionnaires were completed</w:t>
      </w:r>
    </w:p>
    <w:p w14:paraId="2F64C7AF" w14:textId="77777777" w:rsidR="00B76A27" w:rsidRPr="004111BE" w:rsidRDefault="00B76A27" w:rsidP="00B76A27">
      <w:pPr>
        <w:jc w:val="both"/>
      </w:pPr>
      <w:r w:rsidRPr="004111BE">
        <w:t>If any inconsistencies are found, the corresponding values will be double checked with the researchers and corrected if necessary. All changes will be documented by the study statistician.</w:t>
      </w:r>
    </w:p>
    <w:p w14:paraId="484D5832" w14:textId="77777777" w:rsidR="00B76A27" w:rsidRPr="004111BE" w:rsidRDefault="00B76A27" w:rsidP="00B76A27">
      <w:pPr>
        <w:pStyle w:val="Heading1"/>
        <w:numPr>
          <w:ilvl w:val="0"/>
          <w:numId w:val="1"/>
        </w:numPr>
        <w:jc w:val="both"/>
        <w:rPr>
          <w:sz w:val="22"/>
          <w:szCs w:val="22"/>
        </w:rPr>
      </w:pPr>
      <w:bookmarkStart w:id="7" w:name="_Toc529967098"/>
      <w:r w:rsidRPr="004111BE">
        <w:rPr>
          <w:sz w:val="22"/>
          <w:szCs w:val="22"/>
        </w:rPr>
        <w:t>Data collection</w:t>
      </w:r>
      <w:bookmarkEnd w:id="7"/>
      <w:r w:rsidRPr="004111BE">
        <w:rPr>
          <w:sz w:val="22"/>
          <w:szCs w:val="22"/>
        </w:rPr>
        <w:t xml:space="preserve"> </w:t>
      </w:r>
    </w:p>
    <w:p w14:paraId="5A3D44EA"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8" w:name="_Toc529967099"/>
      <w:r w:rsidRPr="004111BE">
        <w:rPr>
          <w:rFonts w:asciiTheme="minorHAnsi" w:hAnsiTheme="minorHAnsi"/>
          <w:sz w:val="22"/>
          <w:szCs w:val="22"/>
        </w:rPr>
        <w:t>Primary outcome measures</w:t>
      </w:r>
      <w:bookmarkEnd w:id="8"/>
    </w:p>
    <w:p w14:paraId="7B899B2C" w14:textId="77777777" w:rsidR="00B76A27" w:rsidRPr="004111BE" w:rsidRDefault="00B76A27" w:rsidP="00B76A27">
      <w:pPr>
        <w:jc w:val="both"/>
      </w:pPr>
      <w:r w:rsidRPr="004111BE">
        <w:t xml:space="preserve">The primary outcomes of interest will be the survival of the participants (measured from date of study entry) and the predictions of the Prognosis in Palliative care Score - A (PiPS-A) and the Prognosis in Palliative care Score - B (PiPS-B) prognostic models. Both models provide a prediction about whether a patient is likely to live for “days” (less than 14-days), “weeks” (2 to 7 weeks), or “months +” (2 months or more). </w:t>
      </w:r>
    </w:p>
    <w:p w14:paraId="6912E2D7"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9" w:name="_Toc529967100"/>
      <w:r w:rsidRPr="004111BE">
        <w:rPr>
          <w:rFonts w:asciiTheme="minorHAnsi" w:hAnsiTheme="minorHAnsi"/>
          <w:sz w:val="22"/>
          <w:szCs w:val="22"/>
        </w:rPr>
        <w:t>Secondary outcome measures</w:t>
      </w:r>
      <w:bookmarkEnd w:id="9"/>
    </w:p>
    <w:p w14:paraId="149535B0" w14:textId="77777777" w:rsidR="00B76A27" w:rsidRPr="004111BE" w:rsidRDefault="00B76A27" w:rsidP="00B76A27">
      <w:pPr>
        <w:jc w:val="both"/>
      </w:pPr>
      <w:r w:rsidRPr="004111BE">
        <w:t>The secondary outcomes will be the predictions produced by:</w:t>
      </w:r>
    </w:p>
    <w:p w14:paraId="3B3963C6" w14:textId="77777777" w:rsidR="00B76A27" w:rsidRPr="004111BE" w:rsidRDefault="00B76A27" w:rsidP="00B76A27">
      <w:pPr>
        <w:pStyle w:val="ListParagraph"/>
        <w:numPr>
          <w:ilvl w:val="0"/>
          <w:numId w:val="4"/>
        </w:numPr>
      </w:pPr>
      <w:r w:rsidRPr="004111BE">
        <w:t>The Palliative Prognostic Index,</w:t>
      </w:r>
      <w:r w:rsidRPr="004111BE">
        <w:rPr>
          <w:rFonts w:cs="Arial"/>
        </w:rPr>
        <w:t xml:space="preserve"> PPI (less than 3 week survival, 3 to 6 week survival, and greater than 6 week survival);  </w:t>
      </w:r>
    </w:p>
    <w:p w14:paraId="23B57DAB" w14:textId="77777777" w:rsidR="00B76A27" w:rsidRPr="004111BE" w:rsidRDefault="00B76A27" w:rsidP="00B76A27">
      <w:pPr>
        <w:pStyle w:val="ListParagraph"/>
        <w:numPr>
          <w:ilvl w:val="0"/>
          <w:numId w:val="4"/>
        </w:numPr>
      </w:pPr>
      <w:r w:rsidRPr="004111BE">
        <w:t>The Palliative Performance Scale,</w:t>
      </w:r>
      <w:r w:rsidRPr="004111BE">
        <w:rPr>
          <w:rFonts w:cs="Arial"/>
        </w:rPr>
        <w:t xml:space="preserve"> PPS (probability of dying within 7, 14 or 28 days);</w:t>
      </w:r>
    </w:p>
    <w:p w14:paraId="04A2E1B1" w14:textId="77777777" w:rsidR="00B76A27" w:rsidRPr="004111BE" w:rsidRDefault="00B76A27" w:rsidP="00B76A27">
      <w:pPr>
        <w:pStyle w:val="ListParagraph"/>
        <w:numPr>
          <w:ilvl w:val="0"/>
          <w:numId w:val="4"/>
        </w:numPr>
      </w:pPr>
      <w:r w:rsidRPr="004111BE">
        <w:t>Feliu Prognostic Nomogram</w:t>
      </w:r>
      <w:r w:rsidRPr="004111BE">
        <w:rPr>
          <w:rFonts w:cs="Arial"/>
        </w:rPr>
        <w:t xml:space="preserve">, FPN (risk of dying within 15, 30 or 60 days); </w:t>
      </w:r>
    </w:p>
    <w:p w14:paraId="77B8EB3C" w14:textId="77777777" w:rsidR="00B76A27" w:rsidRPr="004111BE" w:rsidRDefault="00B76A27" w:rsidP="00B76A27">
      <w:pPr>
        <w:pStyle w:val="ListParagraph"/>
        <w:numPr>
          <w:ilvl w:val="0"/>
          <w:numId w:val="4"/>
        </w:numPr>
      </w:pPr>
      <w:r w:rsidRPr="004111BE">
        <w:t>Palliative Prognostic score,</w:t>
      </w:r>
      <w:r w:rsidRPr="004111BE">
        <w:rPr>
          <w:rFonts w:cs="Arial"/>
        </w:rPr>
        <w:t xml:space="preserve"> PaP (risk of dying within 30 days).</w:t>
      </w:r>
    </w:p>
    <w:p w14:paraId="0C2555E2" w14:textId="77777777" w:rsidR="00B76A27" w:rsidRPr="004111BE" w:rsidRDefault="00B76A27" w:rsidP="00B76A27"/>
    <w:p w14:paraId="0F5C86F6" w14:textId="77777777" w:rsidR="00B76A27" w:rsidRPr="004111BE" w:rsidRDefault="00B76A27" w:rsidP="00B76A27">
      <w:pPr>
        <w:pStyle w:val="Heading1"/>
        <w:numPr>
          <w:ilvl w:val="0"/>
          <w:numId w:val="1"/>
        </w:numPr>
        <w:jc w:val="both"/>
        <w:rPr>
          <w:sz w:val="22"/>
          <w:szCs w:val="22"/>
        </w:rPr>
      </w:pPr>
      <w:bookmarkStart w:id="10" w:name="_Toc529967101"/>
      <w:r w:rsidRPr="004111BE">
        <w:rPr>
          <w:sz w:val="22"/>
          <w:szCs w:val="22"/>
        </w:rPr>
        <w:lastRenderedPageBreak/>
        <w:t>Data analysis plan</w:t>
      </w:r>
      <w:bookmarkEnd w:id="10"/>
    </w:p>
    <w:p w14:paraId="6BB24642"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11" w:name="_Toc529967102"/>
      <w:r w:rsidRPr="004111BE">
        <w:rPr>
          <w:rFonts w:asciiTheme="minorHAnsi" w:hAnsiTheme="minorHAnsi"/>
          <w:sz w:val="22"/>
          <w:szCs w:val="22"/>
        </w:rPr>
        <w:t>Descriptive analysis</w:t>
      </w:r>
      <w:bookmarkEnd w:id="11"/>
    </w:p>
    <w:p w14:paraId="313E4957" w14:textId="77777777" w:rsidR="00B76A27" w:rsidRPr="004111BE" w:rsidRDefault="00B76A27" w:rsidP="00B76A27">
      <w:pPr>
        <w:autoSpaceDE w:val="0"/>
        <w:autoSpaceDN w:val="0"/>
        <w:adjustRightInd w:val="0"/>
        <w:jc w:val="both"/>
        <w:rPr>
          <w:rFonts w:cs="Arial"/>
        </w:rPr>
      </w:pPr>
      <w:r w:rsidRPr="004111BE">
        <w:t>Initially the predictors and the outcome will be summarised using descriptive analysis. Categorical predictors shall be reported as raw numbers and percentages. Reports of continuous variables shall include mean or median and standard deviation or interquartile (IQ) range as appropriate. The percentage of values missing for each predictor will also be presented. The survival times of patients will be summarised using median and IQ ranges and Kaplan Meier graphs.</w:t>
      </w:r>
    </w:p>
    <w:p w14:paraId="3D904FB8"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12" w:name="_Toc448832579"/>
      <w:bookmarkStart w:id="13" w:name="_Toc529967103"/>
      <w:r w:rsidRPr="004111BE">
        <w:rPr>
          <w:rFonts w:asciiTheme="minorHAnsi" w:hAnsiTheme="minorHAnsi"/>
          <w:sz w:val="22"/>
          <w:szCs w:val="22"/>
        </w:rPr>
        <w:t>Primary analysis</w:t>
      </w:r>
      <w:bookmarkEnd w:id="12"/>
      <w:bookmarkEnd w:id="13"/>
    </w:p>
    <w:p w14:paraId="644F19C3" w14:textId="77777777" w:rsidR="00B76A27" w:rsidRPr="004111BE" w:rsidRDefault="00B76A27" w:rsidP="00B76A27">
      <w:pPr>
        <w:autoSpaceDE w:val="0"/>
        <w:autoSpaceDN w:val="0"/>
        <w:adjustRightInd w:val="0"/>
        <w:spacing w:after="0"/>
        <w:jc w:val="both"/>
        <w:rPr>
          <w:b/>
        </w:rPr>
      </w:pPr>
      <w:r w:rsidRPr="004111BE">
        <w:rPr>
          <w:b/>
        </w:rPr>
        <w:t>Validation of PiPS models</w:t>
      </w:r>
    </w:p>
    <w:p w14:paraId="499C3876" w14:textId="77777777" w:rsidR="00B76A27" w:rsidRPr="004111BE" w:rsidRDefault="00B76A27" w:rsidP="00B76A27">
      <w:pPr>
        <w:autoSpaceDE w:val="0"/>
        <w:autoSpaceDN w:val="0"/>
        <w:adjustRightInd w:val="0"/>
        <w:jc w:val="both"/>
      </w:pPr>
      <w:r w:rsidRPr="004111BE">
        <w:t>We will validate the PiPS models as they were presented for use in the original study by Gwilliam et. al [1].  For both PiPS-A and PiPS-B, two separate models have been developed to predict the two week (14 day) and two month (56 day) survival of patients (thus generating three prognostic categories; less than two weeks, two weeks to two months and greater than two months). The week and month models include different sets of predictors. For both models (weeks and months), if the predicted probability of the event exceeded 50% for a patient, then the patient was classified to have the event. Otherwise, it was assumed that the patient did not have the event. Thus if, for example, the models predicted that a patient would survive two weeks, but predicted that the patient would die within two months, then the PiPS model outcome would be that the patient was predicted to die in “weeks”.</w:t>
      </w:r>
    </w:p>
    <w:p w14:paraId="092EF2EB" w14:textId="151E8EC7" w:rsidR="00B76A27" w:rsidRDefault="00B76A27" w:rsidP="00DA3466">
      <w:bookmarkStart w:id="14" w:name="_GoBack"/>
      <w:r w:rsidRPr="004111BE">
        <w:t>For the primary analysis, patients with complete data sets for validation of PiPS-B will be used, if the proportion of missing data is less than 10%. Otherwise, multiple imputation based on chained equations [9] will be used to impute missing predictor values. The imputation model will include the predictors in the PiPS-B risk model, predictors of missingness and possibly the centre effect (</w:t>
      </w:r>
      <w:r w:rsidR="000345B0" w:rsidRPr="000345B0">
        <w:rPr>
          <w:rFonts w:ascii="Calibri" w:eastAsia="Times New Roman" w:hAnsi="Calibri" w:cs="Times New Roman"/>
          <w:color w:val="000000"/>
          <w:lang w:eastAsia="en-GB"/>
        </w:rPr>
        <w:t>if there is considerable variation across centres as measured by the I</w:t>
      </w:r>
      <w:r w:rsidR="00894705">
        <w:rPr>
          <w:rFonts w:ascii="Calibri" w:eastAsia="Times New Roman" w:hAnsi="Calibri" w:cs="Times New Roman"/>
          <w:color w:val="000000"/>
          <w:lang w:eastAsia="en-GB"/>
        </w:rPr>
        <w:t>CC</w:t>
      </w:r>
      <w:r w:rsidR="000345B0">
        <w:rPr>
          <w:rFonts w:ascii="Calibri" w:eastAsia="Times New Roman" w:hAnsi="Calibri" w:cs="Times New Roman"/>
          <w:color w:val="000000"/>
          <w:lang w:eastAsia="en-GB"/>
        </w:rPr>
        <w:t xml:space="preserve"> or</w:t>
      </w:r>
      <w:r w:rsidR="00894705">
        <w:rPr>
          <w:rFonts w:ascii="Calibri" w:eastAsia="Times New Roman" w:hAnsi="Calibri" w:cs="Times New Roman"/>
          <w:color w:val="000000"/>
          <w:lang w:eastAsia="en-GB"/>
        </w:rPr>
        <w:t xml:space="preserve"> the</w:t>
      </w:r>
      <w:r w:rsidR="000345B0">
        <w:rPr>
          <w:rFonts w:ascii="Calibri" w:eastAsia="Times New Roman" w:hAnsi="Calibri" w:cs="Times New Roman"/>
          <w:color w:val="000000"/>
          <w:lang w:eastAsia="en-GB"/>
        </w:rPr>
        <w:t xml:space="preserve"> descriptive statistics of</w:t>
      </w:r>
      <w:r w:rsidR="000345B0" w:rsidRPr="000345B0">
        <w:rPr>
          <w:rFonts w:ascii="Calibri" w:eastAsia="Times New Roman" w:hAnsi="Calibri" w:cs="Times New Roman"/>
          <w:color w:val="000000"/>
          <w:lang w:eastAsia="en-GB"/>
        </w:rPr>
        <w:t xml:space="preserve"> the estimate of the between centre variance</w:t>
      </w:r>
      <w:r w:rsidRPr="004111BE">
        <w:t>). The centre effect will be incorporated either including fixed effects for centres, or creating groups of centres with similar characteristics and including these groups as fixed effects, or using the estimate of the random effects obtained from fitting the PiPS-B model to the data.  We will either use Rubin’s rule or use the stacked approach to combine the performance measures from the imputed datasets (Wood et al . 2015)</w:t>
      </w:r>
      <w:r w:rsidR="00DA3466">
        <w:t>.</w:t>
      </w:r>
    </w:p>
    <w:bookmarkEnd w:id="14"/>
    <w:p w14:paraId="50581BC5" w14:textId="77777777" w:rsidR="00DA3466" w:rsidRPr="00926B3D" w:rsidRDefault="00DA3466" w:rsidP="006006BD">
      <w:pPr>
        <w:spacing w:after="0" w:line="240" w:lineRule="auto"/>
        <w:rPr>
          <w:rFonts w:ascii="Times New Roman" w:eastAsia="Times New Roman" w:hAnsi="Times New Roman" w:cs="Times New Roman"/>
          <w:sz w:val="24"/>
          <w:szCs w:val="24"/>
          <w:lang w:eastAsia="en-GB"/>
        </w:rPr>
      </w:pPr>
    </w:p>
    <w:p w14:paraId="6929D1FF" w14:textId="191619B5" w:rsidR="00B76A27" w:rsidRPr="004111BE" w:rsidRDefault="00B76A27" w:rsidP="00B76A27">
      <w:pPr>
        <w:autoSpaceDE w:val="0"/>
        <w:autoSpaceDN w:val="0"/>
        <w:adjustRightInd w:val="0"/>
        <w:jc w:val="both"/>
      </w:pPr>
      <w:r w:rsidRPr="004111BE">
        <w:t xml:space="preserve">The discriminatory ability of the models will be assessed using the C-statistic. Separate C-statistics will be calculated for the “two weeks” and the “two month” models. The C-statistic will be estimated by forming all patient pairs and calculating the proportion of patient pairs where the patient who has the event has the higher predicted value. The PiPS online calculator provides (see www.pips.sgul.ac.uk) a prediction as to whether a patient will survive for days, weeks or months. </w:t>
      </w:r>
      <w:r w:rsidR="003B5ECD">
        <w:t xml:space="preserve">Additional details of the </w:t>
      </w:r>
      <w:r w:rsidR="001B3A48">
        <w:t xml:space="preserve">models used to create the survival predictions </w:t>
      </w:r>
      <w:r w:rsidR="003B5ECD">
        <w:t xml:space="preserve">are provided in the Appendix.  </w:t>
      </w:r>
      <w:r w:rsidRPr="004111BE">
        <w:t xml:space="preserve">The model calibration will be assessed by comparing the observed and the predicted proportions for each of these categories. The calibration of the prognostic models will be further assessed using the calibration intercept (calibration at large) and slope based on a logistic regression model fitted to the validation data using the predicted log-odds as the only predictor [2]. This will also be done separately for the “two weeks” and the “two month” models.  The calibration intercept and slope, and the C-statistic will initially be estimated without taking account of potential patient clustering within centres. In a second analysis, these performance measures will be calculated for each centre separately (assuming most centres have sufficient number of events to allow such calculations) and </w:t>
      </w:r>
      <w:r w:rsidRPr="004111BE">
        <w:lastRenderedPageBreak/>
        <w:t xml:space="preserve">the estimates pooled across centres using a weighted average [3]. The calibration intercept and slope, and the C-statistic will be presented as estimates with confidence intervals. </w:t>
      </w:r>
    </w:p>
    <w:p w14:paraId="046A1F6C" w14:textId="77777777" w:rsidR="00B76A27" w:rsidRPr="004111BE" w:rsidRDefault="00B76A27" w:rsidP="00B76A27">
      <w:pPr>
        <w:autoSpaceDE w:val="0"/>
        <w:autoSpaceDN w:val="0"/>
        <w:adjustRightInd w:val="0"/>
        <w:jc w:val="both"/>
      </w:pPr>
      <w:r w:rsidRPr="004111BE">
        <w:t>We will also assess model performance by plotting Kaplan-Meier survival curves for each of the three risk groups identified by the PiPS models (“days,” “weeks,” and “months+”).</w:t>
      </w:r>
    </w:p>
    <w:p w14:paraId="76442868" w14:textId="77777777" w:rsidR="00B76A27" w:rsidRPr="004111BE" w:rsidRDefault="00B76A27" w:rsidP="00B76A27">
      <w:pPr>
        <w:autoSpaceDE w:val="0"/>
        <w:autoSpaceDN w:val="0"/>
        <w:adjustRightInd w:val="0"/>
        <w:jc w:val="both"/>
      </w:pPr>
    </w:p>
    <w:p w14:paraId="2FCF0422" w14:textId="77777777" w:rsidR="00B76A27" w:rsidRPr="004111BE" w:rsidRDefault="00B76A27" w:rsidP="00B76A27">
      <w:pPr>
        <w:rPr>
          <w:b/>
        </w:rPr>
      </w:pPr>
      <w:r w:rsidRPr="004111BE">
        <w:rPr>
          <w:b/>
        </w:rPr>
        <w:t>Comparison between PiPS model and clinician predictions</w:t>
      </w:r>
    </w:p>
    <w:p w14:paraId="33DE6AFD" w14:textId="77777777" w:rsidR="00B76A27" w:rsidRPr="004111BE" w:rsidRDefault="00B76A27" w:rsidP="00B76A27">
      <w:pPr>
        <w:autoSpaceDE w:val="0"/>
        <w:autoSpaceDN w:val="0"/>
        <w:adjustRightInd w:val="0"/>
        <w:jc w:val="both"/>
      </w:pPr>
      <w:r w:rsidRPr="004111BE">
        <w:t>To compare the accuracy of the model and clinicians’ predictions, the primary analysis will focus on the PiPS-B model. McNemar’s test will be used to compare the proportion of overall patient deaths predicted correctly by PIPS-B with the corresponding proportion predicted correctly by clinicians. Table 1 (below) will form the basis of this comparison.</w:t>
      </w:r>
    </w:p>
    <w:p w14:paraId="76BB2F31" w14:textId="77777777" w:rsidR="00B76A27" w:rsidRPr="004111BE" w:rsidRDefault="00B76A27" w:rsidP="00B76A27">
      <w:pPr>
        <w:autoSpaceDE w:val="0"/>
        <w:autoSpaceDN w:val="0"/>
        <w:adjustRightInd w:val="0"/>
        <w:jc w:val="both"/>
      </w:pPr>
      <w:r w:rsidRPr="004111BE">
        <w:t xml:space="preserve">Table 1 – Blank table for analysis comparing PiPS-B predictions with clinicians’ predictions </w:t>
      </w:r>
    </w:p>
    <w:tbl>
      <w:tblPr>
        <w:tblW w:w="920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5"/>
        <w:gridCol w:w="2693"/>
        <w:gridCol w:w="1013"/>
      </w:tblGrid>
      <w:tr w:rsidR="00B76A27" w:rsidRPr="004111BE" w14:paraId="2371B046" w14:textId="77777777" w:rsidTr="00F3652A">
        <w:tc>
          <w:tcPr>
            <w:tcW w:w="2660" w:type="dxa"/>
            <w:shd w:val="clear" w:color="auto" w:fill="auto"/>
          </w:tcPr>
          <w:p w14:paraId="060E6F5A" w14:textId="77777777" w:rsidR="00B76A27" w:rsidRPr="004111BE" w:rsidRDefault="00B76A27" w:rsidP="00F3652A">
            <w:pPr>
              <w:autoSpaceDE w:val="0"/>
              <w:autoSpaceDN w:val="0"/>
              <w:adjustRightInd w:val="0"/>
              <w:spacing w:after="0"/>
              <w:ind w:left="567"/>
            </w:pPr>
          </w:p>
        </w:tc>
        <w:tc>
          <w:tcPr>
            <w:tcW w:w="5528" w:type="dxa"/>
            <w:gridSpan w:val="2"/>
            <w:shd w:val="clear" w:color="auto" w:fill="auto"/>
          </w:tcPr>
          <w:p w14:paraId="72D28F9B" w14:textId="77777777" w:rsidR="00B76A27" w:rsidRPr="004111BE" w:rsidRDefault="00B76A27" w:rsidP="00F3652A">
            <w:pPr>
              <w:autoSpaceDE w:val="0"/>
              <w:autoSpaceDN w:val="0"/>
              <w:adjustRightInd w:val="0"/>
              <w:spacing w:after="0"/>
              <w:ind w:left="567"/>
              <w:rPr>
                <w:b/>
              </w:rPr>
            </w:pPr>
            <w:r w:rsidRPr="004111BE">
              <w:rPr>
                <w:b/>
              </w:rPr>
              <w:t xml:space="preserve">Clinician  predictions compared to observed deaths </w:t>
            </w:r>
          </w:p>
        </w:tc>
        <w:tc>
          <w:tcPr>
            <w:tcW w:w="1013" w:type="dxa"/>
          </w:tcPr>
          <w:p w14:paraId="12DC2B31" w14:textId="77777777" w:rsidR="00B76A27" w:rsidRPr="004111BE" w:rsidRDefault="00B76A27" w:rsidP="00F3652A">
            <w:pPr>
              <w:autoSpaceDE w:val="0"/>
              <w:autoSpaceDN w:val="0"/>
              <w:adjustRightInd w:val="0"/>
              <w:spacing w:after="0"/>
              <w:rPr>
                <w:b/>
              </w:rPr>
            </w:pPr>
          </w:p>
        </w:tc>
      </w:tr>
      <w:tr w:rsidR="00B76A27" w:rsidRPr="004111BE" w14:paraId="09D9A541" w14:textId="77777777" w:rsidTr="00F3652A">
        <w:tc>
          <w:tcPr>
            <w:tcW w:w="2660" w:type="dxa"/>
            <w:shd w:val="clear" w:color="auto" w:fill="auto"/>
          </w:tcPr>
          <w:p w14:paraId="5B842D1E" w14:textId="77777777" w:rsidR="00B76A27" w:rsidRPr="004111BE" w:rsidRDefault="00B76A27" w:rsidP="00F3652A">
            <w:pPr>
              <w:autoSpaceDE w:val="0"/>
              <w:autoSpaceDN w:val="0"/>
              <w:adjustRightInd w:val="0"/>
              <w:spacing w:after="0"/>
              <w:ind w:left="21"/>
              <w:rPr>
                <w:b/>
              </w:rPr>
            </w:pPr>
            <w:r w:rsidRPr="004111BE">
              <w:rPr>
                <w:b/>
              </w:rPr>
              <w:t xml:space="preserve">Risk model predictions   compared to observed deaths </w:t>
            </w:r>
          </w:p>
        </w:tc>
        <w:tc>
          <w:tcPr>
            <w:tcW w:w="2835" w:type="dxa"/>
            <w:shd w:val="clear" w:color="auto" w:fill="auto"/>
          </w:tcPr>
          <w:p w14:paraId="78C3C0DF" w14:textId="77777777" w:rsidR="00B76A27" w:rsidRPr="004111BE" w:rsidRDefault="00B76A27" w:rsidP="00F3652A">
            <w:pPr>
              <w:autoSpaceDE w:val="0"/>
              <w:autoSpaceDN w:val="0"/>
              <w:adjustRightInd w:val="0"/>
              <w:spacing w:after="0"/>
              <w:ind w:left="55"/>
            </w:pPr>
            <w:r w:rsidRPr="004111BE">
              <w:t>Number of patients when clinician’s prediction was correct</w:t>
            </w:r>
          </w:p>
        </w:tc>
        <w:tc>
          <w:tcPr>
            <w:tcW w:w="2693" w:type="dxa"/>
            <w:shd w:val="clear" w:color="auto" w:fill="auto"/>
          </w:tcPr>
          <w:p w14:paraId="08CB1736" w14:textId="77777777" w:rsidR="00B76A27" w:rsidRPr="004111BE" w:rsidRDefault="00B76A27" w:rsidP="00F3652A">
            <w:pPr>
              <w:autoSpaceDE w:val="0"/>
              <w:autoSpaceDN w:val="0"/>
              <w:adjustRightInd w:val="0"/>
              <w:spacing w:after="0"/>
              <w:ind w:left="55"/>
            </w:pPr>
            <w:r w:rsidRPr="004111BE">
              <w:t>Number of patients when clinician’s prediction was incorrect</w:t>
            </w:r>
          </w:p>
        </w:tc>
        <w:tc>
          <w:tcPr>
            <w:tcW w:w="1013" w:type="dxa"/>
          </w:tcPr>
          <w:p w14:paraId="7246312E" w14:textId="77777777" w:rsidR="00B76A27" w:rsidRPr="004111BE" w:rsidRDefault="00B76A27" w:rsidP="00F3652A">
            <w:pPr>
              <w:autoSpaceDE w:val="0"/>
              <w:autoSpaceDN w:val="0"/>
              <w:adjustRightInd w:val="0"/>
              <w:spacing w:after="0"/>
              <w:ind w:left="55"/>
            </w:pPr>
            <w:r w:rsidRPr="004111BE">
              <w:rPr>
                <w:b/>
              </w:rPr>
              <w:t>Total</w:t>
            </w:r>
          </w:p>
        </w:tc>
      </w:tr>
      <w:tr w:rsidR="00B76A27" w:rsidRPr="004111BE" w14:paraId="4FE5D9F8" w14:textId="77777777" w:rsidTr="00F3652A">
        <w:tc>
          <w:tcPr>
            <w:tcW w:w="2660" w:type="dxa"/>
            <w:shd w:val="clear" w:color="auto" w:fill="auto"/>
          </w:tcPr>
          <w:p w14:paraId="7DA565AF" w14:textId="77777777" w:rsidR="00B76A27" w:rsidRPr="004111BE" w:rsidRDefault="00B76A27" w:rsidP="00F3652A">
            <w:pPr>
              <w:autoSpaceDE w:val="0"/>
              <w:autoSpaceDN w:val="0"/>
              <w:adjustRightInd w:val="0"/>
              <w:spacing w:after="0"/>
              <w:ind w:left="21"/>
            </w:pPr>
            <w:r w:rsidRPr="004111BE">
              <w:t>Number of patients when PiPS prediction was correct</w:t>
            </w:r>
          </w:p>
        </w:tc>
        <w:tc>
          <w:tcPr>
            <w:tcW w:w="2835" w:type="dxa"/>
            <w:shd w:val="clear" w:color="auto" w:fill="auto"/>
          </w:tcPr>
          <w:p w14:paraId="4D3AD7D2" w14:textId="77777777" w:rsidR="00B76A27" w:rsidRPr="004111BE" w:rsidRDefault="00B76A27" w:rsidP="00F3652A">
            <w:pPr>
              <w:autoSpaceDE w:val="0"/>
              <w:autoSpaceDN w:val="0"/>
              <w:adjustRightInd w:val="0"/>
              <w:spacing w:after="0"/>
              <w:ind w:left="567"/>
            </w:pPr>
          </w:p>
        </w:tc>
        <w:tc>
          <w:tcPr>
            <w:tcW w:w="2693" w:type="dxa"/>
            <w:shd w:val="clear" w:color="auto" w:fill="auto"/>
          </w:tcPr>
          <w:p w14:paraId="657666D5" w14:textId="77777777" w:rsidR="00B76A27" w:rsidRPr="004111BE" w:rsidRDefault="00B76A27" w:rsidP="00F3652A">
            <w:pPr>
              <w:autoSpaceDE w:val="0"/>
              <w:autoSpaceDN w:val="0"/>
              <w:adjustRightInd w:val="0"/>
              <w:spacing w:after="0"/>
              <w:ind w:left="567"/>
            </w:pPr>
          </w:p>
        </w:tc>
        <w:tc>
          <w:tcPr>
            <w:tcW w:w="1013" w:type="dxa"/>
          </w:tcPr>
          <w:p w14:paraId="0A53E787" w14:textId="77777777" w:rsidR="00B76A27" w:rsidRPr="004111BE" w:rsidRDefault="00B76A27" w:rsidP="00F3652A">
            <w:pPr>
              <w:autoSpaceDE w:val="0"/>
              <w:autoSpaceDN w:val="0"/>
              <w:adjustRightInd w:val="0"/>
              <w:spacing w:after="0"/>
              <w:ind w:left="567"/>
            </w:pPr>
          </w:p>
        </w:tc>
      </w:tr>
      <w:tr w:rsidR="00B76A27" w:rsidRPr="004111BE" w14:paraId="70AF9292" w14:textId="77777777" w:rsidTr="00F3652A">
        <w:tc>
          <w:tcPr>
            <w:tcW w:w="2660" w:type="dxa"/>
            <w:shd w:val="clear" w:color="auto" w:fill="auto"/>
          </w:tcPr>
          <w:p w14:paraId="3FE7D436" w14:textId="77777777" w:rsidR="00B76A27" w:rsidRPr="004111BE" w:rsidRDefault="00B76A27" w:rsidP="00F3652A">
            <w:pPr>
              <w:autoSpaceDE w:val="0"/>
              <w:autoSpaceDN w:val="0"/>
              <w:adjustRightInd w:val="0"/>
              <w:spacing w:after="0"/>
              <w:ind w:left="21"/>
            </w:pPr>
            <w:r w:rsidRPr="004111BE">
              <w:t>Number of patients when PiPS prediction was incorrect</w:t>
            </w:r>
          </w:p>
        </w:tc>
        <w:tc>
          <w:tcPr>
            <w:tcW w:w="2835" w:type="dxa"/>
            <w:shd w:val="clear" w:color="auto" w:fill="auto"/>
          </w:tcPr>
          <w:p w14:paraId="3BC502A5" w14:textId="77777777" w:rsidR="00B76A27" w:rsidRPr="004111BE" w:rsidRDefault="00B76A27" w:rsidP="00F3652A">
            <w:pPr>
              <w:autoSpaceDE w:val="0"/>
              <w:autoSpaceDN w:val="0"/>
              <w:adjustRightInd w:val="0"/>
              <w:spacing w:after="0"/>
              <w:ind w:left="567"/>
            </w:pPr>
          </w:p>
        </w:tc>
        <w:tc>
          <w:tcPr>
            <w:tcW w:w="2693" w:type="dxa"/>
            <w:shd w:val="clear" w:color="auto" w:fill="auto"/>
          </w:tcPr>
          <w:p w14:paraId="1003446B" w14:textId="77777777" w:rsidR="00B76A27" w:rsidRPr="004111BE" w:rsidRDefault="00B76A27" w:rsidP="00F3652A">
            <w:pPr>
              <w:autoSpaceDE w:val="0"/>
              <w:autoSpaceDN w:val="0"/>
              <w:adjustRightInd w:val="0"/>
              <w:spacing w:after="0"/>
              <w:ind w:left="567"/>
            </w:pPr>
          </w:p>
        </w:tc>
        <w:tc>
          <w:tcPr>
            <w:tcW w:w="1013" w:type="dxa"/>
          </w:tcPr>
          <w:p w14:paraId="6864737E" w14:textId="77777777" w:rsidR="00B76A27" w:rsidRPr="004111BE" w:rsidRDefault="00B76A27" w:rsidP="00F3652A">
            <w:pPr>
              <w:autoSpaceDE w:val="0"/>
              <w:autoSpaceDN w:val="0"/>
              <w:adjustRightInd w:val="0"/>
              <w:spacing w:after="0"/>
              <w:ind w:left="567"/>
            </w:pPr>
          </w:p>
        </w:tc>
      </w:tr>
      <w:tr w:rsidR="00B76A27" w:rsidRPr="004111BE" w14:paraId="77DB27A0" w14:textId="77777777" w:rsidTr="00F3652A">
        <w:tc>
          <w:tcPr>
            <w:tcW w:w="2660" w:type="dxa"/>
            <w:shd w:val="clear" w:color="auto" w:fill="auto"/>
          </w:tcPr>
          <w:p w14:paraId="1A96D72A" w14:textId="77777777" w:rsidR="00B76A27" w:rsidRPr="004111BE" w:rsidRDefault="00B76A27" w:rsidP="00F3652A">
            <w:pPr>
              <w:autoSpaceDE w:val="0"/>
              <w:autoSpaceDN w:val="0"/>
              <w:adjustRightInd w:val="0"/>
              <w:spacing w:after="0"/>
              <w:ind w:left="21"/>
            </w:pPr>
            <w:r w:rsidRPr="004111BE">
              <w:t>Total</w:t>
            </w:r>
          </w:p>
        </w:tc>
        <w:tc>
          <w:tcPr>
            <w:tcW w:w="2835" w:type="dxa"/>
            <w:shd w:val="clear" w:color="auto" w:fill="auto"/>
          </w:tcPr>
          <w:p w14:paraId="27C91DEE" w14:textId="77777777" w:rsidR="00B76A27" w:rsidRPr="004111BE" w:rsidRDefault="00B76A27" w:rsidP="00F3652A">
            <w:pPr>
              <w:autoSpaceDE w:val="0"/>
              <w:autoSpaceDN w:val="0"/>
              <w:adjustRightInd w:val="0"/>
              <w:spacing w:after="0"/>
              <w:ind w:left="567"/>
              <w:rPr>
                <w:rStyle w:val="CommentReference"/>
              </w:rPr>
            </w:pPr>
          </w:p>
        </w:tc>
        <w:tc>
          <w:tcPr>
            <w:tcW w:w="2693" w:type="dxa"/>
            <w:shd w:val="clear" w:color="auto" w:fill="auto"/>
          </w:tcPr>
          <w:p w14:paraId="698E0BB9" w14:textId="77777777" w:rsidR="00B76A27" w:rsidRPr="004111BE" w:rsidRDefault="00B76A27" w:rsidP="00F3652A">
            <w:pPr>
              <w:autoSpaceDE w:val="0"/>
              <w:autoSpaceDN w:val="0"/>
              <w:adjustRightInd w:val="0"/>
              <w:spacing w:after="0"/>
              <w:ind w:left="567"/>
            </w:pPr>
          </w:p>
        </w:tc>
        <w:tc>
          <w:tcPr>
            <w:tcW w:w="1013" w:type="dxa"/>
          </w:tcPr>
          <w:p w14:paraId="0964B75D" w14:textId="77777777" w:rsidR="00B76A27" w:rsidRPr="004111BE" w:rsidRDefault="00B76A27" w:rsidP="00F3652A">
            <w:pPr>
              <w:autoSpaceDE w:val="0"/>
              <w:autoSpaceDN w:val="0"/>
              <w:adjustRightInd w:val="0"/>
              <w:spacing w:after="0"/>
              <w:ind w:left="567"/>
            </w:pPr>
          </w:p>
        </w:tc>
      </w:tr>
    </w:tbl>
    <w:p w14:paraId="2D8C11D9" w14:textId="77777777" w:rsidR="00B76A27" w:rsidRPr="004111BE" w:rsidRDefault="00B76A27" w:rsidP="00B76A27">
      <w:pPr>
        <w:autoSpaceDE w:val="0"/>
        <w:autoSpaceDN w:val="0"/>
        <w:adjustRightInd w:val="0"/>
        <w:spacing w:after="0"/>
        <w:ind w:left="567"/>
      </w:pPr>
    </w:p>
    <w:p w14:paraId="71957AE2"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15" w:name="_Toc448832580"/>
      <w:bookmarkStart w:id="16" w:name="_Toc529967104"/>
      <w:r w:rsidRPr="004111BE">
        <w:rPr>
          <w:rFonts w:asciiTheme="minorHAnsi" w:hAnsiTheme="minorHAnsi"/>
          <w:sz w:val="22"/>
          <w:szCs w:val="22"/>
        </w:rPr>
        <w:t>Secondary analysis</w:t>
      </w:r>
      <w:bookmarkEnd w:id="15"/>
      <w:bookmarkEnd w:id="16"/>
    </w:p>
    <w:p w14:paraId="0E983421" w14:textId="77777777" w:rsidR="00B76A27" w:rsidRPr="004111BE" w:rsidRDefault="00B76A27" w:rsidP="00B76A27">
      <w:pPr>
        <w:autoSpaceDE w:val="0"/>
        <w:autoSpaceDN w:val="0"/>
        <w:adjustRightInd w:val="0"/>
        <w:spacing w:after="0"/>
      </w:pPr>
      <w:r w:rsidRPr="004111BE">
        <w:t>As part of the secondary analyses we will combine the models’ predictions for the two week and two month cut-off points to produce a categorical prediction of survival (“days,” “weeks,” or “months/years”) and compare with clinicians’ estimates and the corresponding observed values descriptively with respect to their accuracy . Table 2 (below) will be used for this descriptive comparison (the cells will contain the counts in each category).</w:t>
      </w:r>
    </w:p>
    <w:p w14:paraId="00148B91" w14:textId="77777777" w:rsidR="00B76A27" w:rsidRPr="004111BE" w:rsidRDefault="00B76A27" w:rsidP="00B76A27">
      <w:pPr>
        <w:autoSpaceDE w:val="0"/>
        <w:autoSpaceDN w:val="0"/>
        <w:adjustRightInd w:val="0"/>
        <w:spacing w:after="0"/>
      </w:pPr>
    </w:p>
    <w:p w14:paraId="2F3AE848" w14:textId="77777777" w:rsidR="00B76A27" w:rsidRPr="004111BE" w:rsidRDefault="00B76A27" w:rsidP="00B76A27">
      <w:pPr>
        <w:autoSpaceDE w:val="0"/>
        <w:autoSpaceDN w:val="0"/>
        <w:adjustRightInd w:val="0"/>
        <w:jc w:val="both"/>
      </w:pPr>
      <w:r w:rsidRPr="004111BE">
        <w:t xml:space="preserve">Table 2 – Blank table for analysis of secondary outcomes </w:t>
      </w:r>
    </w:p>
    <w:tbl>
      <w:tblPr>
        <w:tblW w:w="7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46"/>
        <w:gridCol w:w="1418"/>
        <w:gridCol w:w="1418"/>
        <w:gridCol w:w="1022"/>
      </w:tblGrid>
      <w:tr w:rsidR="00B76A27" w:rsidRPr="004111BE" w14:paraId="7C734CA7" w14:textId="77777777" w:rsidTr="00F3652A">
        <w:tc>
          <w:tcPr>
            <w:tcW w:w="2660" w:type="dxa"/>
            <w:shd w:val="clear" w:color="auto" w:fill="auto"/>
          </w:tcPr>
          <w:p w14:paraId="01EDEB40" w14:textId="77777777" w:rsidR="00B76A27" w:rsidRPr="004111BE" w:rsidRDefault="00B76A27" w:rsidP="00F3652A">
            <w:pPr>
              <w:autoSpaceDE w:val="0"/>
              <w:autoSpaceDN w:val="0"/>
              <w:adjustRightInd w:val="0"/>
              <w:spacing w:after="0"/>
              <w:ind w:left="567"/>
            </w:pPr>
          </w:p>
        </w:tc>
        <w:tc>
          <w:tcPr>
            <w:tcW w:w="4282" w:type="dxa"/>
            <w:gridSpan w:val="3"/>
            <w:shd w:val="clear" w:color="auto" w:fill="auto"/>
          </w:tcPr>
          <w:p w14:paraId="1F66B63E" w14:textId="77777777" w:rsidR="00B76A27" w:rsidRPr="004111BE" w:rsidRDefault="00B76A27" w:rsidP="00F3652A">
            <w:pPr>
              <w:autoSpaceDE w:val="0"/>
              <w:autoSpaceDN w:val="0"/>
              <w:adjustRightInd w:val="0"/>
              <w:spacing w:after="0"/>
              <w:ind w:left="62"/>
              <w:rPr>
                <w:b/>
              </w:rPr>
            </w:pPr>
            <w:r w:rsidRPr="004111BE">
              <w:rPr>
                <w:b/>
              </w:rPr>
              <w:t>Actual Survival</w:t>
            </w:r>
          </w:p>
        </w:tc>
        <w:tc>
          <w:tcPr>
            <w:tcW w:w="1022" w:type="dxa"/>
          </w:tcPr>
          <w:p w14:paraId="426A20A6" w14:textId="77777777" w:rsidR="00B76A27" w:rsidRPr="004111BE" w:rsidRDefault="00B76A27" w:rsidP="00F3652A">
            <w:pPr>
              <w:autoSpaceDE w:val="0"/>
              <w:autoSpaceDN w:val="0"/>
              <w:adjustRightInd w:val="0"/>
              <w:spacing w:after="0"/>
              <w:ind w:left="64"/>
              <w:rPr>
                <w:b/>
              </w:rPr>
            </w:pPr>
            <w:r w:rsidRPr="004111BE">
              <w:rPr>
                <w:b/>
              </w:rPr>
              <w:t>Total</w:t>
            </w:r>
          </w:p>
        </w:tc>
      </w:tr>
      <w:tr w:rsidR="00B76A27" w:rsidRPr="004111BE" w14:paraId="6384C8FF" w14:textId="77777777" w:rsidTr="00F3652A">
        <w:tc>
          <w:tcPr>
            <w:tcW w:w="2660" w:type="dxa"/>
            <w:shd w:val="clear" w:color="auto" w:fill="auto"/>
          </w:tcPr>
          <w:p w14:paraId="6E50A664" w14:textId="77777777" w:rsidR="00B76A27" w:rsidRPr="004111BE" w:rsidRDefault="00B76A27" w:rsidP="00F3652A">
            <w:pPr>
              <w:autoSpaceDE w:val="0"/>
              <w:autoSpaceDN w:val="0"/>
              <w:adjustRightInd w:val="0"/>
              <w:spacing w:after="0"/>
              <w:ind w:left="29"/>
              <w:rPr>
                <w:b/>
              </w:rPr>
            </w:pPr>
            <w:r w:rsidRPr="004111BE">
              <w:rPr>
                <w:b/>
              </w:rPr>
              <w:t xml:space="preserve">Clinician Predictions </w:t>
            </w:r>
          </w:p>
        </w:tc>
        <w:tc>
          <w:tcPr>
            <w:tcW w:w="1446" w:type="dxa"/>
            <w:shd w:val="clear" w:color="auto" w:fill="auto"/>
          </w:tcPr>
          <w:p w14:paraId="270C30C2" w14:textId="77777777" w:rsidR="00B76A27" w:rsidRPr="004111BE" w:rsidRDefault="00B76A27" w:rsidP="00F3652A">
            <w:pPr>
              <w:autoSpaceDE w:val="0"/>
              <w:autoSpaceDN w:val="0"/>
              <w:adjustRightInd w:val="0"/>
              <w:spacing w:after="0"/>
            </w:pPr>
            <w:r w:rsidRPr="004111BE">
              <w:t>Days</w:t>
            </w:r>
          </w:p>
        </w:tc>
        <w:tc>
          <w:tcPr>
            <w:tcW w:w="1418" w:type="dxa"/>
            <w:shd w:val="clear" w:color="auto" w:fill="auto"/>
          </w:tcPr>
          <w:p w14:paraId="19B741A5" w14:textId="77777777" w:rsidR="00B76A27" w:rsidRPr="004111BE" w:rsidRDefault="00B76A27" w:rsidP="00F3652A">
            <w:pPr>
              <w:autoSpaceDE w:val="0"/>
              <w:autoSpaceDN w:val="0"/>
              <w:adjustRightInd w:val="0"/>
              <w:spacing w:after="0"/>
            </w:pPr>
            <w:r w:rsidRPr="004111BE">
              <w:t>Weeks</w:t>
            </w:r>
          </w:p>
        </w:tc>
        <w:tc>
          <w:tcPr>
            <w:tcW w:w="1418" w:type="dxa"/>
            <w:shd w:val="clear" w:color="auto" w:fill="auto"/>
          </w:tcPr>
          <w:p w14:paraId="265E0F24" w14:textId="77777777" w:rsidR="00B76A27" w:rsidRPr="004111BE" w:rsidRDefault="00B76A27" w:rsidP="00F3652A">
            <w:pPr>
              <w:autoSpaceDE w:val="0"/>
              <w:autoSpaceDN w:val="0"/>
              <w:adjustRightInd w:val="0"/>
              <w:spacing w:after="0"/>
            </w:pPr>
            <w:r w:rsidRPr="004111BE">
              <w:t>Months</w:t>
            </w:r>
          </w:p>
        </w:tc>
        <w:tc>
          <w:tcPr>
            <w:tcW w:w="1022" w:type="dxa"/>
          </w:tcPr>
          <w:p w14:paraId="01779466" w14:textId="77777777" w:rsidR="00B76A27" w:rsidRPr="004111BE" w:rsidRDefault="00B76A27" w:rsidP="00F3652A">
            <w:pPr>
              <w:autoSpaceDE w:val="0"/>
              <w:autoSpaceDN w:val="0"/>
              <w:adjustRightInd w:val="0"/>
              <w:spacing w:after="0"/>
              <w:ind w:left="567"/>
            </w:pPr>
          </w:p>
        </w:tc>
      </w:tr>
      <w:tr w:rsidR="00B76A27" w:rsidRPr="004111BE" w14:paraId="62BC9887" w14:textId="77777777" w:rsidTr="00F3652A">
        <w:tc>
          <w:tcPr>
            <w:tcW w:w="2660" w:type="dxa"/>
            <w:shd w:val="clear" w:color="auto" w:fill="auto"/>
          </w:tcPr>
          <w:p w14:paraId="781FC476" w14:textId="77777777" w:rsidR="00B76A27" w:rsidRPr="004111BE" w:rsidRDefault="00B76A27" w:rsidP="00F3652A">
            <w:pPr>
              <w:autoSpaceDE w:val="0"/>
              <w:autoSpaceDN w:val="0"/>
              <w:adjustRightInd w:val="0"/>
              <w:spacing w:after="0"/>
              <w:ind w:left="567"/>
            </w:pPr>
            <w:r w:rsidRPr="004111BE">
              <w:t>Days</w:t>
            </w:r>
          </w:p>
        </w:tc>
        <w:tc>
          <w:tcPr>
            <w:tcW w:w="1446" w:type="dxa"/>
            <w:shd w:val="clear" w:color="auto" w:fill="auto"/>
          </w:tcPr>
          <w:p w14:paraId="75C0E8C3" w14:textId="77777777" w:rsidR="00B76A27" w:rsidRPr="004111BE" w:rsidRDefault="00B76A27" w:rsidP="00F3652A">
            <w:pPr>
              <w:autoSpaceDE w:val="0"/>
              <w:autoSpaceDN w:val="0"/>
              <w:adjustRightInd w:val="0"/>
              <w:spacing w:after="0"/>
              <w:ind w:left="62"/>
            </w:pPr>
          </w:p>
        </w:tc>
        <w:tc>
          <w:tcPr>
            <w:tcW w:w="1418" w:type="dxa"/>
            <w:shd w:val="clear" w:color="auto" w:fill="auto"/>
          </w:tcPr>
          <w:p w14:paraId="04AE7176" w14:textId="77777777" w:rsidR="00B76A27" w:rsidRPr="004111BE" w:rsidRDefault="00B76A27" w:rsidP="00F3652A">
            <w:pPr>
              <w:autoSpaceDE w:val="0"/>
              <w:autoSpaceDN w:val="0"/>
              <w:adjustRightInd w:val="0"/>
              <w:spacing w:after="0"/>
              <w:ind w:left="34"/>
            </w:pPr>
          </w:p>
        </w:tc>
        <w:tc>
          <w:tcPr>
            <w:tcW w:w="1418" w:type="dxa"/>
            <w:shd w:val="clear" w:color="auto" w:fill="auto"/>
          </w:tcPr>
          <w:p w14:paraId="33436FA5" w14:textId="77777777" w:rsidR="00B76A27" w:rsidRPr="004111BE" w:rsidRDefault="00B76A27" w:rsidP="00F3652A">
            <w:pPr>
              <w:autoSpaceDE w:val="0"/>
              <w:autoSpaceDN w:val="0"/>
              <w:adjustRightInd w:val="0"/>
              <w:spacing w:after="0"/>
              <w:ind w:left="567"/>
            </w:pPr>
          </w:p>
        </w:tc>
        <w:tc>
          <w:tcPr>
            <w:tcW w:w="1022" w:type="dxa"/>
          </w:tcPr>
          <w:p w14:paraId="3D1ED420" w14:textId="77777777" w:rsidR="00B76A27" w:rsidRPr="004111BE" w:rsidRDefault="00B76A27" w:rsidP="00F3652A">
            <w:pPr>
              <w:autoSpaceDE w:val="0"/>
              <w:autoSpaceDN w:val="0"/>
              <w:adjustRightInd w:val="0"/>
              <w:spacing w:after="0"/>
              <w:ind w:left="567"/>
            </w:pPr>
          </w:p>
        </w:tc>
      </w:tr>
      <w:tr w:rsidR="00B76A27" w:rsidRPr="004111BE" w14:paraId="53C3B1E7" w14:textId="77777777" w:rsidTr="00F3652A">
        <w:tc>
          <w:tcPr>
            <w:tcW w:w="2660" w:type="dxa"/>
            <w:shd w:val="clear" w:color="auto" w:fill="auto"/>
          </w:tcPr>
          <w:p w14:paraId="78346920" w14:textId="77777777" w:rsidR="00B76A27" w:rsidRPr="004111BE" w:rsidRDefault="00B76A27" w:rsidP="00F3652A">
            <w:pPr>
              <w:autoSpaceDE w:val="0"/>
              <w:autoSpaceDN w:val="0"/>
              <w:adjustRightInd w:val="0"/>
              <w:spacing w:after="0"/>
              <w:ind w:left="567"/>
            </w:pPr>
            <w:r w:rsidRPr="004111BE">
              <w:t>Weeks</w:t>
            </w:r>
          </w:p>
        </w:tc>
        <w:tc>
          <w:tcPr>
            <w:tcW w:w="1446" w:type="dxa"/>
            <w:shd w:val="clear" w:color="auto" w:fill="auto"/>
          </w:tcPr>
          <w:p w14:paraId="0DB1FB05"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7FF7B52C"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5CEE4854" w14:textId="77777777" w:rsidR="00B76A27" w:rsidRPr="004111BE" w:rsidRDefault="00B76A27" w:rsidP="00F3652A">
            <w:pPr>
              <w:autoSpaceDE w:val="0"/>
              <w:autoSpaceDN w:val="0"/>
              <w:adjustRightInd w:val="0"/>
              <w:spacing w:after="0"/>
              <w:ind w:left="567"/>
            </w:pPr>
          </w:p>
        </w:tc>
        <w:tc>
          <w:tcPr>
            <w:tcW w:w="1022" w:type="dxa"/>
          </w:tcPr>
          <w:p w14:paraId="3C59955C" w14:textId="77777777" w:rsidR="00B76A27" w:rsidRPr="004111BE" w:rsidRDefault="00B76A27" w:rsidP="00F3652A">
            <w:pPr>
              <w:autoSpaceDE w:val="0"/>
              <w:autoSpaceDN w:val="0"/>
              <w:adjustRightInd w:val="0"/>
              <w:spacing w:after="0"/>
              <w:ind w:left="567"/>
            </w:pPr>
          </w:p>
        </w:tc>
      </w:tr>
      <w:tr w:rsidR="00B76A27" w:rsidRPr="004111BE" w14:paraId="795ABCF2" w14:textId="77777777" w:rsidTr="00F3652A">
        <w:tc>
          <w:tcPr>
            <w:tcW w:w="2660" w:type="dxa"/>
            <w:shd w:val="clear" w:color="auto" w:fill="auto"/>
          </w:tcPr>
          <w:p w14:paraId="158CCFB3" w14:textId="77777777" w:rsidR="00B76A27" w:rsidRPr="004111BE" w:rsidRDefault="00B76A27" w:rsidP="00F3652A">
            <w:pPr>
              <w:autoSpaceDE w:val="0"/>
              <w:autoSpaceDN w:val="0"/>
              <w:adjustRightInd w:val="0"/>
              <w:spacing w:after="0"/>
              <w:ind w:left="567"/>
            </w:pPr>
            <w:r w:rsidRPr="004111BE">
              <w:t>Months</w:t>
            </w:r>
          </w:p>
        </w:tc>
        <w:tc>
          <w:tcPr>
            <w:tcW w:w="1446" w:type="dxa"/>
            <w:shd w:val="clear" w:color="auto" w:fill="auto"/>
          </w:tcPr>
          <w:p w14:paraId="5608C544"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2984A73C"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611060FE" w14:textId="77777777" w:rsidR="00B76A27" w:rsidRPr="004111BE" w:rsidRDefault="00B76A27" w:rsidP="00F3652A">
            <w:pPr>
              <w:autoSpaceDE w:val="0"/>
              <w:autoSpaceDN w:val="0"/>
              <w:adjustRightInd w:val="0"/>
              <w:spacing w:after="0"/>
              <w:ind w:left="567"/>
            </w:pPr>
          </w:p>
        </w:tc>
        <w:tc>
          <w:tcPr>
            <w:tcW w:w="1022" w:type="dxa"/>
          </w:tcPr>
          <w:p w14:paraId="4C65D2F4" w14:textId="77777777" w:rsidR="00B76A27" w:rsidRPr="004111BE" w:rsidRDefault="00B76A27" w:rsidP="00F3652A">
            <w:pPr>
              <w:autoSpaceDE w:val="0"/>
              <w:autoSpaceDN w:val="0"/>
              <w:adjustRightInd w:val="0"/>
              <w:spacing w:after="0"/>
              <w:ind w:left="567"/>
            </w:pPr>
          </w:p>
        </w:tc>
      </w:tr>
      <w:tr w:rsidR="00B76A27" w:rsidRPr="004111BE" w14:paraId="62249EB4" w14:textId="77777777" w:rsidTr="00F3652A">
        <w:tc>
          <w:tcPr>
            <w:tcW w:w="2660" w:type="dxa"/>
            <w:shd w:val="clear" w:color="auto" w:fill="auto"/>
          </w:tcPr>
          <w:p w14:paraId="290F75BE" w14:textId="77777777" w:rsidR="00B76A27" w:rsidRPr="004111BE" w:rsidRDefault="00B76A27" w:rsidP="00F3652A">
            <w:pPr>
              <w:autoSpaceDE w:val="0"/>
              <w:autoSpaceDN w:val="0"/>
              <w:adjustRightInd w:val="0"/>
              <w:spacing w:after="0"/>
              <w:ind w:left="567"/>
            </w:pPr>
          </w:p>
        </w:tc>
        <w:tc>
          <w:tcPr>
            <w:tcW w:w="4282" w:type="dxa"/>
            <w:gridSpan w:val="3"/>
            <w:shd w:val="clear" w:color="auto" w:fill="auto"/>
          </w:tcPr>
          <w:p w14:paraId="5124CE2B" w14:textId="77777777" w:rsidR="00B76A27" w:rsidRPr="004111BE" w:rsidRDefault="00B76A27" w:rsidP="00F3652A">
            <w:pPr>
              <w:autoSpaceDE w:val="0"/>
              <w:autoSpaceDN w:val="0"/>
              <w:adjustRightInd w:val="0"/>
              <w:spacing w:after="0"/>
              <w:ind w:left="62"/>
            </w:pPr>
            <w:r w:rsidRPr="004111BE">
              <w:rPr>
                <w:b/>
              </w:rPr>
              <w:t>Actual Survival</w:t>
            </w:r>
          </w:p>
        </w:tc>
        <w:tc>
          <w:tcPr>
            <w:tcW w:w="1022" w:type="dxa"/>
          </w:tcPr>
          <w:p w14:paraId="0C0620CA" w14:textId="77777777" w:rsidR="00B76A27" w:rsidRPr="004111BE" w:rsidRDefault="00B76A27" w:rsidP="00F3652A">
            <w:pPr>
              <w:autoSpaceDE w:val="0"/>
              <w:autoSpaceDN w:val="0"/>
              <w:adjustRightInd w:val="0"/>
              <w:spacing w:after="0"/>
              <w:ind w:left="567"/>
              <w:rPr>
                <w:b/>
              </w:rPr>
            </w:pPr>
          </w:p>
        </w:tc>
      </w:tr>
      <w:tr w:rsidR="00B76A27" w:rsidRPr="004111BE" w14:paraId="383741C7" w14:textId="77777777" w:rsidTr="00F3652A">
        <w:tc>
          <w:tcPr>
            <w:tcW w:w="2660" w:type="dxa"/>
            <w:shd w:val="clear" w:color="auto" w:fill="auto"/>
          </w:tcPr>
          <w:p w14:paraId="31E93782" w14:textId="77777777" w:rsidR="00B76A27" w:rsidRPr="004111BE" w:rsidRDefault="00B76A27" w:rsidP="00F3652A">
            <w:pPr>
              <w:autoSpaceDE w:val="0"/>
              <w:autoSpaceDN w:val="0"/>
              <w:adjustRightInd w:val="0"/>
              <w:spacing w:after="0"/>
              <w:ind w:left="29"/>
              <w:rPr>
                <w:b/>
              </w:rPr>
            </w:pPr>
            <w:r w:rsidRPr="004111BE">
              <w:rPr>
                <w:b/>
              </w:rPr>
              <w:t>Model Predictions</w:t>
            </w:r>
          </w:p>
        </w:tc>
        <w:tc>
          <w:tcPr>
            <w:tcW w:w="1446" w:type="dxa"/>
            <w:shd w:val="clear" w:color="auto" w:fill="auto"/>
          </w:tcPr>
          <w:p w14:paraId="5B034114" w14:textId="77777777" w:rsidR="00B76A27" w:rsidRPr="004111BE" w:rsidRDefault="00B76A27" w:rsidP="00F3652A">
            <w:pPr>
              <w:autoSpaceDE w:val="0"/>
              <w:autoSpaceDN w:val="0"/>
              <w:adjustRightInd w:val="0"/>
              <w:spacing w:after="0"/>
            </w:pPr>
            <w:r w:rsidRPr="004111BE">
              <w:t>Days</w:t>
            </w:r>
          </w:p>
        </w:tc>
        <w:tc>
          <w:tcPr>
            <w:tcW w:w="1418" w:type="dxa"/>
            <w:shd w:val="clear" w:color="auto" w:fill="auto"/>
          </w:tcPr>
          <w:p w14:paraId="26E487B7" w14:textId="77777777" w:rsidR="00B76A27" w:rsidRPr="004111BE" w:rsidRDefault="00B76A27" w:rsidP="00F3652A">
            <w:pPr>
              <w:autoSpaceDE w:val="0"/>
              <w:autoSpaceDN w:val="0"/>
              <w:adjustRightInd w:val="0"/>
              <w:spacing w:after="0"/>
            </w:pPr>
            <w:r w:rsidRPr="004111BE">
              <w:t>Weeks</w:t>
            </w:r>
          </w:p>
        </w:tc>
        <w:tc>
          <w:tcPr>
            <w:tcW w:w="1418" w:type="dxa"/>
            <w:shd w:val="clear" w:color="auto" w:fill="auto"/>
          </w:tcPr>
          <w:p w14:paraId="28373D17" w14:textId="77777777" w:rsidR="00B76A27" w:rsidRPr="004111BE" w:rsidRDefault="00B76A27" w:rsidP="00F3652A">
            <w:pPr>
              <w:autoSpaceDE w:val="0"/>
              <w:autoSpaceDN w:val="0"/>
              <w:adjustRightInd w:val="0"/>
              <w:spacing w:after="0"/>
            </w:pPr>
            <w:r w:rsidRPr="004111BE">
              <w:t>Months</w:t>
            </w:r>
          </w:p>
        </w:tc>
        <w:tc>
          <w:tcPr>
            <w:tcW w:w="1022" w:type="dxa"/>
          </w:tcPr>
          <w:p w14:paraId="6A2F6B60" w14:textId="77777777" w:rsidR="00B76A27" w:rsidRPr="004111BE" w:rsidRDefault="00B76A27" w:rsidP="00F3652A">
            <w:pPr>
              <w:autoSpaceDE w:val="0"/>
              <w:autoSpaceDN w:val="0"/>
              <w:adjustRightInd w:val="0"/>
              <w:spacing w:after="0"/>
              <w:ind w:left="567"/>
            </w:pPr>
          </w:p>
        </w:tc>
      </w:tr>
      <w:tr w:rsidR="00B76A27" w:rsidRPr="004111BE" w14:paraId="66FC9B73" w14:textId="77777777" w:rsidTr="00F3652A">
        <w:tc>
          <w:tcPr>
            <w:tcW w:w="2660" w:type="dxa"/>
            <w:shd w:val="clear" w:color="auto" w:fill="auto"/>
          </w:tcPr>
          <w:p w14:paraId="3AE34B75" w14:textId="77777777" w:rsidR="00B76A27" w:rsidRPr="004111BE" w:rsidRDefault="00B76A27" w:rsidP="00F3652A">
            <w:pPr>
              <w:autoSpaceDE w:val="0"/>
              <w:autoSpaceDN w:val="0"/>
              <w:adjustRightInd w:val="0"/>
              <w:spacing w:after="0"/>
              <w:ind w:left="567"/>
            </w:pPr>
            <w:r w:rsidRPr="004111BE">
              <w:t>Days</w:t>
            </w:r>
          </w:p>
        </w:tc>
        <w:tc>
          <w:tcPr>
            <w:tcW w:w="1446" w:type="dxa"/>
            <w:shd w:val="clear" w:color="auto" w:fill="auto"/>
          </w:tcPr>
          <w:p w14:paraId="3CD28B04"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742BE52D"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5303EF8D" w14:textId="77777777" w:rsidR="00B76A27" w:rsidRPr="004111BE" w:rsidRDefault="00B76A27" w:rsidP="00F3652A">
            <w:pPr>
              <w:autoSpaceDE w:val="0"/>
              <w:autoSpaceDN w:val="0"/>
              <w:adjustRightInd w:val="0"/>
              <w:spacing w:after="0"/>
              <w:ind w:left="567"/>
            </w:pPr>
          </w:p>
        </w:tc>
        <w:tc>
          <w:tcPr>
            <w:tcW w:w="1022" w:type="dxa"/>
          </w:tcPr>
          <w:p w14:paraId="5909C5F8" w14:textId="77777777" w:rsidR="00B76A27" w:rsidRPr="004111BE" w:rsidRDefault="00B76A27" w:rsidP="00F3652A">
            <w:pPr>
              <w:autoSpaceDE w:val="0"/>
              <w:autoSpaceDN w:val="0"/>
              <w:adjustRightInd w:val="0"/>
              <w:spacing w:after="0"/>
              <w:ind w:left="567"/>
            </w:pPr>
          </w:p>
        </w:tc>
      </w:tr>
      <w:tr w:rsidR="00B76A27" w:rsidRPr="004111BE" w14:paraId="09FE7AEB" w14:textId="77777777" w:rsidTr="00F3652A">
        <w:tc>
          <w:tcPr>
            <w:tcW w:w="2660" w:type="dxa"/>
            <w:shd w:val="clear" w:color="auto" w:fill="auto"/>
          </w:tcPr>
          <w:p w14:paraId="03E47B40" w14:textId="77777777" w:rsidR="00B76A27" w:rsidRPr="004111BE" w:rsidRDefault="00B76A27" w:rsidP="00F3652A">
            <w:pPr>
              <w:autoSpaceDE w:val="0"/>
              <w:autoSpaceDN w:val="0"/>
              <w:adjustRightInd w:val="0"/>
              <w:spacing w:after="0"/>
              <w:ind w:left="567"/>
            </w:pPr>
            <w:r w:rsidRPr="004111BE">
              <w:lastRenderedPageBreak/>
              <w:t>Weeks</w:t>
            </w:r>
          </w:p>
        </w:tc>
        <w:tc>
          <w:tcPr>
            <w:tcW w:w="1446" w:type="dxa"/>
            <w:shd w:val="clear" w:color="auto" w:fill="auto"/>
          </w:tcPr>
          <w:p w14:paraId="6F58EC03"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41631DE9"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127F4000" w14:textId="77777777" w:rsidR="00B76A27" w:rsidRPr="004111BE" w:rsidRDefault="00B76A27" w:rsidP="00F3652A">
            <w:pPr>
              <w:autoSpaceDE w:val="0"/>
              <w:autoSpaceDN w:val="0"/>
              <w:adjustRightInd w:val="0"/>
              <w:spacing w:after="0"/>
              <w:ind w:left="567"/>
            </w:pPr>
          </w:p>
        </w:tc>
        <w:tc>
          <w:tcPr>
            <w:tcW w:w="1022" w:type="dxa"/>
          </w:tcPr>
          <w:p w14:paraId="36C6F700" w14:textId="77777777" w:rsidR="00B76A27" w:rsidRPr="004111BE" w:rsidRDefault="00B76A27" w:rsidP="00F3652A">
            <w:pPr>
              <w:autoSpaceDE w:val="0"/>
              <w:autoSpaceDN w:val="0"/>
              <w:adjustRightInd w:val="0"/>
              <w:spacing w:after="0"/>
              <w:ind w:left="567"/>
            </w:pPr>
          </w:p>
        </w:tc>
      </w:tr>
      <w:tr w:rsidR="00B76A27" w:rsidRPr="004111BE" w14:paraId="0AB68850" w14:textId="77777777" w:rsidTr="00F3652A">
        <w:tc>
          <w:tcPr>
            <w:tcW w:w="2660" w:type="dxa"/>
            <w:shd w:val="clear" w:color="auto" w:fill="auto"/>
          </w:tcPr>
          <w:p w14:paraId="02BE3A87" w14:textId="77777777" w:rsidR="00B76A27" w:rsidRPr="004111BE" w:rsidRDefault="00B76A27" w:rsidP="00F3652A">
            <w:pPr>
              <w:autoSpaceDE w:val="0"/>
              <w:autoSpaceDN w:val="0"/>
              <w:adjustRightInd w:val="0"/>
              <w:spacing w:after="0"/>
              <w:ind w:left="567"/>
            </w:pPr>
            <w:r w:rsidRPr="004111BE">
              <w:t>Months</w:t>
            </w:r>
          </w:p>
        </w:tc>
        <w:tc>
          <w:tcPr>
            <w:tcW w:w="1446" w:type="dxa"/>
            <w:shd w:val="clear" w:color="auto" w:fill="auto"/>
          </w:tcPr>
          <w:p w14:paraId="56D80683"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387EB5A5"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700B548E" w14:textId="77777777" w:rsidR="00B76A27" w:rsidRPr="004111BE" w:rsidRDefault="00B76A27" w:rsidP="00F3652A">
            <w:pPr>
              <w:autoSpaceDE w:val="0"/>
              <w:autoSpaceDN w:val="0"/>
              <w:adjustRightInd w:val="0"/>
              <w:spacing w:after="0"/>
              <w:ind w:left="567"/>
            </w:pPr>
          </w:p>
        </w:tc>
        <w:tc>
          <w:tcPr>
            <w:tcW w:w="1022" w:type="dxa"/>
          </w:tcPr>
          <w:p w14:paraId="7DB7AEB6" w14:textId="77777777" w:rsidR="00B76A27" w:rsidRPr="004111BE" w:rsidRDefault="00B76A27" w:rsidP="00F3652A">
            <w:pPr>
              <w:autoSpaceDE w:val="0"/>
              <w:autoSpaceDN w:val="0"/>
              <w:adjustRightInd w:val="0"/>
              <w:spacing w:after="0"/>
              <w:ind w:left="567"/>
            </w:pPr>
          </w:p>
        </w:tc>
      </w:tr>
      <w:tr w:rsidR="00B76A27" w:rsidRPr="004111BE" w14:paraId="20A027E0" w14:textId="77777777" w:rsidTr="00F3652A">
        <w:tc>
          <w:tcPr>
            <w:tcW w:w="2660" w:type="dxa"/>
            <w:shd w:val="clear" w:color="auto" w:fill="auto"/>
          </w:tcPr>
          <w:p w14:paraId="179812D9" w14:textId="77777777" w:rsidR="00B76A27" w:rsidRPr="004111BE" w:rsidRDefault="00B76A27" w:rsidP="00F3652A">
            <w:pPr>
              <w:autoSpaceDE w:val="0"/>
              <w:autoSpaceDN w:val="0"/>
              <w:adjustRightInd w:val="0"/>
              <w:spacing w:after="0"/>
              <w:ind w:left="567"/>
            </w:pPr>
          </w:p>
        </w:tc>
        <w:tc>
          <w:tcPr>
            <w:tcW w:w="1446" w:type="dxa"/>
            <w:shd w:val="clear" w:color="auto" w:fill="auto"/>
          </w:tcPr>
          <w:p w14:paraId="4017C1A2"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6A6C4388" w14:textId="77777777" w:rsidR="00B76A27" w:rsidRPr="004111BE" w:rsidRDefault="00B76A27" w:rsidP="00F3652A">
            <w:pPr>
              <w:autoSpaceDE w:val="0"/>
              <w:autoSpaceDN w:val="0"/>
              <w:adjustRightInd w:val="0"/>
              <w:spacing w:after="0"/>
              <w:ind w:left="567"/>
              <w:rPr>
                <w:rStyle w:val="CommentReference"/>
              </w:rPr>
            </w:pPr>
          </w:p>
        </w:tc>
        <w:tc>
          <w:tcPr>
            <w:tcW w:w="1418" w:type="dxa"/>
            <w:shd w:val="clear" w:color="auto" w:fill="auto"/>
          </w:tcPr>
          <w:p w14:paraId="5667B6E2" w14:textId="77777777" w:rsidR="00B76A27" w:rsidRPr="004111BE" w:rsidRDefault="00B76A27" w:rsidP="00F3652A">
            <w:pPr>
              <w:autoSpaceDE w:val="0"/>
              <w:autoSpaceDN w:val="0"/>
              <w:adjustRightInd w:val="0"/>
              <w:spacing w:after="0"/>
              <w:ind w:left="567"/>
            </w:pPr>
          </w:p>
        </w:tc>
        <w:tc>
          <w:tcPr>
            <w:tcW w:w="1022" w:type="dxa"/>
          </w:tcPr>
          <w:p w14:paraId="63DFED51" w14:textId="77777777" w:rsidR="00B76A27" w:rsidRPr="004111BE" w:rsidRDefault="00B76A27" w:rsidP="00F3652A">
            <w:pPr>
              <w:autoSpaceDE w:val="0"/>
              <w:autoSpaceDN w:val="0"/>
              <w:adjustRightInd w:val="0"/>
              <w:spacing w:after="0"/>
              <w:ind w:left="567"/>
            </w:pPr>
          </w:p>
        </w:tc>
      </w:tr>
      <w:tr w:rsidR="00B76A27" w:rsidRPr="004111BE" w14:paraId="2AECD92F" w14:textId="77777777" w:rsidTr="00F3652A">
        <w:tc>
          <w:tcPr>
            <w:tcW w:w="2660" w:type="dxa"/>
            <w:shd w:val="clear" w:color="auto" w:fill="auto"/>
          </w:tcPr>
          <w:p w14:paraId="3B2681FC" w14:textId="77777777" w:rsidR="00B76A27" w:rsidRPr="004111BE" w:rsidRDefault="00B76A27" w:rsidP="00F3652A">
            <w:pPr>
              <w:autoSpaceDE w:val="0"/>
              <w:autoSpaceDN w:val="0"/>
              <w:adjustRightInd w:val="0"/>
              <w:spacing w:after="0"/>
              <w:rPr>
                <w:b/>
              </w:rPr>
            </w:pPr>
            <w:r w:rsidRPr="004111BE">
              <w:rPr>
                <w:b/>
              </w:rPr>
              <w:t>Total</w:t>
            </w:r>
          </w:p>
        </w:tc>
        <w:tc>
          <w:tcPr>
            <w:tcW w:w="1446" w:type="dxa"/>
            <w:shd w:val="clear" w:color="auto" w:fill="auto"/>
          </w:tcPr>
          <w:p w14:paraId="4F557092" w14:textId="77777777" w:rsidR="00B76A27" w:rsidRPr="004111BE" w:rsidRDefault="00B76A27" w:rsidP="00F3652A">
            <w:pPr>
              <w:autoSpaceDE w:val="0"/>
              <w:autoSpaceDN w:val="0"/>
              <w:adjustRightInd w:val="0"/>
              <w:spacing w:after="0"/>
              <w:ind w:left="567"/>
            </w:pPr>
          </w:p>
        </w:tc>
        <w:tc>
          <w:tcPr>
            <w:tcW w:w="1418" w:type="dxa"/>
            <w:shd w:val="clear" w:color="auto" w:fill="auto"/>
          </w:tcPr>
          <w:p w14:paraId="1BCC6A95" w14:textId="77777777" w:rsidR="00B76A27" w:rsidRPr="004111BE" w:rsidRDefault="00B76A27" w:rsidP="00F3652A">
            <w:pPr>
              <w:autoSpaceDE w:val="0"/>
              <w:autoSpaceDN w:val="0"/>
              <w:adjustRightInd w:val="0"/>
              <w:spacing w:after="0"/>
              <w:ind w:left="567"/>
              <w:rPr>
                <w:rStyle w:val="CommentReference"/>
              </w:rPr>
            </w:pPr>
          </w:p>
        </w:tc>
        <w:tc>
          <w:tcPr>
            <w:tcW w:w="1418" w:type="dxa"/>
            <w:shd w:val="clear" w:color="auto" w:fill="auto"/>
          </w:tcPr>
          <w:p w14:paraId="0C218BEE" w14:textId="77777777" w:rsidR="00B76A27" w:rsidRPr="004111BE" w:rsidRDefault="00B76A27" w:rsidP="00F3652A">
            <w:pPr>
              <w:autoSpaceDE w:val="0"/>
              <w:autoSpaceDN w:val="0"/>
              <w:adjustRightInd w:val="0"/>
              <w:spacing w:after="0"/>
              <w:ind w:left="567"/>
            </w:pPr>
          </w:p>
        </w:tc>
        <w:tc>
          <w:tcPr>
            <w:tcW w:w="1022" w:type="dxa"/>
          </w:tcPr>
          <w:p w14:paraId="7E01ECF8" w14:textId="77777777" w:rsidR="00B76A27" w:rsidRPr="004111BE" w:rsidRDefault="00B76A27" w:rsidP="00F3652A">
            <w:pPr>
              <w:autoSpaceDE w:val="0"/>
              <w:autoSpaceDN w:val="0"/>
              <w:adjustRightInd w:val="0"/>
              <w:spacing w:after="0"/>
              <w:ind w:left="567"/>
            </w:pPr>
          </w:p>
        </w:tc>
      </w:tr>
    </w:tbl>
    <w:p w14:paraId="5B54B9E9" w14:textId="77777777" w:rsidR="00B76A27" w:rsidRPr="004111BE" w:rsidRDefault="00B76A27" w:rsidP="00B76A27">
      <w:pPr>
        <w:autoSpaceDE w:val="0"/>
        <w:autoSpaceDN w:val="0"/>
        <w:adjustRightInd w:val="0"/>
        <w:spacing w:after="0"/>
        <w:ind w:left="567"/>
      </w:pPr>
    </w:p>
    <w:p w14:paraId="5C6D17AE" w14:textId="77777777" w:rsidR="00B76A27" w:rsidRPr="004111BE" w:rsidRDefault="00B76A27" w:rsidP="00B76A27">
      <w:pPr>
        <w:autoSpaceDE w:val="0"/>
        <w:autoSpaceDN w:val="0"/>
        <w:adjustRightInd w:val="0"/>
      </w:pPr>
      <w:r w:rsidRPr="004111BE">
        <w:t xml:space="preserve">Linear weighted κ will be also used to compare the performance of the clinicians with that of the models. If appropriate we will also consider using the net reclassification index (NRI) as part of this secondary analysis to compare clinician and model predictions, noting that NRI needs to be used with caution, particularly when there are three or more risk categories [4-7]. </w:t>
      </w:r>
    </w:p>
    <w:p w14:paraId="60324799" w14:textId="77777777" w:rsidR="00B76A27" w:rsidRPr="004111BE" w:rsidRDefault="00B76A27" w:rsidP="00B76A27">
      <w:pPr>
        <w:rPr>
          <w:rFonts w:cs="Arial"/>
        </w:rPr>
      </w:pPr>
      <w:r w:rsidRPr="004111BE">
        <w:t>As part of the secondary analyses, the other risk models (</w:t>
      </w:r>
      <w:r w:rsidRPr="004111BE">
        <w:rPr>
          <w:lang w:val="en-US"/>
        </w:rPr>
        <w:t xml:space="preserve">PaP, FPN, PPI and PPS) will also be validated. </w:t>
      </w:r>
      <w:r w:rsidRPr="004111BE">
        <w:t>The calibration of these prognostic models will be assessed using the calibration slope [2] based on a logistic model for binary outcomes and Cox model for survival outcomes [8]. Graphical comparisons of the observed and predicted risks for clinically relevant patient risk groups will also be made. Clinically relevant time points will be used for comparisons for survival outcomes. Model discrimination will be assessed using the C-statistic for binary outcomes and C-index for survival outcomes [7].  The predictions made by the other prognostic models under evaluation in this project will also be compared with the corresponding observed outcomes and clinician predictions (where available). Potential missing data in predictor values will be handled as described.</w:t>
      </w:r>
    </w:p>
    <w:p w14:paraId="03F1AD2D" w14:textId="77777777" w:rsidR="00B76A27" w:rsidRPr="004111BE" w:rsidRDefault="00B76A27" w:rsidP="00B76A27">
      <w:pPr>
        <w:pStyle w:val="Heading2"/>
        <w:numPr>
          <w:ilvl w:val="1"/>
          <w:numId w:val="1"/>
        </w:numPr>
        <w:spacing w:after="120"/>
        <w:ind w:left="993"/>
        <w:jc w:val="both"/>
        <w:rPr>
          <w:rFonts w:asciiTheme="minorHAnsi" w:hAnsiTheme="minorHAnsi"/>
          <w:sz w:val="22"/>
          <w:szCs w:val="22"/>
        </w:rPr>
      </w:pPr>
      <w:bookmarkStart w:id="17" w:name="_Toc448832581"/>
      <w:bookmarkStart w:id="18" w:name="_Toc529967105"/>
      <w:r w:rsidRPr="004111BE">
        <w:rPr>
          <w:rFonts w:asciiTheme="minorHAnsi" w:hAnsiTheme="minorHAnsi"/>
          <w:sz w:val="22"/>
          <w:szCs w:val="22"/>
        </w:rPr>
        <w:t>Sensitivity and other planned analyses</w:t>
      </w:r>
      <w:bookmarkEnd w:id="17"/>
      <w:bookmarkEnd w:id="18"/>
    </w:p>
    <w:p w14:paraId="698D3CBC" w14:textId="77777777" w:rsidR="00B76A27" w:rsidRDefault="00B76A27" w:rsidP="00B76A27">
      <w:r w:rsidRPr="004111BE">
        <w:t xml:space="preserve">Characteristics of patients with missing data will be compared with those with complete information to investigate any bias. </w:t>
      </w:r>
      <w:bookmarkEnd w:id="2"/>
    </w:p>
    <w:p w14:paraId="6A5FEAA3" w14:textId="77777777" w:rsidR="00B76A27" w:rsidRPr="004111BE" w:rsidRDefault="00B76A27" w:rsidP="00B76A27">
      <w:r>
        <w:rPr>
          <w:rFonts w:cs="Arial"/>
        </w:rPr>
        <w:t xml:space="preserve">We will also assess the model performance of the </w:t>
      </w:r>
      <w:r w:rsidRPr="00E23ED9">
        <w:rPr>
          <w:rFonts w:cs="Arial"/>
        </w:rPr>
        <w:t>Glasgow Prognositc Score, GPS</w:t>
      </w:r>
      <w:r>
        <w:rPr>
          <w:rFonts w:cs="Arial"/>
        </w:rPr>
        <w:t>. The GPS categorises patients into three groups depending on prognosis (‘GPS0’, ‘GPS1’ and ‘GPS2’)</w:t>
      </w:r>
      <w:r w:rsidRPr="00E23ED9">
        <w:rPr>
          <w:rFonts w:cs="Arial"/>
        </w:rPr>
        <w:t>.</w:t>
      </w:r>
      <w:r>
        <w:rPr>
          <w:rFonts w:cs="Arial"/>
        </w:rPr>
        <w:t xml:space="preserve"> Similar analyses will performed as those used for the secondary outcome measures.</w:t>
      </w:r>
    </w:p>
    <w:p w14:paraId="7CB95018" w14:textId="77777777" w:rsidR="00B76A27" w:rsidRPr="004111BE" w:rsidRDefault="00B76A27" w:rsidP="00B76A27">
      <w:pPr>
        <w:pStyle w:val="Heading1"/>
        <w:numPr>
          <w:ilvl w:val="0"/>
          <w:numId w:val="1"/>
        </w:numPr>
        <w:jc w:val="both"/>
        <w:rPr>
          <w:sz w:val="22"/>
          <w:szCs w:val="22"/>
        </w:rPr>
      </w:pPr>
      <w:bookmarkStart w:id="19" w:name="_Toc529967106"/>
      <w:r w:rsidRPr="004111BE">
        <w:rPr>
          <w:sz w:val="22"/>
          <w:szCs w:val="22"/>
        </w:rPr>
        <w:t>Software</w:t>
      </w:r>
      <w:bookmarkEnd w:id="19"/>
    </w:p>
    <w:p w14:paraId="6C42A399" w14:textId="77777777" w:rsidR="00B76A27" w:rsidRPr="004111BE" w:rsidRDefault="00B76A27" w:rsidP="00B76A27">
      <w:pPr>
        <w:jc w:val="both"/>
      </w:pPr>
      <w:r w:rsidRPr="004111BE">
        <w:t>The statisticians will download the data from the study specific online database provided by Sealed Envelope into a format suitable for Stata. All the statistical analysis will be performed using Stata version 14 (or above).</w:t>
      </w:r>
    </w:p>
    <w:p w14:paraId="538B2096" w14:textId="77777777" w:rsidR="00B76A27" w:rsidRPr="004111BE" w:rsidRDefault="00B76A27" w:rsidP="00B76A27">
      <w:pPr>
        <w:pStyle w:val="Heading1"/>
        <w:numPr>
          <w:ilvl w:val="0"/>
          <w:numId w:val="1"/>
        </w:numPr>
        <w:jc w:val="both"/>
        <w:rPr>
          <w:sz w:val="22"/>
          <w:szCs w:val="22"/>
        </w:rPr>
      </w:pPr>
      <w:bookmarkStart w:id="20" w:name="_Toc529967107"/>
      <w:r w:rsidRPr="004111BE">
        <w:rPr>
          <w:sz w:val="22"/>
          <w:szCs w:val="22"/>
        </w:rPr>
        <w:t>References</w:t>
      </w:r>
      <w:bookmarkEnd w:id="20"/>
    </w:p>
    <w:p w14:paraId="1B6E0C03"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Gwilliam, B., et al., </w:t>
      </w:r>
      <w:r w:rsidRPr="004111BE">
        <w:rPr>
          <w:rFonts w:asciiTheme="minorHAnsi" w:hAnsiTheme="minorHAnsi"/>
          <w:i/>
          <w:sz w:val="22"/>
          <w:szCs w:val="22"/>
        </w:rPr>
        <w:t>Development of prognosis in palliative care study (PiPS) predictor models to improve prognostication in advanced cancer: prospective cohort study.</w:t>
      </w:r>
      <w:r w:rsidRPr="004111BE">
        <w:rPr>
          <w:rFonts w:asciiTheme="minorHAnsi" w:hAnsiTheme="minorHAnsi"/>
          <w:sz w:val="22"/>
          <w:szCs w:val="22"/>
        </w:rPr>
        <w:t xml:space="preserve"> BMJ, 2011. </w:t>
      </w:r>
      <w:r w:rsidRPr="004111BE">
        <w:rPr>
          <w:rFonts w:asciiTheme="minorHAnsi" w:hAnsiTheme="minorHAnsi"/>
          <w:b/>
          <w:sz w:val="22"/>
          <w:szCs w:val="22"/>
        </w:rPr>
        <w:t>343</w:t>
      </w:r>
      <w:r w:rsidRPr="004111BE">
        <w:rPr>
          <w:rFonts w:asciiTheme="minorHAnsi" w:hAnsiTheme="minorHAnsi"/>
          <w:sz w:val="22"/>
          <w:szCs w:val="22"/>
        </w:rPr>
        <w:t>: p. d4920.</w:t>
      </w:r>
    </w:p>
    <w:p w14:paraId="67CF89AF"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Miller, M., et al., </w:t>
      </w:r>
      <w:r w:rsidRPr="004111BE">
        <w:rPr>
          <w:rFonts w:asciiTheme="minorHAnsi" w:hAnsiTheme="minorHAnsi"/>
          <w:i/>
          <w:sz w:val="22"/>
          <w:szCs w:val="22"/>
        </w:rPr>
        <w:t>Validation of probabilistic predictions.</w:t>
      </w:r>
      <w:r w:rsidRPr="004111BE">
        <w:rPr>
          <w:rFonts w:asciiTheme="minorHAnsi" w:hAnsiTheme="minorHAnsi"/>
          <w:sz w:val="22"/>
          <w:szCs w:val="22"/>
        </w:rPr>
        <w:t xml:space="preserve"> Med Decis Making, 1993(Jan-Mar; 13(1)): p. 49-58.</w:t>
      </w:r>
    </w:p>
    <w:p w14:paraId="1FE1DA10"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Van Oirbeek, R. and E. Lesaffre, </w:t>
      </w:r>
      <w:r w:rsidRPr="004111BE">
        <w:rPr>
          <w:rFonts w:asciiTheme="minorHAnsi" w:hAnsiTheme="minorHAnsi"/>
          <w:i/>
          <w:sz w:val="22"/>
          <w:szCs w:val="22"/>
        </w:rPr>
        <w:t>An application of Harrell's C-index to PH frailty models. .</w:t>
      </w:r>
      <w:r w:rsidRPr="004111BE">
        <w:rPr>
          <w:rFonts w:asciiTheme="minorHAnsi" w:hAnsiTheme="minorHAnsi"/>
          <w:sz w:val="22"/>
          <w:szCs w:val="22"/>
        </w:rPr>
        <w:t xml:space="preserve"> Stat Med, 2010. </w:t>
      </w:r>
      <w:r w:rsidRPr="004111BE">
        <w:rPr>
          <w:rFonts w:asciiTheme="minorHAnsi" w:hAnsiTheme="minorHAnsi"/>
          <w:b/>
          <w:sz w:val="22"/>
          <w:szCs w:val="22"/>
        </w:rPr>
        <w:t>29</w:t>
      </w:r>
      <w:r w:rsidRPr="004111BE">
        <w:rPr>
          <w:rFonts w:asciiTheme="minorHAnsi" w:hAnsiTheme="minorHAnsi"/>
          <w:sz w:val="22"/>
          <w:szCs w:val="22"/>
        </w:rPr>
        <w:t>(30): p. 3160-71.</w:t>
      </w:r>
    </w:p>
    <w:p w14:paraId="36776956"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Leening, M.J., et al., </w:t>
      </w:r>
      <w:r w:rsidRPr="004111BE">
        <w:rPr>
          <w:rFonts w:asciiTheme="minorHAnsi" w:hAnsiTheme="minorHAnsi"/>
          <w:i/>
          <w:sz w:val="22"/>
          <w:szCs w:val="22"/>
        </w:rPr>
        <w:t>Net reclassification improvement and integrated discrimination improvement require calibrated models: relevance from a marker and model perspective.</w:t>
      </w:r>
      <w:r w:rsidRPr="004111BE">
        <w:rPr>
          <w:rFonts w:asciiTheme="minorHAnsi" w:hAnsiTheme="minorHAnsi"/>
          <w:sz w:val="22"/>
          <w:szCs w:val="22"/>
        </w:rPr>
        <w:t xml:space="preserve"> Statistics in Medicine, 2014. </w:t>
      </w:r>
      <w:r w:rsidRPr="004111BE">
        <w:rPr>
          <w:rFonts w:asciiTheme="minorHAnsi" w:hAnsiTheme="minorHAnsi"/>
          <w:b/>
          <w:sz w:val="22"/>
          <w:szCs w:val="22"/>
        </w:rPr>
        <w:t>33</w:t>
      </w:r>
      <w:r w:rsidRPr="004111BE">
        <w:rPr>
          <w:rFonts w:asciiTheme="minorHAnsi" w:hAnsiTheme="minorHAnsi"/>
          <w:sz w:val="22"/>
          <w:szCs w:val="22"/>
        </w:rPr>
        <w:t>(19): p. 3415-8.</w:t>
      </w:r>
    </w:p>
    <w:p w14:paraId="1E10D3B3"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lastRenderedPageBreak/>
        <w:t xml:space="preserve">Pencina, K.M., M.J. Pencina, and R.B. D'Agostino, Sr., </w:t>
      </w:r>
      <w:r w:rsidRPr="004111BE">
        <w:rPr>
          <w:rFonts w:asciiTheme="minorHAnsi" w:hAnsiTheme="minorHAnsi"/>
          <w:i/>
          <w:sz w:val="22"/>
          <w:szCs w:val="22"/>
        </w:rPr>
        <w:t>What to expect from net reclassification improvement with three categories.</w:t>
      </w:r>
      <w:r w:rsidRPr="004111BE">
        <w:rPr>
          <w:rFonts w:asciiTheme="minorHAnsi" w:hAnsiTheme="minorHAnsi"/>
          <w:sz w:val="22"/>
          <w:szCs w:val="22"/>
        </w:rPr>
        <w:t xml:space="preserve"> Statistics in Medicine, 2014. </w:t>
      </w:r>
      <w:r w:rsidRPr="004111BE">
        <w:rPr>
          <w:rFonts w:asciiTheme="minorHAnsi" w:hAnsiTheme="minorHAnsi"/>
          <w:b/>
          <w:sz w:val="22"/>
          <w:szCs w:val="22"/>
        </w:rPr>
        <w:t>33</w:t>
      </w:r>
      <w:r w:rsidRPr="004111BE">
        <w:rPr>
          <w:rFonts w:asciiTheme="minorHAnsi" w:hAnsiTheme="minorHAnsi"/>
          <w:sz w:val="22"/>
          <w:szCs w:val="22"/>
        </w:rPr>
        <w:t>(28): p. 4975-87.</w:t>
      </w:r>
    </w:p>
    <w:p w14:paraId="06962A23"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Kerr, K.F., et al., </w:t>
      </w:r>
      <w:r w:rsidRPr="004111BE">
        <w:rPr>
          <w:rFonts w:asciiTheme="minorHAnsi" w:hAnsiTheme="minorHAnsi"/>
          <w:i/>
          <w:sz w:val="22"/>
          <w:szCs w:val="22"/>
        </w:rPr>
        <w:t>Net reclassification indices for evaluating risk prediction instruments: a critical review.</w:t>
      </w:r>
      <w:r w:rsidRPr="004111BE">
        <w:rPr>
          <w:rFonts w:asciiTheme="minorHAnsi" w:hAnsiTheme="minorHAnsi"/>
          <w:sz w:val="22"/>
          <w:szCs w:val="22"/>
        </w:rPr>
        <w:t xml:space="preserve"> Epidemiology, 2014. </w:t>
      </w:r>
      <w:r w:rsidRPr="004111BE">
        <w:rPr>
          <w:rFonts w:asciiTheme="minorHAnsi" w:hAnsiTheme="minorHAnsi"/>
          <w:b/>
          <w:sz w:val="22"/>
          <w:szCs w:val="22"/>
        </w:rPr>
        <w:t>25</w:t>
      </w:r>
      <w:r w:rsidRPr="004111BE">
        <w:rPr>
          <w:rFonts w:asciiTheme="minorHAnsi" w:hAnsiTheme="minorHAnsi"/>
          <w:sz w:val="22"/>
          <w:szCs w:val="22"/>
        </w:rPr>
        <w:t>(1): p. 114-21.</w:t>
      </w:r>
    </w:p>
    <w:p w14:paraId="49DB255B"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Steyerberg, E., et al., </w:t>
      </w:r>
      <w:r w:rsidRPr="004111BE">
        <w:rPr>
          <w:rFonts w:asciiTheme="minorHAnsi" w:hAnsiTheme="minorHAnsi"/>
          <w:i/>
          <w:sz w:val="22"/>
          <w:szCs w:val="22"/>
        </w:rPr>
        <w:t>Assessing the performance of prediction models: a framework for some traditional and novel measures.</w:t>
      </w:r>
      <w:r w:rsidRPr="004111BE">
        <w:rPr>
          <w:rFonts w:asciiTheme="minorHAnsi" w:hAnsiTheme="minorHAnsi"/>
          <w:sz w:val="22"/>
          <w:szCs w:val="22"/>
        </w:rPr>
        <w:t xml:space="preserve"> Epidemiology, 2010. </w:t>
      </w:r>
      <w:r w:rsidRPr="004111BE">
        <w:rPr>
          <w:rFonts w:asciiTheme="minorHAnsi" w:hAnsiTheme="minorHAnsi"/>
          <w:b/>
          <w:sz w:val="22"/>
          <w:szCs w:val="22"/>
        </w:rPr>
        <w:t>21</w:t>
      </w:r>
      <w:r w:rsidRPr="004111BE">
        <w:rPr>
          <w:rFonts w:asciiTheme="minorHAnsi" w:hAnsiTheme="minorHAnsi"/>
          <w:sz w:val="22"/>
          <w:szCs w:val="22"/>
        </w:rPr>
        <w:t>(1): p. 128-138.</w:t>
      </w:r>
    </w:p>
    <w:p w14:paraId="7734E713"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Theme="minorHAnsi" w:hAnsiTheme="minorHAnsi"/>
          <w:sz w:val="22"/>
          <w:szCs w:val="22"/>
        </w:rPr>
        <w:t xml:space="preserve">Steyerberg, E., </w:t>
      </w:r>
      <w:r w:rsidRPr="004111BE">
        <w:rPr>
          <w:rFonts w:asciiTheme="minorHAnsi" w:hAnsiTheme="minorHAnsi"/>
          <w:i/>
          <w:sz w:val="22"/>
          <w:szCs w:val="22"/>
        </w:rPr>
        <w:t xml:space="preserve">Clinical Prediction Models. A practical Approach to development, validation and updating. </w:t>
      </w:r>
      <w:r w:rsidRPr="004111BE">
        <w:rPr>
          <w:rFonts w:asciiTheme="minorHAnsi" w:hAnsiTheme="minorHAnsi"/>
          <w:sz w:val="22"/>
          <w:szCs w:val="22"/>
        </w:rPr>
        <w:t>. 2009, Rotterdam: Springer.</w:t>
      </w:r>
    </w:p>
    <w:p w14:paraId="4391CDFF"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Arial" w:hAnsi="Arial" w:cs="Arial"/>
          <w:sz w:val="20"/>
          <w:szCs w:val="20"/>
          <w:shd w:val="clear" w:color="auto" w:fill="FFFFFF"/>
        </w:rPr>
        <w:t xml:space="preserve">Wood AM, Royston P, White IR. </w:t>
      </w:r>
      <w:r w:rsidRPr="004111BE">
        <w:rPr>
          <w:rFonts w:ascii="Arial" w:hAnsi="Arial" w:cs="Arial"/>
          <w:i/>
          <w:sz w:val="20"/>
          <w:szCs w:val="20"/>
          <w:shd w:val="clear" w:color="auto" w:fill="FFFFFF"/>
        </w:rPr>
        <w:t>The estimation and use of predictions for the assessment of model performance using large samples with multiply imputed data</w:t>
      </w:r>
      <w:r w:rsidRPr="004111BE">
        <w:rPr>
          <w:rFonts w:ascii="Arial" w:hAnsi="Arial" w:cs="Arial"/>
          <w:sz w:val="20"/>
          <w:szCs w:val="20"/>
          <w:shd w:val="clear" w:color="auto" w:fill="FFFFFF"/>
        </w:rPr>
        <w:t>. Biometrical Journal. 2015 Jul 1;57(4):614-32</w:t>
      </w:r>
    </w:p>
    <w:p w14:paraId="4B98807C" w14:textId="77777777" w:rsidR="00B76A27" w:rsidRPr="004111BE" w:rsidRDefault="00B76A27" w:rsidP="00B76A27">
      <w:pPr>
        <w:pStyle w:val="EndNoteBibliography"/>
        <w:numPr>
          <w:ilvl w:val="0"/>
          <w:numId w:val="5"/>
        </w:numPr>
        <w:rPr>
          <w:rFonts w:asciiTheme="minorHAnsi" w:hAnsiTheme="minorHAnsi"/>
          <w:sz w:val="22"/>
          <w:szCs w:val="22"/>
        </w:rPr>
      </w:pPr>
      <w:r w:rsidRPr="004111BE">
        <w:rPr>
          <w:rFonts w:ascii="Arial" w:hAnsi="Arial" w:cs="Arial"/>
          <w:sz w:val="20"/>
          <w:szCs w:val="20"/>
          <w:shd w:val="clear" w:color="auto" w:fill="FFFFFF"/>
        </w:rPr>
        <w:t>.</w:t>
      </w:r>
      <w:r w:rsidRPr="004111BE">
        <w:rPr>
          <w:rFonts w:asciiTheme="minorHAnsi" w:hAnsiTheme="minorHAnsi"/>
          <w:sz w:val="22"/>
          <w:szCs w:val="22"/>
        </w:rPr>
        <w:t xml:space="preserve">White, I., P. Royston, and A. Wood, </w:t>
      </w:r>
      <w:r w:rsidRPr="004111BE">
        <w:rPr>
          <w:rFonts w:asciiTheme="minorHAnsi" w:hAnsiTheme="minorHAnsi"/>
          <w:i/>
          <w:sz w:val="22"/>
          <w:szCs w:val="22"/>
        </w:rPr>
        <w:t>Multiple imputation using chained equations: Issues and guidance for practice.</w:t>
      </w:r>
      <w:r w:rsidRPr="004111BE">
        <w:rPr>
          <w:rFonts w:asciiTheme="minorHAnsi" w:hAnsiTheme="minorHAnsi"/>
          <w:sz w:val="22"/>
          <w:szCs w:val="22"/>
        </w:rPr>
        <w:t xml:space="preserve"> Statistics in Medicine, 2011 </w:t>
      </w:r>
      <w:r w:rsidRPr="004111BE">
        <w:rPr>
          <w:rFonts w:asciiTheme="minorHAnsi" w:hAnsiTheme="minorHAnsi"/>
          <w:b/>
          <w:sz w:val="22"/>
          <w:szCs w:val="22"/>
        </w:rPr>
        <w:t>30</w:t>
      </w:r>
      <w:r w:rsidRPr="004111BE">
        <w:rPr>
          <w:rFonts w:asciiTheme="minorHAnsi" w:hAnsiTheme="minorHAnsi"/>
          <w:sz w:val="22"/>
          <w:szCs w:val="22"/>
        </w:rPr>
        <w:t>: p. 377 - 399.</w:t>
      </w:r>
    </w:p>
    <w:p w14:paraId="3485EE83" w14:textId="77777777" w:rsidR="00B76A27" w:rsidRDefault="00B76A27" w:rsidP="00B76A27">
      <w:r>
        <w:br w:type="page"/>
      </w:r>
    </w:p>
    <w:p w14:paraId="111BECC9" w14:textId="77777777" w:rsidR="00B76A27" w:rsidRPr="00DF2512" w:rsidRDefault="00B76A27" w:rsidP="00B76A27">
      <w:pPr>
        <w:autoSpaceDE w:val="0"/>
        <w:autoSpaceDN w:val="0"/>
        <w:adjustRightInd w:val="0"/>
        <w:spacing w:after="0"/>
        <w:jc w:val="both"/>
        <w:rPr>
          <w:b/>
          <w:sz w:val="24"/>
        </w:rPr>
      </w:pPr>
      <w:r w:rsidRPr="00DF2512">
        <w:rPr>
          <w:b/>
          <w:sz w:val="24"/>
        </w:rPr>
        <w:lastRenderedPageBreak/>
        <w:t>Appendix</w:t>
      </w:r>
    </w:p>
    <w:p w14:paraId="7757A2A6" w14:textId="77777777" w:rsidR="00B76A27" w:rsidRDefault="00B76A27" w:rsidP="00B76A27">
      <w:pPr>
        <w:autoSpaceDE w:val="0"/>
        <w:autoSpaceDN w:val="0"/>
        <w:adjustRightInd w:val="0"/>
        <w:spacing w:after="0"/>
        <w:jc w:val="both"/>
      </w:pPr>
    </w:p>
    <w:p w14:paraId="7807AD04" w14:textId="77777777" w:rsidR="00B76A27" w:rsidRDefault="00B76A27" w:rsidP="00B76A27">
      <w:pPr>
        <w:autoSpaceDE w:val="0"/>
        <w:autoSpaceDN w:val="0"/>
        <w:adjustRightInd w:val="0"/>
        <w:spacing w:after="0"/>
        <w:jc w:val="both"/>
      </w:pPr>
      <w:r w:rsidRPr="004111BE">
        <w:t>For both PiPS-A and PiPS-B, two separate models have been developed to predict the two week (14 day) and two month (56 day) survival of patients (thus generating three prognostic categories; less than two weeks, two weeks to two months and greater than two months). The week and month models include different sets of predictors. For both models (weeks and months), if the predicted probability of the event exceeded 50% for a patient, then the patient was classified to have the event. Otherwise, it was assumed that the patient did not have the event. Thus if, for example, the models predicted that a patient would survive two weeks, but predicted that the patient would die within two months, then the PiPS model outcome would be that the patient was predicted to die in “weeks”.</w:t>
      </w:r>
    </w:p>
    <w:p w14:paraId="67BA388F" w14:textId="77777777" w:rsidR="009335F9" w:rsidRDefault="009335F9" w:rsidP="00B76A27">
      <w:pPr>
        <w:autoSpaceDE w:val="0"/>
        <w:autoSpaceDN w:val="0"/>
        <w:adjustRightInd w:val="0"/>
        <w:spacing w:after="0"/>
        <w:jc w:val="both"/>
      </w:pPr>
    </w:p>
    <w:p w14:paraId="7B45DB39" w14:textId="3ADC0DF3" w:rsidR="009335F9" w:rsidRDefault="009335F9" w:rsidP="00B76A27">
      <w:pPr>
        <w:autoSpaceDE w:val="0"/>
        <w:autoSpaceDN w:val="0"/>
        <w:adjustRightInd w:val="0"/>
        <w:spacing w:after="0"/>
        <w:jc w:val="both"/>
        <w:rPr>
          <w:b/>
        </w:rPr>
      </w:pPr>
      <w:r w:rsidRPr="009335F9">
        <w:rPr>
          <w:b/>
        </w:rPr>
        <w:t>PiPS-A two week (14 day)</w:t>
      </w:r>
    </w:p>
    <w:p w14:paraId="70166291" w14:textId="6EC7FF4B" w:rsidR="00B76A27" w:rsidRDefault="00B76A27" w:rsidP="00B76A27">
      <w:pPr>
        <w:autoSpaceDE w:val="0"/>
        <w:autoSpaceDN w:val="0"/>
        <w:adjustRightInd w:val="0"/>
        <w:spacing w:after="0"/>
        <w:jc w:val="both"/>
      </w:pPr>
      <w:r>
        <w:t xml:space="preserve">The PiPS-A two week (14 day) </w:t>
      </w:r>
      <w:r w:rsidR="006679AE">
        <w:t>log odds</w:t>
      </w:r>
      <w:r>
        <w:t xml:space="preserve"> </w:t>
      </w:r>
      <w:r w:rsidR="006679AE">
        <w:t>are</w:t>
      </w:r>
    </w:p>
    <w:p w14:paraId="6A67A155" w14:textId="77777777" w:rsidR="00B76A27" w:rsidRDefault="00B76A27" w:rsidP="00B76A27">
      <w:pPr>
        <w:autoSpaceDE w:val="0"/>
        <w:autoSpaceDN w:val="0"/>
        <w:adjustRightInd w:val="0"/>
        <w:spacing w:after="0"/>
        <w:jc w:val="both"/>
      </w:pPr>
    </w:p>
    <w:p w14:paraId="008370AB" w14:textId="76C1BFC4" w:rsidR="00710057" w:rsidRPr="00BE5DCA" w:rsidRDefault="00DA3466" w:rsidP="00B76A27">
      <w:pPr>
        <w:autoSpaceDE w:val="0"/>
        <w:autoSpaceDN w:val="0"/>
        <w:adjustRightInd w:val="0"/>
        <w:jc w:val="both"/>
      </w:pPr>
      <m:oMathPara>
        <m:oMath>
          <m:sSub>
            <m:sSubPr>
              <m:ctrlPr>
                <w:rPr>
                  <w:rFonts w:ascii="Cambria Math" w:hAnsi="Cambria Math"/>
                  <w:i/>
                </w:rPr>
              </m:ctrlPr>
            </m:sSubPr>
            <m:e>
              <m:r>
                <w:rPr>
                  <w:rFonts w:ascii="Cambria Math" w:hAnsi="Cambria Math"/>
                </w:rPr>
                <m:t>LO</m:t>
              </m:r>
            </m:e>
            <m:sub>
              <m:sSub>
                <m:sSubPr>
                  <m:ctrlPr>
                    <w:rPr>
                      <w:rFonts w:ascii="Cambria Math" w:hAnsi="Cambria Math"/>
                      <w:i/>
                    </w:rPr>
                  </m:ctrlPr>
                </m:sSubPr>
                <m:e>
                  <m:r>
                    <w:rPr>
                      <w:rFonts w:ascii="Cambria Math" w:hAnsi="Cambria Math"/>
                    </w:rPr>
                    <m:t>A</m:t>
                  </m:r>
                </m:e>
                <m:sub>
                  <m:r>
                    <w:rPr>
                      <w:rFonts w:ascii="Cambria Math" w:hAnsi="Cambria Math"/>
                    </w:rPr>
                    <m:t>14</m:t>
                  </m:r>
                </m:sub>
              </m:sSub>
            </m:sub>
          </m:sSub>
          <m:r>
            <w:rPr>
              <w:rFonts w:ascii="Cambria Math" w:hAnsi="Cambria Math"/>
            </w:rPr>
            <m:t xml:space="preserve"> = 3.82   +  1.273amts  -0.023pulse -0.498distan</m:t>
          </m:r>
          <m:sSub>
            <m:sSubPr>
              <m:ctrlPr>
                <w:rPr>
                  <w:rFonts w:ascii="Cambria Math" w:hAnsi="Cambria Math"/>
                  <w:i/>
                </w:rPr>
              </m:ctrlPr>
            </m:sSubPr>
            <m:e>
              <m:r>
                <w:rPr>
                  <w:rFonts w:ascii="Cambria Math" w:hAnsi="Cambria Math"/>
                </w:rPr>
                <m:t>t</m:t>
              </m:r>
            </m:e>
            <m:sub>
              <m:r>
                <w:rPr>
                  <w:rFonts w:ascii="Cambria Math" w:hAnsi="Cambria Math"/>
                </w:rPr>
                <m:t>mets</m:t>
              </m:r>
            </m:sub>
          </m:sSub>
          <m:r>
            <w:rPr>
              <w:rFonts w:ascii="Cambria Math" w:hAnsi="Cambria Math"/>
            </w:rPr>
            <m:t xml:space="preserve"> - 0.538met</m:t>
          </m:r>
          <m:sSub>
            <m:sSubPr>
              <m:ctrlPr>
                <w:rPr>
                  <w:rFonts w:ascii="Cambria Math" w:hAnsi="Cambria Math"/>
                  <w:i/>
                </w:rPr>
              </m:ctrlPr>
            </m:sSubPr>
            <m:e>
              <m:r>
                <w:rPr>
                  <w:rFonts w:ascii="Cambria Math" w:hAnsi="Cambria Math"/>
                </w:rPr>
                <m:t>s</m:t>
              </m:r>
            </m:e>
            <m:sub>
              <m:r>
                <w:rPr>
                  <w:rFonts w:ascii="Cambria Math" w:hAnsi="Cambria Math"/>
                </w:rPr>
                <m:t>liver</m:t>
              </m:r>
            </m:sub>
          </m:sSub>
          <m:r>
            <w:rPr>
              <w:rFonts w:ascii="Cambria Math" w:hAnsi="Cambria Math"/>
            </w:rPr>
            <m:t xml:space="preserve"> - 0.563ecog + 0.449overall_health - 0.771anorexia + 0.519met</m:t>
          </m:r>
          <m:sSub>
            <m:sSubPr>
              <m:ctrlPr>
                <w:rPr>
                  <w:rFonts w:ascii="Cambria Math" w:hAnsi="Cambria Math"/>
                  <w:i/>
                </w:rPr>
              </m:ctrlPr>
            </m:sSubPr>
            <m:e>
              <m:r>
                <w:rPr>
                  <w:rFonts w:ascii="Cambria Math" w:hAnsi="Cambria Math"/>
                </w:rPr>
                <m:t>s</m:t>
              </m:r>
            </m:e>
            <m:sub>
              <m:r>
                <w:rPr>
                  <w:rFonts w:ascii="Cambria Math" w:hAnsi="Cambria Math"/>
                </w:rPr>
                <m:t>bone</m:t>
              </m:r>
            </m:sub>
          </m:sSub>
          <m:r>
            <w:rPr>
              <w:rFonts w:ascii="Cambria Math" w:hAnsi="Cambria Math"/>
            </w:rPr>
            <m:t xml:space="preserve"> - 0.475dyspnoea - 0.54dysphagia</m:t>
          </m:r>
        </m:oMath>
      </m:oMathPara>
    </w:p>
    <w:p w14:paraId="6DC9B64E" w14:textId="77777777" w:rsidR="00B76A27" w:rsidRDefault="00B76A27" w:rsidP="00B76A27">
      <w:pPr>
        <w:autoSpaceDE w:val="0"/>
        <w:autoSpaceDN w:val="0"/>
        <w:adjustRightInd w:val="0"/>
        <w:jc w:val="both"/>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5060"/>
      </w:tblGrid>
      <w:tr w:rsidR="00B76A27" w:rsidRPr="00FB761A" w14:paraId="48154861" w14:textId="77777777" w:rsidTr="007E62E7">
        <w:tc>
          <w:tcPr>
            <w:tcW w:w="2190" w:type="dxa"/>
          </w:tcPr>
          <w:p w14:paraId="6E63B669" w14:textId="77777777" w:rsidR="00B76A27" w:rsidRPr="00FB761A" w:rsidRDefault="00B76A27" w:rsidP="00F3652A">
            <w:pPr>
              <w:pStyle w:val="NoSpacing"/>
            </w:pPr>
            <w:r w:rsidRPr="00FB761A">
              <w:t>amts</w:t>
            </w:r>
          </w:p>
        </w:tc>
        <w:tc>
          <w:tcPr>
            <w:tcW w:w="5060" w:type="dxa"/>
          </w:tcPr>
          <w:p w14:paraId="0259BF87" w14:textId="77777777" w:rsidR="00B76A27" w:rsidRPr="00FB761A" w:rsidRDefault="00B76A27" w:rsidP="00F3652A">
            <w:pPr>
              <w:pStyle w:val="NoSpacing"/>
            </w:pPr>
            <w:r w:rsidRPr="00787AF4">
              <w:t>AMTS score (If ≤3 then = 0 , if &gt;3 then = 1)</w:t>
            </w:r>
          </w:p>
        </w:tc>
      </w:tr>
      <w:tr w:rsidR="00B76A27" w:rsidRPr="00FB761A" w14:paraId="43FAFAE8" w14:textId="77777777" w:rsidTr="007E62E7">
        <w:tc>
          <w:tcPr>
            <w:tcW w:w="2190" w:type="dxa"/>
          </w:tcPr>
          <w:p w14:paraId="73867CC4" w14:textId="77777777" w:rsidR="00B76A27" w:rsidRPr="00FB761A" w:rsidRDefault="00B76A27" w:rsidP="00F3652A">
            <w:pPr>
              <w:pStyle w:val="NoSpacing"/>
            </w:pPr>
            <w:r w:rsidRPr="00FB761A">
              <w:t>pulse</w:t>
            </w:r>
          </w:p>
        </w:tc>
        <w:tc>
          <w:tcPr>
            <w:tcW w:w="5060" w:type="dxa"/>
          </w:tcPr>
          <w:p w14:paraId="096D5FA5" w14:textId="77777777" w:rsidR="00B76A27" w:rsidRPr="00FB761A" w:rsidRDefault="00B76A27" w:rsidP="00F3652A">
            <w:pPr>
              <w:pStyle w:val="NoSpacing"/>
            </w:pPr>
            <w:r w:rsidRPr="005426B9">
              <w:t>Pulse rate</w:t>
            </w:r>
          </w:p>
        </w:tc>
      </w:tr>
      <w:tr w:rsidR="00B76A27" w:rsidRPr="00FB761A" w14:paraId="2FD46214" w14:textId="77777777" w:rsidTr="007E62E7">
        <w:trPr>
          <w:trHeight w:val="311"/>
        </w:trPr>
        <w:tc>
          <w:tcPr>
            <w:tcW w:w="2190" w:type="dxa"/>
          </w:tcPr>
          <w:p w14:paraId="0E787871" w14:textId="77777777" w:rsidR="00B76A27" w:rsidRPr="00FB761A" w:rsidRDefault="00B76A27" w:rsidP="00F3652A">
            <w:pPr>
              <w:pStyle w:val="NoSpacing"/>
            </w:pPr>
            <w:r w:rsidRPr="00FB761A">
              <w:t>distant_mets</w:t>
            </w:r>
          </w:p>
        </w:tc>
        <w:tc>
          <w:tcPr>
            <w:tcW w:w="5060" w:type="dxa"/>
          </w:tcPr>
          <w:p w14:paraId="3EB13894" w14:textId="77777777" w:rsidR="00B76A27" w:rsidRPr="00FB761A" w:rsidRDefault="00B76A27" w:rsidP="00F3652A">
            <w:pPr>
              <w:pStyle w:val="NoSpacing"/>
            </w:pPr>
            <w:r w:rsidRPr="00376F39">
              <w:t>Presence of distant metastases (No = 0, Yes = 1)</w:t>
            </w:r>
          </w:p>
        </w:tc>
      </w:tr>
      <w:tr w:rsidR="00B76A27" w:rsidRPr="00FB761A" w14:paraId="2D9B8853" w14:textId="77777777" w:rsidTr="007E62E7">
        <w:tc>
          <w:tcPr>
            <w:tcW w:w="2190" w:type="dxa"/>
          </w:tcPr>
          <w:p w14:paraId="01C36AB8" w14:textId="77777777" w:rsidR="00B76A27" w:rsidRPr="00FB761A" w:rsidRDefault="00B76A27" w:rsidP="007E62E7">
            <w:pPr>
              <w:pStyle w:val="NoSpacing"/>
              <w:ind w:right="1032"/>
            </w:pPr>
            <w:r w:rsidRPr="00FB761A">
              <w:t>mets_liver</w:t>
            </w:r>
          </w:p>
        </w:tc>
        <w:tc>
          <w:tcPr>
            <w:tcW w:w="5060" w:type="dxa"/>
          </w:tcPr>
          <w:p w14:paraId="40E1B2F7" w14:textId="77777777" w:rsidR="00B76A27" w:rsidRPr="00FB761A" w:rsidRDefault="00B76A27" w:rsidP="00F3652A">
            <w:pPr>
              <w:pStyle w:val="NoSpacing"/>
            </w:pPr>
            <w:r w:rsidRPr="00031EE7">
              <w:t xml:space="preserve">Presence of </w:t>
            </w:r>
            <w:r>
              <w:t>liver</w:t>
            </w:r>
            <w:r w:rsidRPr="00031EE7">
              <w:t xml:space="preserve"> metastases (No = 0, Yes = 1)</w:t>
            </w:r>
          </w:p>
        </w:tc>
      </w:tr>
      <w:tr w:rsidR="00B76A27" w:rsidRPr="00FB761A" w14:paraId="30E30FEA" w14:textId="77777777" w:rsidTr="007E62E7">
        <w:tc>
          <w:tcPr>
            <w:tcW w:w="2190" w:type="dxa"/>
          </w:tcPr>
          <w:p w14:paraId="42C9936C" w14:textId="77777777" w:rsidR="00B76A27" w:rsidRPr="00FB761A" w:rsidRDefault="00B76A27" w:rsidP="00F3652A">
            <w:pPr>
              <w:pStyle w:val="NoSpacing"/>
            </w:pPr>
            <w:r w:rsidRPr="00FB761A">
              <w:t>ecog</w:t>
            </w:r>
          </w:p>
        </w:tc>
        <w:tc>
          <w:tcPr>
            <w:tcW w:w="5060" w:type="dxa"/>
          </w:tcPr>
          <w:p w14:paraId="4A2963B6" w14:textId="69302A44" w:rsidR="00B76A27" w:rsidRPr="00FB761A" w:rsidRDefault="00194314" w:rsidP="00F3652A">
            <w:pPr>
              <w:pStyle w:val="NoSpacing"/>
            </w:pPr>
            <w:r w:rsidRPr="00194314">
              <w:t>Eastern Co-operative Oncology Group</w:t>
            </w:r>
            <w:r>
              <w:t xml:space="preserve"> </w:t>
            </w:r>
            <w:r w:rsidR="00B76A27" w:rsidRPr="009B4824">
              <w:t>score</w:t>
            </w:r>
          </w:p>
        </w:tc>
      </w:tr>
      <w:tr w:rsidR="00B76A27" w:rsidRPr="00FB761A" w14:paraId="6675A353" w14:textId="77777777" w:rsidTr="007E62E7">
        <w:tc>
          <w:tcPr>
            <w:tcW w:w="2190" w:type="dxa"/>
          </w:tcPr>
          <w:p w14:paraId="11E652D6" w14:textId="77777777" w:rsidR="00B76A27" w:rsidRPr="00FB761A" w:rsidRDefault="00B76A27" w:rsidP="00F3652A">
            <w:pPr>
              <w:pStyle w:val="NoSpacing"/>
            </w:pPr>
            <w:r w:rsidRPr="00FB761A">
              <w:t>overall_health</w:t>
            </w:r>
          </w:p>
        </w:tc>
        <w:tc>
          <w:tcPr>
            <w:tcW w:w="5060" w:type="dxa"/>
          </w:tcPr>
          <w:p w14:paraId="4C049284" w14:textId="77777777" w:rsidR="00B76A27" w:rsidRPr="00FB761A" w:rsidRDefault="00B76A27" w:rsidP="00F3652A">
            <w:pPr>
              <w:pStyle w:val="NoSpacing"/>
            </w:pPr>
            <w:r w:rsidRPr="009B4824">
              <w:t>Global Health Score</w:t>
            </w:r>
          </w:p>
        </w:tc>
      </w:tr>
      <w:tr w:rsidR="00B76A27" w:rsidRPr="00FB761A" w14:paraId="6C51C7A6" w14:textId="77777777" w:rsidTr="007E62E7">
        <w:tc>
          <w:tcPr>
            <w:tcW w:w="2190" w:type="dxa"/>
          </w:tcPr>
          <w:p w14:paraId="4A078B08" w14:textId="77777777" w:rsidR="00B76A27" w:rsidRPr="00FB761A" w:rsidRDefault="00B76A27" w:rsidP="00F3652A">
            <w:pPr>
              <w:pStyle w:val="NoSpacing"/>
            </w:pPr>
            <w:r w:rsidRPr="00FB761A">
              <w:t>anorexia</w:t>
            </w:r>
          </w:p>
        </w:tc>
        <w:tc>
          <w:tcPr>
            <w:tcW w:w="5060" w:type="dxa"/>
          </w:tcPr>
          <w:p w14:paraId="1E6D909E" w14:textId="77777777" w:rsidR="00B76A27" w:rsidRPr="00FB761A" w:rsidRDefault="00B76A27" w:rsidP="00F3652A">
            <w:pPr>
              <w:pStyle w:val="NoSpacing"/>
            </w:pPr>
            <w:r w:rsidRPr="00126252">
              <w:t>Anorexia</w:t>
            </w:r>
            <w:r>
              <w:t xml:space="preserve"> </w:t>
            </w:r>
            <w:r w:rsidRPr="00126252">
              <w:t>(No = 0, Yes  = 1)</w:t>
            </w:r>
          </w:p>
        </w:tc>
      </w:tr>
      <w:tr w:rsidR="00B76A27" w:rsidRPr="00FB761A" w14:paraId="7939AD5B" w14:textId="77777777" w:rsidTr="007E62E7">
        <w:trPr>
          <w:trHeight w:val="297"/>
        </w:trPr>
        <w:tc>
          <w:tcPr>
            <w:tcW w:w="2190" w:type="dxa"/>
          </w:tcPr>
          <w:p w14:paraId="18652BBC" w14:textId="77777777" w:rsidR="00B76A27" w:rsidRPr="00FB761A" w:rsidRDefault="00B76A27" w:rsidP="00F3652A">
            <w:pPr>
              <w:pStyle w:val="NoSpacing"/>
            </w:pPr>
            <w:r w:rsidRPr="00FB761A">
              <w:t>mets_bone</w:t>
            </w:r>
          </w:p>
        </w:tc>
        <w:tc>
          <w:tcPr>
            <w:tcW w:w="5060" w:type="dxa"/>
          </w:tcPr>
          <w:p w14:paraId="7C4B8BA8" w14:textId="77777777" w:rsidR="00B76A27" w:rsidRPr="00FB761A" w:rsidRDefault="00B76A27" w:rsidP="00F3652A">
            <w:pPr>
              <w:pStyle w:val="NoSpacing"/>
            </w:pPr>
            <w:r w:rsidRPr="00515589">
              <w:t>Presence of bone metastases (No = 0, Yes  = 1)</w:t>
            </w:r>
          </w:p>
        </w:tc>
      </w:tr>
      <w:tr w:rsidR="00B76A27" w:rsidRPr="00FB761A" w14:paraId="1658DF78" w14:textId="77777777" w:rsidTr="007E62E7">
        <w:tc>
          <w:tcPr>
            <w:tcW w:w="2190" w:type="dxa"/>
          </w:tcPr>
          <w:p w14:paraId="34BC69AE" w14:textId="77777777" w:rsidR="00B76A27" w:rsidRPr="00FB761A" w:rsidRDefault="00B76A27" w:rsidP="00F3652A">
            <w:pPr>
              <w:pStyle w:val="NoSpacing"/>
            </w:pPr>
            <w:r w:rsidRPr="00FB761A">
              <w:t>dyspnoea</w:t>
            </w:r>
          </w:p>
        </w:tc>
        <w:tc>
          <w:tcPr>
            <w:tcW w:w="5060" w:type="dxa"/>
          </w:tcPr>
          <w:p w14:paraId="3B2F0829" w14:textId="77777777" w:rsidR="00B76A27" w:rsidRPr="00FB761A" w:rsidRDefault="00B76A27" w:rsidP="00F3652A">
            <w:pPr>
              <w:pStyle w:val="NoSpacing"/>
            </w:pPr>
            <w:r>
              <w:t>D</w:t>
            </w:r>
            <w:r w:rsidRPr="00FB761A">
              <w:t>yspnoea</w:t>
            </w:r>
            <w:r>
              <w:t xml:space="preserve"> </w:t>
            </w:r>
            <w:r w:rsidRPr="00515589">
              <w:t>(No = 0, Yes  = 1)</w:t>
            </w:r>
          </w:p>
        </w:tc>
      </w:tr>
      <w:tr w:rsidR="00B76A27" w:rsidRPr="00FB761A" w14:paraId="7736399A" w14:textId="77777777" w:rsidTr="007E62E7">
        <w:tc>
          <w:tcPr>
            <w:tcW w:w="2190" w:type="dxa"/>
          </w:tcPr>
          <w:p w14:paraId="6A81B883" w14:textId="77777777" w:rsidR="00B76A27" w:rsidRPr="00FB761A" w:rsidRDefault="00B76A27" w:rsidP="00F3652A">
            <w:pPr>
              <w:pStyle w:val="NoSpacing"/>
            </w:pPr>
            <w:r w:rsidRPr="00FB761A">
              <w:t>dyshpagia</w:t>
            </w:r>
          </w:p>
        </w:tc>
        <w:tc>
          <w:tcPr>
            <w:tcW w:w="5060" w:type="dxa"/>
          </w:tcPr>
          <w:p w14:paraId="0D906318" w14:textId="77777777" w:rsidR="00B76A27" w:rsidRPr="00FB761A" w:rsidRDefault="00B76A27" w:rsidP="00F3652A">
            <w:pPr>
              <w:pStyle w:val="NoSpacing"/>
            </w:pPr>
            <w:r>
              <w:t>D</w:t>
            </w:r>
            <w:r w:rsidRPr="00FB761A">
              <w:t>yshpagia</w:t>
            </w:r>
            <w:r>
              <w:t xml:space="preserve"> </w:t>
            </w:r>
            <w:r w:rsidRPr="00515589">
              <w:t>(No = 0, Yes  = 1)</w:t>
            </w:r>
          </w:p>
        </w:tc>
      </w:tr>
    </w:tbl>
    <w:p w14:paraId="764CB763" w14:textId="77777777" w:rsidR="00B76A27" w:rsidRDefault="00B76A27" w:rsidP="00B76A27">
      <w:pPr>
        <w:pStyle w:val="NoSpacing"/>
      </w:pPr>
    </w:p>
    <w:p w14:paraId="44349349" w14:textId="0999E1BA" w:rsidR="006679AE" w:rsidRDefault="009335F9" w:rsidP="00B76A27">
      <w:pPr>
        <w:pStyle w:val="NoSpacing"/>
      </w:pPr>
      <w:r>
        <w:t>T</w:t>
      </w:r>
      <w:r w:rsidR="006679AE">
        <w:t>he corresponding probability of survival</w:t>
      </w:r>
      <w:r w:rsidR="001D28F9">
        <w:t xml:space="preserve"> for the </w:t>
      </w:r>
      <w:r w:rsidR="008E1692">
        <w:t>PiPS-A two week (14 day) model</w:t>
      </w:r>
      <w:r w:rsidR="006679AE">
        <w:t xml:space="preserve"> is</w:t>
      </w:r>
    </w:p>
    <w:p w14:paraId="1C1C1CFD" w14:textId="77777777" w:rsidR="00AE21D2" w:rsidRDefault="00AE21D2" w:rsidP="00B76A27">
      <w:pPr>
        <w:pStyle w:val="NoSpacing"/>
      </w:pPr>
    </w:p>
    <w:p w14:paraId="449090B1" w14:textId="1EAD2536" w:rsidR="000264F9" w:rsidRDefault="001A10F2" w:rsidP="00B76A27">
      <w:pPr>
        <w:pStyle w:val="NoSpacing"/>
      </w:pPr>
      <m:oMathPara>
        <m:oMath>
          <m:r>
            <w:rPr>
              <w:rFonts w:ascii="Cambria Math" w:hAnsi="Cambria Math"/>
            </w:rPr>
            <m:t>PiP</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14</m:t>
                  </m:r>
                </m:sub>
              </m:sSub>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(-L</m:t>
              </m:r>
              <m:sSub>
                <m:sSubPr>
                  <m:ctrlPr>
                    <w:rPr>
                      <w:rFonts w:ascii="Cambria Math" w:hAnsi="Cambria Math"/>
                      <w:i/>
                    </w:rPr>
                  </m:ctrlPr>
                </m:sSubPr>
                <m:e>
                  <m:r>
                    <w:rPr>
                      <w:rFonts w:ascii="Cambria Math" w:hAnsi="Cambria Math"/>
                    </w:rPr>
                    <m:t>O</m:t>
                  </m:r>
                </m:e>
                <m:sub>
                  <m:sSub>
                    <m:sSubPr>
                      <m:ctrlPr>
                        <w:rPr>
                          <w:rFonts w:ascii="Cambria Math" w:hAnsi="Cambria Math"/>
                          <w:i/>
                        </w:rPr>
                      </m:ctrlPr>
                    </m:sSubPr>
                    <m:e>
                      <m:r>
                        <w:rPr>
                          <w:rFonts w:ascii="Cambria Math" w:hAnsi="Cambria Math"/>
                        </w:rPr>
                        <m:t>A</m:t>
                      </m:r>
                    </m:e>
                    <m:sub>
                      <m:r>
                        <w:rPr>
                          <w:rFonts w:ascii="Cambria Math" w:hAnsi="Cambria Math"/>
                        </w:rPr>
                        <m:t>14</m:t>
                      </m:r>
                    </m:sub>
                  </m:sSub>
                </m:sub>
              </m:sSub>
              <m:r>
                <w:rPr>
                  <w:rFonts w:ascii="Cambria Math" w:hAnsi="Cambria Math"/>
                </w:rPr>
                <m:t>)</m:t>
              </m:r>
            </m:den>
          </m:f>
        </m:oMath>
      </m:oMathPara>
    </w:p>
    <w:p w14:paraId="26E9316A" w14:textId="30031F31" w:rsidR="00710057" w:rsidRDefault="00710057" w:rsidP="00B76A27">
      <w:pPr>
        <w:pStyle w:val="NoSpacing"/>
      </w:pPr>
      <w:r>
        <w:t xml:space="preserve"> </w:t>
      </w:r>
    </w:p>
    <w:p w14:paraId="50F89712" w14:textId="32AC67D4" w:rsidR="009335F9" w:rsidRPr="009335F9" w:rsidRDefault="009335F9" w:rsidP="009335F9">
      <w:pPr>
        <w:autoSpaceDE w:val="0"/>
        <w:autoSpaceDN w:val="0"/>
        <w:adjustRightInd w:val="0"/>
        <w:spacing w:after="0"/>
        <w:jc w:val="both"/>
        <w:rPr>
          <w:b/>
        </w:rPr>
      </w:pPr>
      <w:r w:rsidRPr="009335F9">
        <w:rPr>
          <w:b/>
        </w:rPr>
        <w:t xml:space="preserve">PiPS-A two </w:t>
      </w:r>
      <w:r>
        <w:rPr>
          <w:b/>
        </w:rPr>
        <w:t>month (56</w:t>
      </w:r>
      <w:r w:rsidRPr="009335F9">
        <w:rPr>
          <w:b/>
        </w:rPr>
        <w:t xml:space="preserve"> day)</w:t>
      </w:r>
    </w:p>
    <w:p w14:paraId="78244746" w14:textId="5AEA6F98" w:rsidR="00B76A27" w:rsidRDefault="00B76A27" w:rsidP="00B76A27">
      <w:pPr>
        <w:autoSpaceDE w:val="0"/>
        <w:autoSpaceDN w:val="0"/>
        <w:adjustRightInd w:val="0"/>
        <w:spacing w:after="0"/>
        <w:jc w:val="both"/>
      </w:pPr>
      <w:r>
        <w:t>The PiPS-A two month (56 day)</w:t>
      </w:r>
      <w:r w:rsidR="00DE6E0F">
        <w:t xml:space="preserve"> log odds</w:t>
      </w:r>
      <w:r>
        <w:t xml:space="preserve"> </w:t>
      </w:r>
      <w:r w:rsidR="00DE6E0F">
        <w:t>are</w:t>
      </w:r>
    </w:p>
    <w:p w14:paraId="22CF4171" w14:textId="77777777" w:rsidR="00B76A27" w:rsidRPr="00FB58FB" w:rsidRDefault="00B76A27" w:rsidP="00B76A27">
      <w:pPr>
        <w:autoSpaceDE w:val="0"/>
        <w:autoSpaceDN w:val="0"/>
        <w:adjustRightInd w:val="0"/>
        <w:jc w:val="both"/>
        <w:rPr>
          <w:rFonts w:ascii="Cambria Math" w:hAnsi="Cambria Math"/>
          <w:oMath/>
        </w:rPr>
      </w:pPr>
    </w:p>
    <w:p w14:paraId="040E4D05" w14:textId="0C6880DF" w:rsidR="00B76A27" w:rsidRPr="00897769" w:rsidRDefault="00DA3466" w:rsidP="00B76A27">
      <w:pPr>
        <w:autoSpaceDE w:val="0"/>
        <w:autoSpaceDN w:val="0"/>
        <w:adjustRightInd w:val="0"/>
        <w:jc w:val="both"/>
      </w:pPr>
      <m:oMathPara>
        <m:oMath>
          <m:sSub>
            <m:sSubPr>
              <m:ctrlPr>
                <w:rPr>
                  <w:rFonts w:ascii="Cambria Math" w:hAnsi="Cambria Math"/>
                  <w:i/>
                </w:rPr>
              </m:ctrlPr>
            </m:sSubPr>
            <m:e>
              <m:r>
                <w:rPr>
                  <w:rFonts w:ascii="Cambria Math" w:hAnsi="Cambria Math"/>
                </w:rPr>
                <m:t>LO</m:t>
              </m:r>
            </m:e>
            <m:sub>
              <m:sSub>
                <m:sSubPr>
                  <m:ctrlPr>
                    <w:rPr>
                      <w:rFonts w:ascii="Cambria Math" w:hAnsi="Cambria Math"/>
                      <w:i/>
                    </w:rPr>
                  </m:ctrlPr>
                </m:sSubPr>
                <m:e>
                  <m:r>
                    <w:rPr>
                      <w:rFonts w:ascii="Cambria Math" w:hAnsi="Cambria Math"/>
                    </w:rPr>
                    <m:t>A</m:t>
                  </m:r>
                </m:e>
                <m:sub>
                  <m:r>
                    <w:rPr>
                      <w:rFonts w:ascii="Cambria Math" w:hAnsi="Cambria Math"/>
                    </w:rPr>
                    <m:t>56</m:t>
                  </m:r>
                </m:sub>
              </m:sSub>
            </m:sub>
          </m:sSub>
          <m:r>
            <w:rPr>
              <w:rFonts w:ascii="Cambria Math" w:hAnsi="Cambria Math"/>
            </w:rPr>
            <m:t xml:space="preserve">  = 0.471 + 0.851amts - 0.022pulse -0.407distant_mets - 0.596mets_liver - 0.219Ecog - 0.421anorexia + 0.549overall_health + 0.617primary_breast  + 1.477mgo_cancer - 0.51lost_weight </m:t>
          </m:r>
        </m:oMath>
      </m:oMathPara>
    </w:p>
    <w:p w14:paraId="4C237FCF" w14:textId="08EB1021" w:rsidR="00897769" w:rsidRPr="00FB58FB" w:rsidRDefault="00897769" w:rsidP="00B76A27">
      <w:pPr>
        <w:autoSpaceDE w:val="0"/>
        <w:autoSpaceDN w:val="0"/>
        <w:adjustRightInd w:val="0"/>
        <w:jc w:val="both"/>
        <w:rPr>
          <w:rFonts w:ascii="Cambria Math" w:hAnsi="Cambria Math"/>
          <w:oMath/>
        </w:rPr>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060"/>
      </w:tblGrid>
      <w:tr w:rsidR="00B76A27" w:rsidRPr="00FB761A" w14:paraId="0E0355BD" w14:textId="77777777" w:rsidTr="00897769">
        <w:tc>
          <w:tcPr>
            <w:tcW w:w="2153" w:type="dxa"/>
          </w:tcPr>
          <w:p w14:paraId="33AD5870" w14:textId="77777777" w:rsidR="00B76A27" w:rsidRPr="00FB761A" w:rsidRDefault="00B76A27" w:rsidP="00F3652A">
            <w:pPr>
              <w:pStyle w:val="NoSpacing"/>
            </w:pPr>
            <w:r w:rsidRPr="00FB761A">
              <w:t>amts</w:t>
            </w:r>
          </w:p>
        </w:tc>
        <w:tc>
          <w:tcPr>
            <w:tcW w:w="5060" w:type="dxa"/>
          </w:tcPr>
          <w:p w14:paraId="1C268D31" w14:textId="77777777" w:rsidR="00B76A27" w:rsidRPr="00FB761A" w:rsidRDefault="00B76A27" w:rsidP="00F3652A">
            <w:pPr>
              <w:pStyle w:val="NoSpacing"/>
            </w:pPr>
            <w:r w:rsidRPr="00787AF4">
              <w:t>AMTS score (If ≤3 then = 0 , if &gt;3 then = 1)</w:t>
            </w:r>
          </w:p>
        </w:tc>
      </w:tr>
      <w:tr w:rsidR="00B76A27" w:rsidRPr="00FB761A" w14:paraId="448F083B" w14:textId="77777777" w:rsidTr="00897769">
        <w:tc>
          <w:tcPr>
            <w:tcW w:w="2153" w:type="dxa"/>
          </w:tcPr>
          <w:p w14:paraId="30FCEB55" w14:textId="77777777" w:rsidR="00B76A27" w:rsidRPr="00FB761A" w:rsidRDefault="00B76A27" w:rsidP="00F3652A">
            <w:pPr>
              <w:pStyle w:val="NoSpacing"/>
            </w:pPr>
            <w:r w:rsidRPr="00FB761A">
              <w:lastRenderedPageBreak/>
              <w:t>pulse</w:t>
            </w:r>
          </w:p>
        </w:tc>
        <w:tc>
          <w:tcPr>
            <w:tcW w:w="5060" w:type="dxa"/>
          </w:tcPr>
          <w:p w14:paraId="71DCF424" w14:textId="77777777" w:rsidR="00B76A27" w:rsidRPr="00FB58FB" w:rsidRDefault="00B76A27" w:rsidP="00F3652A">
            <w:pPr>
              <w:rPr>
                <w:rFonts w:ascii="Calibri" w:eastAsia="Times New Roman" w:hAnsi="Calibri" w:cs="Times New Roman"/>
                <w:color w:val="000000"/>
                <w:sz w:val="24"/>
                <w:szCs w:val="24"/>
                <w:lang w:eastAsia="en-GB"/>
              </w:rPr>
            </w:pPr>
            <w:r w:rsidRPr="005426B9">
              <w:rPr>
                <w:rFonts w:ascii="Calibri" w:eastAsia="Times New Roman" w:hAnsi="Calibri" w:cs="Times New Roman"/>
                <w:color w:val="000000"/>
                <w:sz w:val="24"/>
                <w:szCs w:val="24"/>
                <w:lang w:eastAsia="en-GB"/>
              </w:rPr>
              <w:t>Pulse rate</w:t>
            </w:r>
          </w:p>
        </w:tc>
      </w:tr>
      <w:tr w:rsidR="00B76A27" w:rsidRPr="00FB761A" w14:paraId="32AAB10F" w14:textId="77777777" w:rsidTr="00897769">
        <w:tc>
          <w:tcPr>
            <w:tcW w:w="2153" w:type="dxa"/>
          </w:tcPr>
          <w:p w14:paraId="3E3BA2B7" w14:textId="77777777" w:rsidR="00B76A27" w:rsidRPr="00FB761A" w:rsidRDefault="00B76A27" w:rsidP="00F3652A">
            <w:pPr>
              <w:pStyle w:val="NoSpacing"/>
            </w:pPr>
            <w:r w:rsidRPr="00FB761A">
              <w:t>distant_mets</w:t>
            </w:r>
          </w:p>
        </w:tc>
        <w:tc>
          <w:tcPr>
            <w:tcW w:w="5060" w:type="dxa"/>
          </w:tcPr>
          <w:p w14:paraId="10DE13CF" w14:textId="77777777" w:rsidR="00B76A27" w:rsidRPr="00FB761A" w:rsidRDefault="00B76A27" w:rsidP="00F3652A">
            <w:pPr>
              <w:pStyle w:val="NoSpacing"/>
            </w:pPr>
            <w:r w:rsidRPr="00A50EE0">
              <w:t>Presence of distant metastases (No = 0, Yes = 1)</w:t>
            </w:r>
          </w:p>
        </w:tc>
      </w:tr>
      <w:tr w:rsidR="00B76A27" w:rsidRPr="00FB761A" w14:paraId="55013105" w14:textId="77777777" w:rsidTr="00897769">
        <w:tc>
          <w:tcPr>
            <w:tcW w:w="2153" w:type="dxa"/>
          </w:tcPr>
          <w:p w14:paraId="59576384" w14:textId="77777777" w:rsidR="00B76A27" w:rsidRPr="00FB761A" w:rsidRDefault="00B76A27" w:rsidP="00F3652A">
            <w:pPr>
              <w:pStyle w:val="NoSpacing"/>
            </w:pPr>
            <w:r w:rsidRPr="00FB761A">
              <w:t>mets_liver</w:t>
            </w:r>
          </w:p>
        </w:tc>
        <w:tc>
          <w:tcPr>
            <w:tcW w:w="5060" w:type="dxa"/>
          </w:tcPr>
          <w:p w14:paraId="08919B58" w14:textId="77777777" w:rsidR="00B76A27" w:rsidRPr="00FB761A" w:rsidRDefault="00B76A27" w:rsidP="00F3652A">
            <w:pPr>
              <w:pStyle w:val="NoSpacing"/>
            </w:pPr>
            <w:r w:rsidRPr="00031EE7">
              <w:t xml:space="preserve">Presence of </w:t>
            </w:r>
            <w:r>
              <w:t>liver</w:t>
            </w:r>
            <w:r w:rsidRPr="00031EE7">
              <w:t xml:space="preserve"> metastases (No = 0, Yes = 1)</w:t>
            </w:r>
          </w:p>
        </w:tc>
      </w:tr>
      <w:tr w:rsidR="00B76A27" w:rsidRPr="00FB761A" w14:paraId="1BE853FA" w14:textId="77777777" w:rsidTr="00897769">
        <w:tc>
          <w:tcPr>
            <w:tcW w:w="2153" w:type="dxa"/>
          </w:tcPr>
          <w:p w14:paraId="29C2738B" w14:textId="77777777" w:rsidR="00B76A27" w:rsidRPr="00FB761A" w:rsidRDefault="00B76A27" w:rsidP="00F3652A">
            <w:pPr>
              <w:pStyle w:val="NoSpacing"/>
            </w:pPr>
            <w:r w:rsidRPr="00FB761A">
              <w:t>ecog</w:t>
            </w:r>
          </w:p>
        </w:tc>
        <w:tc>
          <w:tcPr>
            <w:tcW w:w="5060" w:type="dxa"/>
          </w:tcPr>
          <w:p w14:paraId="23D77676" w14:textId="276274EF" w:rsidR="00B76A27" w:rsidRPr="00FB761A" w:rsidRDefault="00194314" w:rsidP="00F3652A">
            <w:pPr>
              <w:pStyle w:val="NoSpacing"/>
            </w:pPr>
            <w:r w:rsidRPr="00194314">
              <w:t>Eastern Co-operative Oncology Group</w:t>
            </w:r>
            <w:r>
              <w:t xml:space="preserve"> </w:t>
            </w:r>
            <w:r w:rsidR="00B76A27" w:rsidRPr="009B4824">
              <w:t>score</w:t>
            </w:r>
          </w:p>
        </w:tc>
      </w:tr>
      <w:tr w:rsidR="00B76A27" w:rsidRPr="00FB761A" w14:paraId="5C9D5271" w14:textId="77777777" w:rsidTr="00897769">
        <w:tc>
          <w:tcPr>
            <w:tcW w:w="2153" w:type="dxa"/>
          </w:tcPr>
          <w:p w14:paraId="3AEA5FC2" w14:textId="77777777" w:rsidR="00B76A27" w:rsidRPr="00FB761A" w:rsidRDefault="00B76A27" w:rsidP="00F3652A">
            <w:pPr>
              <w:pStyle w:val="NoSpacing"/>
            </w:pPr>
            <w:r w:rsidRPr="00FB761A">
              <w:t>overall_health</w:t>
            </w:r>
          </w:p>
        </w:tc>
        <w:tc>
          <w:tcPr>
            <w:tcW w:w="5060" w:type="dxa"/>
          </w:tcPr>
          <w:p w14:paraId="4C686952" w14:textId="77777777" w:rsidR="00B76A27" w:rsidRPr="00FB761A" w:rsidRDefault="00B76A27" w:rsidP="00F3652A">
            <w:pPr>
              <w:pStyle w:val="NoSpacing"/>
            </w:pPr>
            <w:r w:rsidRPr="009B4824">
              <w:t>Global Health Score</w:t>
            </w:r>
          </w:p>
        </w:tc>
      </w:tr>
      <w:tr w:rsidR="00104077" w:rsidRPr="00FB761A" w14:paraId="1EBD794F" w14:textId="77777777" w:rsidTr="00897769">
        <w:trPr>
          <w:trHeight w:val="325"/>
        </w:trPr>
        <w:tc>
          <w:tcPr>
            <w:tcW w:w="2153" w:type="dxa"/>
          </w:tcPr>
          <w:p w14:paraId="1A70A939" w14:textId="77777777" w:rsidR="00B76A27" w:rsidRPr="00FB761A" w:rsidRDefault="00B76A27" w:rsidP="00F3652A">
            <w:pPr>
              <w:pStyle w:val="NoSpacing"/>
            </w:pPr>
            <w:r>
              <w:t>Primary_breast</w:t>
            </w:r>
          </w:p>
        </w:tc>
        <w:tc>
          <w:tcPr>
            <w:tcW w:w="5060" w:type="dxa"/>
          </w:tcPr>
          <w:p w14:paraId="6F189FF5" w14:textId="77777777" w:rsidR="00B76A27" w:rsidRPr="00FB761A" w:rsidRDefault="00B76A27" w:rsidP="00F3652A">
            <w:pPr>
              <w:pStyle w:val="NoSpacing"/>
            </w:pPr>
            <w:r w:rsidRPr="00F162A9">
              <w:t xml:space="preserve">Primary cancer </w:t>
            </w:r>
            <w:r>
              <w:t>breast</w:t>
            </w:r>
            <w:r w:rsidRPr="00F162A9">
              <w:t xml:space="preserve"> (No = 0, Yes = 1)</w:t>
            </w:r>
          </w:p>
        </w:tc>
      </w:tr>
      <w:tr w:rsidR="00B76A27" w:rsidRPr="00FB761A" w14:paraId="73BBAE17" w14:textId="77777777" w:rsidTr="00897769">
        <w:tc>
          <w:tcPr>
            <w:tcW w:w="2153" w:type="dxa"/>
          </w:tcPr>
          <w:p w14:paraId="65E3968D" w14:textId="77777777" w:rsidR="00B76A27" w:rsidRPr="00FB761A" w:rsidRDefault="00B76A27" w:rsidP="00F3652A">
            <w:pPr>
              <w:pStyle w:val="NoSpacing"/>
            </w:pPr>
            <w:r>
              <w:t>Mgo_cancer</w:t>
            </w:r>
          </w:p>
        </w:tc>
        <w:tc>
          <w:tcPr>
            <w:tcW w:w="5060" w:type="dxa"/>
          </w:tcPr>
          <w:p w14:paraId="67138AAB" w14:textId="77777777" w:rsidR="00B76A27" w:rsidRPr="00FB761A" w:rsidRDefault="00B76A27" w:rsidP="00F3652A">
            <w:pPr>
              <w:pStyle w:val="NoSpacing"/>
            </w:pPr>
            <w:r w:rsidRPr="00B51A90">
              <w:t>Primary cancer MGO (No = 0, Yes = 1)</w:t>
            </w:r>
          </w:p>
        </w:tc>
      </w:tr>
      <w:tr w:rsidR="00B76A27" w:rsidRPr="00FB761A" w14:paraId="5C95487A" w14:textId="77777777" w:rsidTr="00897769">
        <w:tc>
          <w:tcPr>
            <w:tcW w:w="2153" w:type="dxa"/>
          </w:tcPr>
          <w:p w14:paraId="02129EBF" w14:textId="77777777" w:rsidR="00B76A27" w:rsidRPr="00FB761A" w:rsidRDefault="00B76A27" w:rsidP="00F3652A">
            <w:pPr>
              <w:pStyle w:val="NoSpacing"/>
            </w:pPr>
            <w:r>
              <w:t>Lost weight</w:t>
            </w:r>
          </w:p>
        </w:tc>
        <w:tc>
          <w:tcPr>
            <w:tcW w:w="5060" w:type="dxa"/>
          </w:tcPr>
          <w:p w14:paraId="1F60B891" w14:textId="77777777" w:rsidR="00B76A27" w:rsidRPr="00FB761A" w:rsidRDefault="00B76A27" w:rsidP="00F3652A">
            <w:pPr>
              <w:pStyle w:val="NoSpacing"/>
            </w:pPr>
            <w:r>
              <w:t xml:space="preserve">Lost weight </w:t>
            </w:r>
            <w:r w:rsidRPr="00515589">
              <w:t>(No = 0, Yes  = 1)</w:t>
            </w:r>
          </w:p>
        </w:tc>
      </w:tr>
    </w:tbl>
    <w:p w14:paraId="660A4AD5" w14:textId="77777777" w:rsidR="00B76A27" w:rsidRDefault="00B76A27" w:rsidP="00B76A27">
      <w:pPr>
        <w:autoSpaceDE w:val="0"/>
        <w:autoSpaceDN w:val="0"/>
        <w:adjustRightInd w:val="0"/>
        <w:jc w:val="both"/>
      </w:pPr>
    </w:p>
    <w:p w14:paraId="7142FFA2" w14:textId="2C50C445" w:rsidR="00DE6E0F" w:rsidRDefault="00DE6E0F" w:rsidP="00DE6E0F">
      <w:pPr>
        <w:pStyle w:val="NoSpacing"/>
      </w:pPr>
      <w:r>
        <w:t>The corresponding probability of survival for the PiPS-A two month (56 day) model is:</w:t>
      </w:r>
    </w:p>
    <w:p w14:paraId="3255CFAE" w14:textId="77777777" w:rsidR="00DE6E0F" w:rsidRDefault="00DE6E0F" w:rsidP="00DE6E0F">
      <w:pPr>
        <w:pStyle w:val="NoSpacing"/>
      </w:pPr>
    </w:p>
    <w:p w14:paraId="210D1A5C" w14:textId="1A5F0C34" w:rsidR="00DE6E0F" w:rsidRDefault="00DE6E0F" w:rsidP="00DE6E0F">
      <w:pPr>
        <w:pStyle w:val="NoSpacing"/>
      </w:pPr>
      <m:oMathPara>
        <m:oMath>
          <m:r>
            <w:rPr>
              <w:rFonts w:ascii="Cambria Math" w:hAnsi="Cambria Math"/>
            </w:rPr>
            <m:t>PiP</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56</m:t>
                  </m:r>
                </m:sub>
              </m:sSub>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(-L</m:t>
              </m:r>
              <m:sSub>
                <m:sSubPr>
                  <m:ctrlPr>
                    <w:rPr>
                      <w:rFonts w:ascii="Cambria Math" w:hAnsi="Cambria Math"/>
                      <w:i/>
                    </w:rPr>
                  </m:ctrlPr>
                </m:sSubPr>
                <m:e>
                  <m:r>
                    <w:rPr>
                      <w:rFonts w:ascii="Cambria Math" w:hAnsi="Cambria Math"/>
                    </w:rPr>
                    <m:t>O</m:t>
                  </m:r>
                </m:e>
                <m:sub>
                  <m:sSub>
                    <m:sSubPr>
                      <m:ctrlPr>
                        <w:rPr>
                          <w:rFonts w:ascii="Cambria Math" w:hAnsi="Cambria Math"/>
                          <w:i/>
                        </w:rPr>
                      </m:ctrlPr>
                    </m:sSubPr>
                    <m:e>
                      <m:r>
                        <w:rPr>
                          <w:rFonts w:ascii="Cambria Math" w:hAnsi="Cambria Math"/>
                        </w:rPr>
                        <m:t>A</m:t>
                      </m:r>
                    </m:e>
                    <m:sub>
                      <m:r>
                        <w:rPr>
                          <w:rFonts w:ascii="Cambria Math" w:hAnsi="Cambria Math"/>
                        </w:rPr>
                        <m:t>56</m:t>
                      </m:r>
                    </m:sub>
                  </m:sSub>
                </m:sub>
              </m:sSub>
              <m:r>
                <w:rPr>
                  <w:rFonts w:ascii="Cambria Math" w:hAnsi="Cambria Math"/>
                </w:rPr>
                <m:t>)</m:t>
              </m:r>
            </m:den>
          </m:f>
        </m:oMath>
      </m:oMathPara>
    </w:p>
    <w:p w14:paraId="759BB386" w14:textId="77777777" w:rsidR="00DE6E0F" w:rsidRDefault="00DE6E0F" w:rsidP="00B76A27">
      <w:pPr>
        <w:autoSpaceDE w:val="0"/>
        <w:autoSpaceDN w:val="0"/>
        <w:adjustRightInd w:val="0"/>
        <w:jc w:val="both"/>
      </w:pPr>
    </w:p>
    <w:p w14:paraId="32361812" w14:textId="372F7D1C" w:rsidR="00020556" w:rsidRPr="00020556" w:rsidRDefault="00020556" w:rsidP="00020556">
      <w:pPr>
        <w:autoSpaceDE w:val="0"/>
        <w:autoSpaceDN w:val="0"/>
        <w:adjustRightInd w:val="0"/>
        <w:spacing w:after="0"/>
        <w:jc w:val="both"/>
        <w:rPr>
          <w:b/>
        </w:rPr>
      </w:pPr>
      <w:r>
        <w:rPr>
          <w:b/>
        </w:rPr>
        <w:t>PiPS-B</w:t>
      </w:r>
      <w:r w:rsidRPr="009335F9">
        <w:rPr>
          <w:b/>
        </w:rPr>
        <w:t xml:space="preserve"> two week (14 day)</w:t>
      </w:r>
    </w:p>
    <w:p w14:paraId="33E5B767" w14:textId="12A3A10C" w:rsidR="00B76A27" w:rsidRDefault="00B76A27" w:rsidP="00B76A27">
      <w:pPr>
        <w:autoSpaceDE w:val="0"/>
        <w:autoSpaceDN w:val="0"/>
        <w:adjustRightInd w:val="0"/>
        <w:spacing w:after="0"/>
        <w:jc w:val="both"/>
      </w:pPr>
      <w:r>
        <w:t xml:space="preserve">The PiPS-B two week (14 day) </w:t>
      </w:r>
      <w:r w:rsidR="003636BA">
        <w:t>log odds are</w:t>
      </w:r>
      <w:r>
        <w:t>:</w:t>
      </w:r>
    </w:p>
    <w:p w14:paraId="0EB9C516" w14:textId="77777777" w:rsidR="00B76A27" w:rsidRDefault="00B76A27" w:rsidP="00B76A27">
      <w:pPr>
        <w:autoSpaceDE w:val="0"/>
        <w:autoSpaceDN w:val="0"/>
        <w:adjustRightInd w:val="0"/>
        <w:spacing w:after="0"/>
        <w:jc w:val="both"/>
      </w:pPr>
    </w:p>
    <w:p w14:paraId="07CA883B" w14:textId="3BC4AFD2" w:rsidR="00B76A27" w:rsidRPr="00DD3126" w:rsidRDefault="00DA3466" w:rsidP="00B76A27">
      <w:pPr>
        <w:autoSpaceDE w:val="0"/>
        <w:autoSpaceDN w:val="0"/>
        <w:adjustRightInd w:val="0"/>
        <w:jc w:val="both"/>
      </w:pPr>
      <m:oMathPara>
        <m:oMath>
          <m:sSub>
            <m:sSubPr>
              <m:ctrlPr>
                <w:rPr>
                  <w:rFonts w:ascii="Cambria Math" w:hAnsi="Cambria Math"/>
                  <w:i/>
                </w:rPr>
              </m:ctrlPr>
            </m:sSubPr>
            <m:e>
              <m:r>
                <w:rPr>
                  <w:rFonts w:ascii="Cambria Math" w:hAnsi="Cambria Math"/>
                </w:rPr>
                <m:t>LO</m:t>
              </m:r>
            </m:e>
            <m:sub>
              <m:sSub>
                <m:sSubPr>
                  <m:ctrlPr>
                    <w:rPr>
                      <w:rFonts w:ascii="Cambria Math" w:hAnsi="Cambria Math"/>
                      <w:i/>
                    </w:rPr>
                  </m:ctrlPr>
                </m:sSubPr>
                <m:e>
                  <m:r>
                    <w:rPr>
                      <w:rFonts w:ascii="Cambria Math" w:hAnsi="Cambria Math"/>
                    </w:rPr>
                    <m:t>B</m:t>
                  </m:r>
                </m:e>
                <m:sub>
                  <m:r>
                    <w:rPr>
                      <w:rFonts w:ascii="Cambria Math" w:hAnsi="Cambria Math"/>
                    </w:rPr>
                    <m:t>14</m:t>
                  </m:r>
                </m:sub>
              </m:sSub>
            </m:sub>
          </m:sSub>
          <m:r>
            <w:rPr>
              <w:rFonts w:ascii="Cambria Math" w:hAnsi="Cambria Math"/>
            </w:rPr>
            <m:t xml:space="preserve"> = 4.577 + 0.952amts - 0.017pulse - 0.835distant_mets + 0.767met</m:t>
          </m:r>
          <m:sSub>
            <m:sSubPr>
              <m:ctrlPr>
                <w:rPr>
                  <w:rFonts w:ascii="Cambria Math" w:hAnsi="Cambria Math"/>
                  <w:i/>
                </w:rPr>
              </m:ctrlPr>
            </m:sSubPr>
            <m:e>
              <m:r>
                <w:rPr>
                  <w:rFonts w:ascii="Cambria Math" w:hAnsi="Cambria Math"/>
                </w:rPr>
                <m:t>s</m:t>
              </m:r>
            </m:e>
            <m:sub>
              <m:r>
                <w:rPr>
                  <w:rFonts w:ascii="Cambria Math" w:hAnsi="Cambria Math"/>
                </w:rPr>
                <m:t>bone</m:t>
              </m:r>
            </m:sub>
          </m:sSub>
          <m:r>
            <w:rPr>
              <w:rFonts w:ascii="Cambria Math" w:hAnsi="Cambria Math"/>
            </w:rPr>
            <m:t xml:space="preserve"> - 0.678Anorexia - 0.531ecog + 0.393overall_health -0.061wbc + 0.003platelet - 0.058urea - 0.004alanine -0.006creactive</m:t>
          </m:r>
        </m:oMath>
      </m:oMathPara>
    </w:p>
    <w:p w14:paraId="7FD8EB7D" w14:textId="3CD672FE" w:rsidR="00B76A27" w:rsidRDefault="00897769" w:rsidP="00B76A27">
      <w:pPr>
        <w:autoSpaceDE w:val="0"/>
        <w:autoSpaceDN w:val="0"/>
        <w:adjustRightInd w:val="0"/>
        <w:jc w:val="both"/>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5060"/>
      </w:tblGrid>
      <w:tr w:rsidR="00104077" w:rsidRPr="00FB761A" w14:paraId="2EBADDF3" w14:textId="77777777" w:rsidTr="00897769">
        <w:tc>
          <w:tcPr>
            <w:tcW w:w="2185" w:type="dxa"/>
          </w:tcPr>
          <w:p w14:paraId="3FCF131F" w14:textId="77777777" w:rsidR="00B76A27" w:rsidRPr="00FB761A" w:rsidRDefault="00B76A27" w:rsidP="00F3652A">
            <w:pPr>
              <w:pStyle w:val="NoSpacing"/>
            </w:pPr>
            <w:r w:rsidRPr="00FB761A">
              <w:t>amts</w:t>
            </w:r>
          </w:p>
        </w:tc>
        <w:tc>
          <w:tcPr>
            <w:tcW w:w="5060" w:type="dxa"/>
          </w:tcPr>
          <w:p w14:paraId="061D57B8" w14:textId="77777777" w:rsidR="00B76A27" w:rsidRPr="00FB761A" w:rsidRDefault="00B76A27" w:rsidP="00F3652A">
            <w:pPr>
              <w:pStyle w:val="NoSpacing"/>
            </w:pPr>
            <w:r w:rsidRPr="00787AF4">
              <w:t>AMTS score (If ≤3 then = 0 , if &gt;3 then = 1)</w:t>
            </w:r>
          </w:p>
        </w:tc>
      </w:tr>
      <w:tr w:rsidR="00104077" w:rsidRPr="00FB761A" w14:paraId="3A079914" w14:textId="77777777" w:rsidTr="00897769">
        <w:tc>
          <w:tcPr>
            <w:tcW w:w="2185" w:type="dxa"/>
          </w:tcPr>
          <w:p w14:paraId="51E17E48" w14:textId="77777777" w:rsidR="00B76A27" w:rsidRPr="00FB761A" w:rsidRDefault="00B76A27" w:rsidP="00F3652A">
            <w:pPr>
              <w:pStyle w:val="NoSpacing"/>
            </w:pPr>
            <w:r w:rsidRPr="00FB761A">
              <w:t>pulse</w:t>
            </w:r>
          </w:p>
        </w:tc>
        <w:tc>
          <w:tcPr>
            <w:tcW w:w="5060" w:type="dxa"/>
          </w:tcPr>
          <w:p w14:paraId="52B6632D" w14:textId="77777777" w:rsidR="00B76A27" w:rsidRPr="00FB761A" w:rsidRDefault="00B76A27" w:rsidP="00F3652A">
            <w:pPr>
              <w:pStyle w:val="NoSpacing"/>
            </w:pPr>
            <w:r w:rsidRPr="005426B9">
              <w:t>Pulse rate</w:t>
            </w:r>
          </w:p>
        </w:tc>
      </w:tr>
      <w:tr w:rsidR="00104077" w:rsidRPr="00FB761A" w14:paraId="5819E24D" w14:textId="77777777" w:rsidTr="00897769">
        <w:tc>
          <w:tcPr>
            <w:tcW w:w="2185" w:type="dxa"/>
          </w:tcPr>
          <w:p w14:paraId="5088650A" w14:textId="77777777" w:rsidR="00B76A27" w:rsidRPr="00FB761A" w:rsidRDefault="00B76A27" w:rsidP="00F3652A">
            <w:pPr>
              <w:pStyle w:val="NoSpacing"/>
            </w:pPr>
            <w:r w:rsidRPr="00FB761A">
              <w:t>distant_mets</w:t>
            </w:r>
          </w:p>
        </w:tc>
        <w:tc>
          <w:tcPr>
            <w:tcW w:w="5060" w:type="dxa"/>
          </w:tcPr>
          <w:p w14:paraId="1B990322" w14:textId="77777777" w:rsidR="00B76A27" w:rsidRPr="00FB761A" w:rsidRDefault="00B76A27" w:rsidP="00F3652A">
            <w:pPr>
              <w:pStyle w:val="NoSpacing"/>
            </w:pPr>
            <w:r w:rsidRPr="00341EBC">
              <w:t>Presence of distant metastases (No = 0, Yes = 1)</w:t>
            </w:r>
          </w:p>
        </w:tc>
      </w:tr>
      <w:tr w:rsidR="00104077" w:rsidRPr="00FB761A" w14:paraId="158A1879" w14:textId="77777777" w:rsidTr="00897769">
        <w:tc>
          <w:tcPr>
            <w:tcW w:w="2185" w:type="dxa"/>
          </w:tcPr>
          <w:p w14:paraId="740B9197" w14:textId="77777777" w:rsidR="00B76A27" w:rsidRPr="00FB761A" w:rsidRDefault="00B76A27" w:rsidP="00F3652A">
            <w:pPr>
              <w:pStyle w:val="NoSpacing"/>
            </w:pPr>
            <w:r>
              <w:t>mets_bone</w:t>
            </w:r>
          </w:p>
        </w:tc>
        <w:tc>
          <w:tcPr>
            <w:tcW w:w="5060" w:type="dxa"/>
          </w:tcPr>
          <w:p w14:paraId="7ADD4417" w14:textId="77777777" w:rsidR="00B76A27" w:rsidRPr="00FB761A" w:rsidRDefault="00B76A27" w:rsidP="00F3652A">
            <w:pPr>
              <w:pStyle w:val="NoSpacing"/>
            </w:pPr>
            <w:r w:rsidRPr="00AC682A">
              <w:t>Presence of bone metastases (No = 0, Yes  = 1)</w:t>
            </w:r>
          </w:p>
        </w:tc>
      </w:tr>
      <w:tr w:rsidR="00104077" w:rsidRPr="00FB761A" w14:paraId="2E183851" w14:textId="77777777" w:rsidTr="00897769">
        <w:tc>
          <w:tcPr>
            <w:tcW w:w="2185" w:type="dxa"/>
          </w:tcPr>
          <w:p w14:paraId="6DD9A602" w14:textId="77777777" w:rsidR="00B76A27" w:rsidRPr="00FB761A" w:rsidRDefault="00B76A27" w:rsidP="00F3652A">
            <w:pPr>
              <w:pStyle w:val="NoSpacing"/>
            </w:pPr>
            <w:r>
              <w:t>Anorexia</w:t>
            </w:r>
          </w:p>
        </w:tc>
        <w:tc>
          <w:tcPr>
            <w:tcW w:w="5060" w:type="dxa"/>
          </w:tcPr>
          <w:p w14:paraId="51C28294" w14:textId="77777777" w:rsidR="00B76A27" w:rsidRPr="00FB761A" w:rsidRDefault="00B76A27" w:rsidP="00F3652A">
            <w:pPr>
              <w:pStyle w:val="NoSpacing"/>
            </w:pPr>
            <w:r w:rsidRPr="00846FEB">
              <w:t>Anorexia</w:t>
            </w:r>
            <w:r>
              <w:t xml:space="preserve"> </w:t>
            </w:r>
            <w:r w:rsidRPr="00846FEB">
              <w:t>(No = 0, Yes  = 1)</w:t>
            </w:r>
          </w:p>
        </w:tc>
      </w:tr>
      <w:tr w:rsidR="00104077" w:rsidRPr="00FB761A" w14:paraId="6DB1C28F" w14:textId="77777777" w:rsidTr="00897769">
        <w:trPr>
          <w:trHeight w:val="321"/>
        </w:trPr>
        <w:tc>
          <w:tcPr>
            <w:tcW w:w="2185" w:type="dxa"/>
          </w:tcPr>
          <w:p w14:paraId="72353904" w14:textId="77777777" w:rsidR="00B76A27" w:rsidRPr="00FB761A" w:rsidRDefault="00B76A27" w:rsidP="00F3652A">
            <w:pPr>
              <w:pStyle w:val="NoSpacing"/>
            </w:pPr>
            <w:r>
              <w:t>Ecog</w:t>
            </w:r>
          </w:p>
        </w:tc>
        <w:tc>
          <w:tcPr>
            <w:tcW w:w="5060" w:type="dxa"/>
          </w:tcPr>
          <w:p w14:paraId="7ED93421" w14:textId="2CC03297" w:rsidR="00B76A27" w:rsidRPr="00FB761A" w:rsidRDefault="00194314" w:rsidP="00F3652A">
            <w:pPr>
              <w:pStyle w:val="NoSpacing"/>
            </w:pPr>
            <w:r w:rsidRPr="00194314">
              <w:t>Eastern Co-operative Oncology Group</w:t>
            </w:r>
            <w:r>
              <w:t xml:space="preserve"> </w:t>
            </w:r>
            <w:r w:rsidR="00B76A27" w:rsidRPr="009B4824">
              <w:t>score</w:t>
            </w:r>
          </w:p>
        </w:tc>
      </w:tr>
      <w:tr w:rsidR="00104077" w:rsidRPr="00FB761A" w14:paraId="4E8EE731" w14:textId="77777777" w:rsidTr="00897769">
        <w:tc>
          <w:tcPr>
            <w:tcW w:w="2185" w:type="dxa"/>
          </w:tcPr>
          <w:p w14:paraId="5781C96E" w14:textId="77777777" w:rsidR="00B76A27" w:rsidRPr="00FB761A" w:rsidRDefault="00B76A27" w:rsidP="00F3652A">
            <w:pPr>
              <w:pStyle w:val="NoSpacing"/>
            </w:pPr>
            <w:r>
              <w:t>Overall_health</w:t>
            </w:r>
          </w:p>
        </w:tc>
        <w:tc>
          <w:tcPr>
            <w:tcW w:w="5060" w:type="dxa"/>
          </w:tcPr>
          <w:p w14:paraId="291966F1" w14:textId="77777777" w:rsidR="00B76A27" w:rsidRPr="00FB761A" w:rsidRDefault="00B76A27" w:rsidP="00F3652A">
            <w:pPr>
              <w:pStyle w:val="NoSpacing"/>
            </w:pPr>
            <w:r w:rsidRPr="009B4824">
              <w:t>Global Health Score</w:t>
            </w:r>
          </w:p>
        </w:tc>
      </w:tr>
      <w:tr w:rsidR="00104077" w:rsidRPr="00FB761A" w14:paraId="0B7834D8" w14:textId="77777777" w:rsidTr="00897769">
        <w:tc>
          <w:tcPr>
            <w:tcW w:w="2185" w:type="dxa"/>
          </w:tcPr>
          <w:p w14:paraId="5B48331E" w14:textId="77777777" w:rsidR="00B76A27" w:rsidRPr="00FB761A" w:rsidRDefault="00B76A27" w:rsidP="00F3652A">
            <w:pPr>
              <w:pStyle w:val="NoSpacing"/>
            </w:pPr>
            <w:r>
              <w:t>Wbc</w:t>
            </w:r>
          </w:p>
        </w:tc>
        <w:tc>
          <w:tcPr>
            <w:tcW w:w="5060" w:type="dxa"/>
          </w:tcPr>
          <w:p w14:paraId="7BDDEA73" w14:textId="77777777" w:rsidR="00B76A27" w:rsidRPr="00FB761A" w:rsidRDefault="00B76A27" w:rsidP="00F3652A">
            <w:pPr>
              <w:pStyle w:val="NoSpacing"/>
            </w:pPr>
            <w:r w:rsidRPr="00490CB4">
              <w:t>WBC (x10^9/L)</w:t>
            </w:r>
          </w:p>
        </w:tc>
      </w:tr>
      <w:tr w:rsidR="00104077" w:rsidRPr="00FB761A" w14:paraId="35BBBAA8" w14:textId="77777777" w:rsidTr="00897769">
        <w:tc>
          <w:tcPr>
            <w:tcW w:w="2185" w:type="dxa"/>
          </w:tcPr>
          <w:p w14:paraId="1D8FE7B6" w14:textId="77777777" w:rsidR="00B76A27" w:rsidRPr="00FB761A" w:rsidRDefault="00B76A27" w:rsidP="00F3652A">
            <w:pPr>
              <w:pStyle w:val="NoSpacing"/>
            </w:pPr>
            <w:r>
              <w:t>Platlet</w:t>
            </w:r>
          </w:p>
        </w:tc>
        <w:tc>
          <w:tcPr>
            <w:tcW w:w="5060" w:type="dxa"/>
          </w:tcPr>
          <w:p w14:paraId="34B8EF29" w14:textId="77777777" w:rsidR="00B76A27" w:rsidRPr="00FB761A" w:rsidRDefault="00B76A27" w:rsidP="00F3652A">
            <w:pPr>
              <w:pStyle w:val="NoSpacing"/>
            </w:pPr>
            <w:r w:rsidRPr="000D4BAE">
              <w:t>Platelet count (x10^9/L)</w:t>
            </w:r>
          </w:p>
        </w:tc>
      </w:tr>
      <w:tr w:rsidR="00104077" w:rsidRPr="00FB761A" w14:paraId="54D6B5E5" w14:textId="77777777" w:rsidTr="00897769">
        <w:tc>
          <w:tcPr>
            <w:tcW w:w="2185" w:type="dxa"/>
          </w:tcPr>
          <w:p w14:paraId="7DF492CC" w14:textId="77777777" w:rsidR="00B76A27" w:rsidRPr="00FB761A" w:rsidRDefault="00B76A27" w:rsidP="00F3652A">
            <w:pPr>
              <w:pStyle w:val="NoSpacing"/>
            </w:pPr>
            <w:r>
              <w:t>urea</w:t>
            </w:r>
          </w:p>
        </w:tc>
        <w:tc>
          <w:tcPr>
            <w:tcW w:w="5060" w:type="dxa"/>
          </w:tcPr>
          <w:p w14:paraId="2AB09F29" w14:textId="77777777" w:rsidR="00B76A27" w:rsidRPr="00FB761A" w:rsidRDefault="00B76A27" w:rsidP="00F3652A">
            <w:pPr>
              <w:pStyle w:val="NoSpacing"/>
            </w:pPr>
            <w:r w:rsidRPr="00BC0892">
              <w:t>Urea (mmol/L)</w:t>
            </w:r>
          </w:p>
        </w:tc>
      </w:tr>
      <w:tr w:rsidR="00104077" w:rsidRPr="00FB761A" w14:paraId="3A94643C" w14:textId="77777777" w:rsidTr="00897769">
        <w:tc>
          <w:tcPr>
            <w:tcW w:w="2185" w:type="dxa"/>
          </w:tcPr>
          <w:p w14:paraId="4C0CEF67" w14:textId="77777777" w:rsidR="00B76A27" w:rsidRDefault="00B76A27" w:rsidP="00F3652A">
            <w:pPr>
              <w:pStyle w:val="NoSpacing"/>
            </w:pPr>
            <w:r>
              <w:t>alanine</w:t>
            </w:r>
          </w:p>
        </w:tc>
        <w:tc>
          <w:tcPr>
            <w:tcW w:w="5060" w:type="dxa"/>
          </w:tcPr>
          <w:p w14:paraId="27491AC3" w14:textId="77777777" w:rsidR="00B76A27" w:rsidRPr="00FB761A" w:rsidRDefault="00B76A27" w:rsidP="00F3652A">
            <w:pPr>
              <w:pStyle w:val="NoSpacing"/>
            </w:pPr>
            <w:r w:rsidRPr="00846FEB">
              <w:t>ALT (U/L)</w:t>
            </w:r>
          </w:p>
        </w:tc>
      </w:tr>
      <w:tr w:rsidR="00104077" w:rsidRPr="00FB761A" w14:paraId="72121B33" w14:textId="77777777" w:rsidTr="00897769">
        <w:tc>
          <w:tcPr>
            <w:tcW w:w="2185" w:type="dxa"/>
          </w:tcPr>
          <w:p w14:paraId="69D630E1" w14:textId="77777777" w:rsidR="00B76A27" w:rsidRDefault="00B76A27" w:rsidP="00F3652A">
            <w:pPr>
              <w:pStyle w:val="NoSpacing"/>
            </w:pPr>
            <w:r>
              <w:t>creactive</w:t>
            </w:r>
          </w:p>
        </w:tc>
        <w:tc>
          <w:tcPr>
            <w:tcW w:w="5060" w:type="dxa"/>
          </w:tcPr>
          <w:p w14:paraId="591E14D5" w14:textId="77777777" w:rsidR="00B76A27" w:rsidRPr="00FB761A" w:rsidRDefault="00B76A27" w:rsidP="00F3652A">
            <w:pPr>
              <w:pStyle w:val="NoSpacing"/>
            </w:pPr>
            <w:r w:rsidRPr="002E03F5">
              <w:t>CRP (mg/L)</w:t>
            </w:r>
          </w:p>
        </w:tc>
      </w:tr>
    </w:tbl>
    <w:p w14:paraId="3BAA5BFA" w14:textId="77777777" w:rsidR="00B76A27" w:rsidRDefault="00B76A27" w:rsidP="00B76A27">
      <w:pPr>
        <w:autoSpaceDE w:val="0"/>
        <w:autoSpaceDN w:val="0"/>
        <w:adjustRightInd w:val="0"/>
        <w:jc w:val="both"/>
      </w:pPr>
    </w:p>
    <w:p w14:paraId="383C0A89" w14:textId="75BE6428" w:rsidR="00C61B07" w:rsidRDefault="00C61B07" w:rsidP="00C61B07">
      <w:pPr>
        <w:pStyle w:val="NoSpacing"/>
      </w:pPr>
      <w:r>
        <w:t>The corresponding probability of survival for the PiPS-B two week (14 day) model is:</w:t>
      </w:r>
    </w:p>
    <w:p w14:paraId="726D0A20" w14:textId="77777777" w:rsidR="00C61B07" w:rsidRDefault="00C61B07" w:rsidP="00C61B07">
      <w:pPr>
        <w:pStyle w:val="NoSpacing"/>
      </w:pPr>
    </w:p>
    <w:p w14:paraId="5C2A5E17" w14:textId="2EDF6531" w:rsidR="00C61B07" w:rsidRDefault="00C61B07" w:rsidP="00C61B07">
      <w:pPr>
        <w:pStyle w:val="NoSpacing"/>
      </w:pPr>
      <m:oMathPara>
        <m:oMath>
          <m:r>
            <w:rPr>
              <w:rFonts w:ascii="Cambria Math" w:hAnsi="Cambria Math"/>
            </w:rPr>
            <m:t>PiP</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B</m:t>
                  </m:r>
                </m:e>
                <m:sub>
                  <m:r>
                    <w:rPr>
                      <w:rFonts w:ascii="Cambria Math" w:hAnsi="Cambria Math"/>
                    </w:rPr>
                    <m:t>14</m:t>
                  </m:r>
                </m:sub>
              </m:sSub>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(-L</m:t>
              </m:r>
              <m:sSub>
                <m:sSubPr>
                  <m:ctrlPr>
                    <w:rPr>
                      <w:rFonts w:ascii="Cambria Math" w:hAnsi="Cambria Math"/>
                      <w:i/>
                    </w:rPr>
                  </m:ctrlPr>
                </m:sSubPr>
                <m:e>
                  <m:r>
                    <w:rPr>
                      <w:rFonts w:ascii="Cambria Math" w:hAnsi="Cambria Math"/>
                    </w:rPr>
                    <m:t>O</m:t>
                  </m:r>
                </m:e>
                <m:sub>
                  <m:sSub>
                    <m:sSubPr>
                      <m:ctrlPr>
                        <w:rPr>
                          <w:rFonts w:ascii="Cambria Math" w:hAnsi="Cambria Math"/>
                          <w:i/>
                        </w:rPr>
                      </m:ctrlPr>
                    </m:sSubPr>
                    <m:e>
                      <m:r>
                        <w:rPr>
                          <w:rFonts w:ascii="Cambria Math" w:hAnsi="Cambria Math"/>
                        </w:rPr>
                        <m:t>B</m:t>
                      </m:r>
                    </m:e>
                    <m:sub>
                      <m:r>
                        <w:rPr>
                          <w:rFonts w:ascii="Cambria Math" w:hAnsi="Cambria Math"/>
                        </w:rPr>
                        <m:t>14</m:t>
                      </m:r>
                    </m:sub>
                  </m:sSub>
                </m:sub>
              </m:sSub>
              <m:r>
                <w:rPr>
                  <w:rFonts w:ascii="Cambria Math" w:hAnsi="Cambria Math"/>
                </w:rPr>
                <m:t>)</m:t>
              </m:r>
            </m:den>
          </m:f>
        </m:oMath>
      </m:oMathPara>
    </w:p>
    <w:p w14:paraId="19C1BB52" w14:textId="77777777" w:rsidR="00C61B07" w:rsidRDefault="00C61B07" w:rsidP="00B76A27">
      <w:pPr>
        <w:autoSpaceDE w:val="0"/>
        <w:autoSpaceDN w:val="0"/>
        <w:adjustRightInd w:val="0"/>
        <w:jc w:val="both"/>
      </w:pPr>
    </w:p>
    <w:p w14:paraId="1D59B41F" w14:textId="63DC7A2A" w:rsidR="00020556" w:rsidRPr="00020556" w:rsidRDefault="00020556" w:rsidP="00020556">
      <w:pPr>
        <w:autoSpaceDE w:val="0"/>
        <w:autoSpaceDN w:val="0"/>
        <w:adjustRightInd w:val="0"/>
        <w:spacing w:after="0"/>
        <w:jc w:val="both"/>
        <w:rPr>
          <w:b/>
        </w:rPr>
      </w:pPr>
      <w:r>
        <w:rPr>
          <w:b/>
        </w:rPr>
        <w:t xml:space="preserve">PiPS-B </w:t>
      </w:r>
      <w:r w:rsidRPr="009335F9">
        <w:rPr>
          <w:b/>
        </w:rPr>
        <w:t xml:space="preserve">two </w:t>
      </w:r>
      <w:r>
        <w:rPr>
          <w:b/>
        </w:rPr>
        <w:t>month (56</w:t>
      </w:r>
      <w:r w:rsidRPr="009335F9">
        <w:rPr>
          <w:b/>
        </w:rPr>
        <w:t xml:space="preserve"> day)</w:t>
      </w:r>
    </w:p>
    <w:p w14:paraId="119767C1" w14:textId="46614B68" w:rsidR="00B76A27" w:rsidRDefault="00B76A27" w:rsidP="00B76A27">
      <w:pPr>
        <w:autoSpaceDE w:val="0"/>
        <w:autoSpaceDN w:val="0"/>
        <w:adjustRightInd w:val="0"/>
        <w:spacing w:after="0"/>
        <w:jc w:val="both"/>
      </w:pPr>
      <w:r>
        <w:t xml:space="preserve">The PiPS-B two month (56 day) </w:t>
      </w:r>
      <w:r w:rsidR="00CC0A0D">
        <w:t>log odds are</w:t>
      </w:r>
      <w:r>
        <w:t>:</w:t>
      </w:r>
    </w:p>
    <w:p w14:paraId="78741A19" w14:textId="77777777" w:rsidR="00B76A27" w:rsidRPr="003301CC" w:rsidRDefault="00B76A27" w:rsidP="00B76A27">
      <w:pPr>
        <w:autoSpaceDE w:val="0"/>
        <w:autoSpaceDN w:val="0"/>
        <w:adjustRightInd w:val="0"/>
        <w:spacing w:after="0"/>
        <w:jc w:val="both"/>
      </w:pPr>
    </w:p>
    <w:p w14:paraId="191A19C2" w14:textId="753E8F83" w:rsidR="00B76A27" w:rsidRPr="00FB58FB" w:rsidRDefault="00DA3466" w:rsidP="00B76A27">
      <w:pPr>
        <w:autoSpaceDE w:val="0"/>
        <w:autoSpaceDN w:val="0"/>
        <w:adjustRightInd w:val="0"/>
        <w:jc w:val="both"/>
        <w:rPr>
          <w:rFonts w:ascii="Cambria Math" w:hAnsi="Cambria Math"/>
          <w:oMath/>
        </w:rPr>
      </w:pPr>
      <m:oMathPara>
        <m:oMath>
          <m:sSub>
            <m:sSubPr>
              <m:ctrlPr>
                <w:rPr>
                  <w:rFonts w:ascii="Cambria Math" w:hAnsi="Cambria Math"/>
                  <w:i/>
                </w:rPr>
              </m:ctrlPr>
            </m:sSubPr>
            <m:e>
              <m:r>
                <w:rPr>
                  <w:rFonts w:ascii="Cambria Math" w:hAnsi="Cambria Math"/>
                </w:rPr>
                <m:t>LO</m:t>
              </m:r>
            </m:e>
            <m:sub>
              <m:sSub>
                <m:sSubPr>
                  <m:ctrlPr>
                    <w:rPr>
                      <w:rFonts w:ascii="Cambria Math" w:hAnsi="Cambria Math"/>
                      <w:i/>
                    </w:rPr>
                  </m:ctrlPr>
                </m:sSubPr>
                <m:e>
                  <m:r>
                    <w:rPr>
                      <w:rFonts w:ascii="Cambria Math" w:hAnsi="Cambria Math"/>
                    </w:rPr>
                    <m:t>B</m:t>
                  </m:r>
                </m:e>
                <m:sub>
                  <m:r>
                    <w:rPr>
                      <w:rFonts w:ascii="Cambria Math" w:hAnsi="Cambria Math"/>
                    </w:rPr>
                    <m:t>56</m:t>
                  </m:r>
                </m:sub>
              </m:sSub>
            </m:sub>
          </m:sSub>
          <m:r>
            <w:rPr>
              <w:rFonts w:ascii="Cambria Math" w:hAnsi="Cambria Math"/>
            </w:rPr>
            <m:t xml:space="preserve"> = -0.075 -0.013pulse - 0.042wbc + 0.001platelet - 0.031neutrophil + 0.163lymphocyt</m:t>
          </m:r>
          <m:sSub>
            <m:sSubPr>
              <m:ctrlPr>
                <w:rPr>
                  <w:rFonts w:ascii="Cambria Math" w:hAnsi="Cambria Math"/>
                  <w:i/>
                </w:rPr>
              </m:ctrlPr>
            </m:sSubPr>
            <m:e>
              <m:r>
                <w:rPr>
                  <w:rFonts w:ascii="Cambria Math" w:hAnsi="Cambria Math"/>
                </w:rPr>
                <m:t>e</m:t>
              </m:r>
            </m:e>
            <m:sub>
              <m:r>
                <w:rPr>
                  <w:rFonts w:ascii="Cambria Math" w:hAnsi="Cambria Math"/>
                </w:rPr>
                <m:t>10exp9</m:t>
              </m:r>
            </m:sub>
          </m:sSub>
          <m:r>
            <w:rPr>
              <w:rFonts w:ascii="Cambria Math" w:hAnsi="Cambria Math"/>
            </w:rPr>
            <m:t xml:space="preserve"> - 0.062urea - 0.001alkaline+ 0.040albumin - 0.007creactive + 1.56mgo_cancer - 0.673fatigue +0.474overall_health</m:t>
          </m:r>
        </m:oMath>
      </m:oMathPara>
    </w:p>
    <w:p w14:paraId="195AF7E1" w14:textId="0A064C2C" w:rsidR="00B76A27" w:rsidRDefault="00897769" w:rsidP="00B76A27">
      <w:pPr>
        <w:autoSpaceDE w:val="0"/>
        <w:autoSpaceDN w:val="0"/>
        <w:adjustRightInd w:val="0"/>
        <w:jc w:val="both"/>
      </w:pPr>
      <w:r>
        <w:t>where</w:t>
      </w:r>
      <w:r w:rsidR="00B76A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5060"/>
      </w:tblGrid>
      <w:tr w:rsidR="00B76A27" w:rsidRPr="00FB761A" w14:paraId="302F10A3" w14:textId="77777777" w:rsidTr="00897769">
        <w:trPr>
          <w:trHeight w:val="311"/>
        </w:trPr>
        <w:tc>
          <w:tcPr>
            <w:tcW w:w="2295" w:type="dxa"/>
          </w:tcPr>
          <w:p w14:paraId="51E42264" w14:textId="77777777" w:rsidR="00B76A27" w:rsidRPr="00FB761A" w:rsidRDefault="00B76A27" w:rsidP="00F3652A">
            <w:pPr>
              <w:pStyle w:val="NoSpacing"/>
            </w:pPr>
            <w:r>
              <w:t>Pulse</w:t>
            </w:r>
          </w:p>
        </w:tc>
        <w:tc>
          <w:tcPr>
            <w:tcW w:w="5060" w:type="dxa"/>
          </w:tcPr>
          <w:p w14:paraId="38084440" w14:textId="77777777" w:rsidR="00B76A27" w:rsidRPr="00FB761A" w:rsidRDefault="00B76A27" w:rsidP="00F3652A">
            <w:pPr>
              <w:pStyle w:val="NoSpacing"/>
            </w:pPr>
            <w:r w:rsidRPr="005426B9">
              <w:t>Pulse rate</w:t>
            </w:r>
          </w:p>
        </w:tc>
      </w:tr>
      <w:tr w:rsidR="00B76A27" w:rsidRPr="00FB761A" w14:paraId="3DA665B2" w14:textId="77777777" w:rsidTr="00897769">
        <w:tc>
          <w:tcPr>
            <w:tcW w:w="2295" w:type="dxa"/>
          </w:tcPr>
          <w:p w14:paraId="189DF856" w14:textId="77777777" w:rsidR="00B76A27" w:rsidRPr="00FB761A" w:rsidRDefault="00B76A27" w:rsidP="00F3652A">
            <w:pPr>
              <w:pStyle w:val="NoSpacing"/>
            </w:pPr>
            <w:r>
              <w:t>Wbc</w:t>
            </w:r>
          </w:p>
        </w:tc>
        <w:tc>
          <w:tcPr>
            <w:tcW w:w="5060" w:type="dxa"/>
          </w:tcPr>
          <w:p w14:paraId="7F4CBAC7" w14:textId="77777777" w:rsidR="00B76A27" w:rsidRPr="00FB761A" w:rsidRDefault="00B76A27" w:rsidP="00F3652A">
            <w:pPr>
              <w:pStyle w:val="NoSpacing"/>
            </w:pPr>
            <w:r w:rsidRPr="007E72B4">
              <w:t>WBC (x10^9/L)</w:t>
            </w:r>
          </w:p>
        </w:tc>
      </w:tr>
      <w:tr w:rsidR="00B76A27" w:rsidRPr="00FB761A" w14:paraId="74A8D736" w14:textId="77777777" w:rsidTr="00897769">
        <w:trPr>
          <w:trHeight w:val="311"/>
        </w:trPr>
        <w:tc>
          <w:tcPr>
            <w:tcW w:w="2295" w:type="dxa"/>
          </w:tcPr>
          <w:p w14:paraId="33982BD1" w14:textId="77777777" w:rsidR="00B76A27" w:rsidRPr="00FB761A" w:rsidRDefault="00B76A27" w:rsidP="00F3652A">
            <w:pPr>
              <w:pStyle w:val="NoSpacing"/>
            </w:pPr>
            <w:r>
              <w:t>Platlet</w:t>
            </w:r>
          </w:p>
        </w:tc>
        <w:tc>
          <w:tcPr>
            <w:tcW w:w="5060" w:type="dxa"/>
          </w:tcPr>
          <w:p w14:paraId="6FD5B5B5" w14:textId="77777777" w:rsidR="00B76A27" w:rsidRPr="00FB761A" w:rsidRDefault="00B76A27" w:rsidP="00F3652A">
            <w:pPr>
              <w:pStyle w:val="NoSpacing"/>
            </w:pPr>
            <w:r w:rsidRPr="005202B9">
              <w:t>Platelet count (x10^9/L)</w:t>
            </w:r>
          </w:p>
        </w:tc>
      </w:tr>
      <w:tr w:rsidR="00B76A27" w:rsidRPr="00FB761A" w14:paraId="34B097CA" w14:textId="77777777" w:rsidTr="00897769">
        <w:tc>
          <w:tcPr>
            <w:tcW w:w="2295" w:type="dxa"/>
          </w:tcPr>
          <w:p w14:paraId="0C553991" w14:textId="77777777" w:rsidR="00B76A27" w:rsidRPr="00FB761A" w:rsidRDefault="00B76A27" w:rsidP="00F3652A">
            <w:pPr>
              <w:pStyle w:val="NoSpacing"/>
            </w:pPr>
            <w:r>
              <w:t>Neutrophil</w:t>
            </w:r>
          </w:p>
        </w:tc>
        <w:tc>
          <w:tcPr>
            <w:tcW w:w="5060" w:type="dxa"/>
          </w:tcPr>
          <w:p w14:paraId="3C8E2866" w14:textId="77777777" w:rsidR="00B76A27" w:rsidRPr="00FB761A" w:rsidRDefault="00B76A27" w:rsidP="00F3652A">
            <w:pPr>
              <w:pStyle w:val="NoSpacing"/>
            </w:pPr>
            <w:r w:rsidRPr="00490CB4">
              <w:t>neutrophils (x10^9/L)</w:t>
            </w:r>
          </w:p>
        </w:tc>
      </w:tr>
      <w:tr w:rsidR="00B76A27" w:rsidRPr="00FB761A" w14:paraId="30DE9685" w14:textId="77777777" w:rsidTr="00897769">
        <w:tc>
          <w:tcPr>
            <w:tcW w:w="2295" w:type="dxa"/>
          </w:tcPr>
          <w:p w14:paraId="75BBE5D7" w14:textId="77777777" w:rsidR="00B76A27" w:rsidRPr="00FB761A" w:rsidRDefault="00B76A27" w:rsidP="00F3652A">
            <w:pPr>
              <w:pStyle w:val="NoSpacing"/>
            </w:pPr>
            <w:r w:rsidRPr="006E5751">
              <w:t>lymphocyte_10exp9</w:t>
            </w:r>
          </w:p>
        </w:tc>
        <w:tc>
          <w:tcPr>
            <w:tcW w:w="5060" w:type="dxa"/>
          </w:tcPr>
          <w:p w14:paraId="446D518E" w14:textId="77777777" w:rsidR="00B76A27" w:rsidRPr="00FB761A" w:rsidRDefault="00B76A27" w:rsidP="00F3652A">
            <w:pPr>
              <w:pStyle w:val="NoSpacing"/>
            </w:pPr>
            <w:r w:rsidRPr="006450BF">
              <w:t>Lymphocytes (x10^9/L)</w:t>
            </w:r>
          </w:p>
        </w:tc>
      </w:tr>
      <w:tr w:rsidR="00B76A27" w:rsidRPr="00FB761A" w14:paraId="0DD401A2" w14:textId="77777777" w:rsidTr="00897769">
        <w:tc>
          <w:tcPr>
            <w:tcW w:w="2295" w:type="dxa"/>
          </w:tcPr>
          <w:p w14:paraId="66412F4D" w14:textId="77777777" w:rsidR="00B76A27" w:rsidRPr="00FB761A" w:rsidRDefault="00B76A27" w:rsidP="00F3652A">
            <w:pPr>
              <w:pStyle w:val="NoSpacing"/>
            </w:pPr>
            <w:r>
              <w:t>Urea</w:t>
            </w:r>
          </w:p>
        </w:tc>
        <w:tc>
          <w:tcPr>
            <w:tcW w:w="5060" w:type="dxa"/>
          </w:tcPr>
          <w:p w14:paraId="6DC085A5" w14:textId="77777777" w:rsidR="00B76A27" w:rsidRPr="00FB761A" w:rsidRDefault="00B76A27" w:rsidP="00F3652A">
            <w:pPr>
              <w:pStyle w:val="NoSpacing"/>
            </w:pPr>
            <w:r w:rsidRPr="00BC0892">
              <w:t>Urea (mmol/L)</w:t>
            </w:r>
          </w:p>
        </w:tc>
      </w:tr>
      <w:tr w:rsidR="00B76A27" w:rsidRPr="00FB761A" w14:paraId="0CA99193" w14:textId="77777777" w:rsidTr="00897769">
        <w:tc>
          <w:tcPr>
            <w:tcW w:w="2295" w:type="dxa"/>
          </w:tcPr>
          <w:p w14:paraId="194F4C8A" w14:textId="77777777" w:rsidR="00B76A27" w:rsidRPr="00FB761A" w:rsidRDefault="00B76A27" w:rsidP="00F3652A">
            <w:pPr>
              <w:pStyle w:val="NoSpacing"/>
            </w:pPr>
            <w:r>
              <w:t>Alkaline</w:t>
            </w:r>
          </w:p>
        </w:tc>
        <w:tc>
          <w:tcPr>
            <w:tcW w:w="5060" w:type="dxa"/>
          </w:tcPr>
          <w:p w14:paraId="123815D0" w14:textId="77777777" w:rsidR="00B76A27" w:rsidRPr="00FB761A" w:rsidRDefault="00B76A27" w:rsidP="00F3652A">
            <w:pPr>
              <w:pStyle w:val="NoSpacing"/>
            </w:pPr>
            <w:r w:rsidRPr="0015752C">
              <w:t>Alk Phos (U/L)</w:t>
            </w:r>
          </w:p>
        </w:tc>
      </w:tr>
      <w:tr w:rsidR="00B76A27" w:rsidRPr="00FB761A" w14:paraId="0583DB3F" w14:textId="77777777" w:rsidTr="00897769">
        <w:tc>
          <w:tcPr>
            <w:tcW w:w="2295" w:type="dxa"/>
          </w:tcPr>
          <w:p w14:paraId="6042730A" w14:textId="77777777" w:rsidR="00B76A27" w:rsidRPr="00FB761A" w:rsidRDefault="00B76A27" w:rsidP="00F3652A">
            <w:pPr>
              <w:pStyle w:val="NoSpacing"/>
            </w:pPr>
            <w:r>
              <w:t>Creactive</w:t>
            </w:r>
          </w:p>
        </w:tc>
        <w:tc>
          <w:tcPr>
            <w:tcW w:w="5060" w:type="dxa"/>
          </w:tcPr>
          <w:p w14:paraId="70444123" w14:textId="77777777" w:rsidR="00B76A27" w:rsidRPr="00FB761A" w:rsidRDefault="00B76A27" w:rsidP="00F3652A">
            <w:pPr>
              <w:pStyle w:val="NoSpacing"/>
            </w:pPr>
            <w:r w:rsidRPr="002E03F5">
              <w:t>CRP (mg/L)</w:t>
            </w:r>
          </w:p>
        </w:tc>
      </w:tr>
      <w:tr w:rsidR="00B76A27" w:rsidRPr="00FB761A" w14:paraId="7B1F2125" w14:textId="77777777" w:rsidTr="00897769">
        <w:tc>
          <w:tcPr>
            <w:tcW w:w="2295" w:type="dxa"/>
          </w:tcPr>
          <w:p w14:paraId="2E7EB95C" w14:textId="77777777" w:rsidR="00B76A27" w:rsidRPr="00FB761A" w:rsidRDefault="00B76A27" w:rsidP="00F3652A">
            <w:pPr>
              <w:pStyle w:val="NoSpacing"/>
            </w:pPr>
            <w:r>
              <w:t>Mgo_cancer</w:t>
            </w:r>
          </w:p>
        </w:tc>
        <w:tc>
          <w:tcPr>
            <w:tcW w:w="5060" w:type="dxa"/>
          </w:tcPr>
          <w:p w14:paraId="4E99BE1C" w14:textId="77777777" w:rsidR="00B76A27" w:rsidRPr="00FB761A" w:rsidRDefault="00B76A27" w:rsidP="00F3652A">
            <w:pPr>
              <w:pStyle w:val="NoSpacing"/>
            </w:pPr>
            <w:r w:rsidRPr="00B51A90">
              <w:t>Primary cancer MGO (No = 0, Yes = 1)</w:t>
            </w:r>
          </w:p>
        </w:tc>
      </w:tr>
      <w:tr w:rsidR="00B76A27" w:rsidRPr="00FB761A" w14:paraId="1A8B36B2" w14:textId="77777777" w:rsidTr="00897769">
        <w:tc>
          <w:tcPr>
            <w:tcW w:w="2295" w:type="dxa"/>
          </w:tcPr>
          <w:p w14:paraId="744774A3" w14:textId="77777777" w:rsidR="00B76A27" w:rsidRPr="00FB761A" w:rsidRDefault="00B76A27" w:rsidP="00F3652A">
            <w:pPr>
              <w:pStyle w:val="NoSpacing"/>
            </w:pPr>
            <w:r>
              <w:t>fatigue</w:t>
            </w:r>
          </w:p>
        </w:tc>
        <w:tc>
          <w:tcPr>
            <w:tcW w:w="5060" w:type="dxa"/>
          </w:tcPr>
          <w:p w14:paraId="74527624" w14:textId="77777777" w:rsidR="00B76A27" w:rsidRPr="00FB761A" w:rsidRDefault="00B76A27" w:rsidP="00F3652A">
            <w:pPr>
              <w:pStyle w:val="NoSpacing"/>
              <w:tabs>
                <w:tab w:val="left" w:pos="1440"/>
              </w:tabs>
            </w:pPr>
            <w:r w:rsidRPr="00846FEB">
              <w:t>Fatigue (No = 0, Yes = 1)</w:t>
            </w:r>
          </w:p>
        </w:tc>
      </w:tr>
      <w:tr w:rsidR="00B76A27" w:rsidRPr="00FB761A" w14:paraId="3FFF93D5" w14:textId="77777777" w:rsidTr="00897769">
        <w:trPr>
          <w:trHeight w:val="213"/>
        </w:trPr>
        <w:tc>
          <w:tcPr>
            <w:tcW w:w="2295" w:type="dxa"/>
          </w:tcPr>
          <w:p w14:paraId="69BE08A1" w14:textId="77777777" w:rsidR="00B76A27" w:rsidRDefault="00B76A27" w:rsidP="00F3652A">
            <w:pPr>
              <w:pStyle w:val="NoSpacing"/>
            </w:pPr>
            <w:r>
              <w:t>Overall_health</w:t>
            </w:r>
          </w:p>
        </w:tc>
        <w:tc>
          <w:tcPr>
            <w:tcW w:w="5060" w:type="dxa"/>
          </w:tcPr>
          <w:p w14:paraId="3A5DEAA5" w14:textId="77777777" w:rsidR="00B76A27" w:rsidRPr="00FB761A" w:rsidRDefault="00B76A27" w:rsidP="00F3652A">
            <w:pPr>
              <w:pStyle w:val="NoSpacing"/>
            </w:pPr>
            <w:r w:rsidRPr="002E03F5">
              <w:t>Global Health Score</w:t>
            </w:r>
          </w:p>
        </w:tc>
      </w:tr>
    </w:tbl>
    <w:p w14:paraId="4AD72EB1" w14:textId="77777777" w:rsidR="00B76A27" w:rsidRDefault="00B76A27" w:rsidP="00B76A27">
      <w:pPr>
        <w:autoSpaceDE w:val="0"/>
        <w:autoSpaceDN w:val="0"/>
        <w:adjustRightInd w:val="0"/>
        <w:jc w:val="both"/>
      </w:pPr>
    </w:p>
    <w:p w14:paraId="73920E5D" w14:textId="5F957C18" w:rsidR="00435404" w:rsidRDefault="00435404" w:rsidP="00435404">
      <w:pPr>
        <w:pStyle w:val="NoSpacing"/>
      </w:pPr>
      <w:r>
        <w:t>The corresponding probability of survival for the PiPS-B two month (56 day) model is:</w:t>
      </w:r>
    </w:p>
    <w:p w14:paraId="453DFA26" w14:textId="77777777" w:rsidR="00435404" w:rsidRDefault="00435404" w:rsidP="00435404">
      <w:pPr>
        <w:pStyle w:val="NoSpacing"/>
      </w:pPr>
    </w:p>
    <w:p w14:paraId="75B26116" w14:textId="2AA6D861" w:rsidR="00435404" w:rsidRDefault="00435404" w:rsidP="00435404">
      <w:pPr>
        <w:pStyle w:val="NoSpacing"/>
      </w:pPr>
      <m:oMathPara>
        <m:oMath>
          <m:r>
            <w:rPr>
              <w:rFonts w:ascii="Cambria Math" w:hAnsi="Cambria Math"/>
            </w:rPr>
            <m:t>PiP</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B</m:t>
                  </m:r>
                </m:e>
                <m:sub>
                  <m:r>
                    <w:rPr>
                      <w:rFonts w:ascii="Cambria Math" w:hAnsi="Cambria Math"/>
                    </w:rPr>
                    <m:t>56</m:t>
                  </m:r>
                </m:sub>
              </m:sSub>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(-L</m:t>
              </m:r>
              <m:sSub>
                <m:sSubPr>
                  <m:ctrlPr>
                    <w:rPr>
                      <w:rFonts w:ascii="Cambria Math" w:hAnsi="Cambria Math"/>
                      <w:i/>
                    </w:rPr>
                  </m:ctrlPr>
                </m:sSubPr>
                <m:e>
                  <m:r>
                    <w:rPr>
                      <w:rFonts w:ascii="Cambria Math" w:hAnsi="Cambria Math"/>
                    </w:rPr>
                    <m:t>O</m:t>
                  </m:r>
                </m:e>
                <m:sub>
                  <m:sSub>
                    <m:sSubPr>
                      <m:ctrlPr>
                        <w:rPr>
                          <w:rFonts w:ascii="Cambria Math" w:hAnsi="Cambria Math"/>
                          <w:i/>
                        </w:rPr>
                      </m:ctrlPr>
                    </m:sSubPr>
                    <m:e>
                      <m:r>
                        <w:rPr>
                          <w:rFonts w:ascii="Cambria Math" w:hAnsi="Cambria Math"/>
                        </w:rPr>
                        <m:t>B</m:t>
                      </m:r>
                    </m:e>
                    <m:sub>
                      <m:r>
                        <w:rPr>
                          <w:rFonts w:ascii="Cambria Math" w:hAnsi="Cambria Math"/>
                        </w:rPr>
                        <m:t>56</m:t>
                      </m:r>
                    </m:sub>
                  </m:sSub>
                </m:sub>
              </m:sSub>
              <m:r>
                <w:rPr>
                  <w:rFonts w:ascii="Cambria Math" w:hAnsi="Cambria Math"/>
                </w:rPr>
                <m:t>)</m:t>
              </m:r>
            </m:den>
          </m:f>
        </m:oMath>
      </m:oMathPara>
    </w:p>
    <w:p w14:paraId="3C270DC0" w14:textId="77777777" w:rsidR="00B76A27" w:rsidRDefault="00B76A27" w:rsidP="00B76A27">
      <w:pPr>
        <w:autoSpaceDE w:val="0"/>
        <w:autoSpaceDN w:val="0"/>
        <w:adjustRightInd w:val="0"/>
        <w:jc w:val="both"/>
      </w:pPr>
    </w:p>
    <w:p w14:paraId="4147433C" w14:textId="77777777" w:rsidR="00B76A27" w:rsidRPr="004111BE" w:rsidRDefault="00B76A27" w:rsidP="00B76A27">
      <w:pPr>
        <w:autoSpaceDE w:val="0"/>
        <w:autoSpaceDN w:val="0"/>
        <w:adjustRightInd w:val="0"/>
        <w:spacing w:after="0"/>
        <w:jc w:val="both"/>
      </w:pPr>
    </w:p>
    <w:p w14:paraId="65EB2F62" w14:textId="77777777" w:rsidR="00F3652A" w:rsidRDefault="00F3652A"/>
    <w:sectPr w:rsidR="00F3652A" w:rsidSect="00F365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1DBE" w14:textId="77777777" w:rsidR="00983834" w:rsidRDefault="00983834" w:rsidP="00223C0B">
      <w:pPr>
        <w:spacing w:after="0" w:line="240" w:lineRule="auto"/>
      </w:pPr>
      <w:r>
        <w:separator/>
      </w:r>
    </w:p>
  </w:endnote>
  <w:endnote w:type="continuationSeparator" w:id="0">
    <w:p w14:paraId="12A806C7" w14:textId="77777777" w:rsidR="00983834" w:rsidRDefault="00983834" w:rsidP="0022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03147"/>
      <w:docPartObj>
        <w:docPartGallery w:val="Page Numbers (Bottom of Page)"/>
        <w:docPartUnique/>
      </w:docPartObj>
    </w:sdtPr>
    <w:sdtEndPr/>
    <w:sdtContent>
      <w:sdt>
        <w:sdtPr>
          <w:id w:val="860082579"/>
          <w:docPartObj>
            <w:docPartGallery w:val="Page Numbers (Top of Page)"/>
            <w:docPartUnique/>
          </w:docPartObj>
        </w:sdtPr>
        <w:sdtEndPr/>
        <w:sdtContent>
          <w:p w14:paraId="59910D98" w14:textId="7B380286" w:rsidR="000345B0" w:rsidRPr="00350A07" w:rsidRDefault="000345B0">
            <w:pPr>
              <w:pStyle w:val="Footer"/>
              <w:jc w:val="right"/>
              <w:rPr>
                <w:rFonts w:ascii="Cambria" w:hAnsi="Cambria"/>
                <w:b/>
                <w:bCs/>
                <w:sz w:val="24"/>
                <w:szCs w:val="24"/>
              </w:rPr>
            </w:pPr>
            <w:r w:rsidRPr="00350A07">
              <w:rPr>
                <w:rFonts w:ascii="Cambria" w:hAnsi="Cambria"/>
              </w:rPr>
              <w:t xml:space="preserve">Page </w:t>
            </w:r>
            <w:r w:rsidRPr="00350A07">
              <w:rPr>
                <w:rFonts w:ascii="Cambria" w:hAnsi="Cambria"/>
                <w:b/>
                <w:bCs/>
                <w:sz w:val="24"/>
                <w:szCs w:val="24"/>
              </w:rPr>
              <w:fldChar w:fldCharType="begin"/>
            </w:r>
            <w:r w:rsidRPr="00350A07">
              <w:rPr>
                <w:rFonts w:ascii="Cambria" w:hAnsi="Cambria"/>
                <w:b/>
                <w:bCs/>
              </w:rPr>
              <w:instrText xml:space="preserve"> PAGE </w:instrText>
            </w:r>
            <w:r w:rsidRPr="00350A07">
              <w:rPr>
                <w:rFonts w:ascii="Cambria" w:hAnsi="Cambria"/>
                <w:b/>
                <w:bCs/>
                <w:sz w:val="24"/>
                <w:szCs w:val="24"/>
              </w:rPr>
              <w:fldChar w:fldCharType="separate"/>
            </w:r>
            <w:r w:rsidR="00DA3466">
              <w:rPr>
                <w:rFonts w:ascii="Cambria" w:hAnsi="Cambria"/>
                <w:b/>
                <w:bCs/>
                <w:noProof/>
              </w:rPr>
              <w:t>5</w:t>
            </w:r>
            <w:r w:rsidRPr="00350A07">
              <w:rPr>
                <w:rFonts w:ascii="Cambria" w:hAnsi="Cambria"/>
                <w:b/>
                <w:bCs/>
                <w:sz w:val="24"/>
                <w:szCs w:val="24"/>
              </w:rPr>
              <w:fldChar w:fldCharType="end"/>
            </w:r>
            <w:r w:rsidRPr="00350A07">
              <w:rPr>
                <w:rFonts w:ascii="Cambria" w:hAnsi="Cambria"/>
              </w:rPr>
              <w:t xml:space="preserve"> of </w:t>
            </w:r>
            <w:r w:rsidRPr="00350A07">
              <w:rPr>
                <w:rFonts w:ascii="Cambria" w:hAnsi="Cambria"/>
                <w:b/>
                <w:bCs/>
                <w:sz w:val="24"/>
                <w:szCs w:val="24"/>
              </w:rPr>
              <w:fldChar w:fldCharType="begin"/>
            </w:r>
            <w:r w:rsidRPr="00350A07">
              <w:rPr>
                <w:rFonts w:ascii="Cambria" w:hAnsi="Cambria"/>
                <w:b/>
                <w:bCs/>
              </w:rPr>
              <w:instrText xml:space="preserve"> NUMPAGES  </w:instrText>
            </w:r>
            <w:r w:rsidRPr="00350A07">
              <w:rPr>
                <w:rFonts w:ascii="Cambria" w:hAnsi="Cambria"/>
                <w:b/>
                <w:bCs/>
                <w:sz w:val="24"/>
                <w:szCs w:val="24"/>
              </w:rPr>
              <w:fldChar w:fldCharType="separate"/>
            </w:r>
            <w:r w:rsidR="00DA3466">
              <w:rPr>
                <w:rFonts w:ascii="Cambria" w:hAnsi="Cambria"/>
                <w:b/>
                <w:bCs/>
                <w:noProof/>
              </w:rPr>
              <w:t>12</w:t>
            </w:r>
            <w:r w:rsidRPr="00350A07">
              <w:rPr>
                <w:rFonts w:ascii="Cambria" w:hAnsi="Cambria"/>
                <w:b/>
                <w:bCs/>
                <w:sz w:val="24"/>
                <w:szCs w:val="24"/>
              </w:rPr>
              <w:fldChar w:fldCharType="end"/>
            </w:r>
          </w:p>
          <w:p w14:paraId="2CC366F2" w14:textId="44E4DD36" w:rsidR="000345B0" w:rsidRDefault="000345B0">
            <w:pPr>
              <w:pStyle w:val="Footer"/>
              <w:jc w:val="right"/>
            </w:pPr>
            <w:r>
              <w:rPr>
                <w:rFonts w:ascii="Cambria" w:hAnsi="Cambria"/>
                <w:bCs/>
                <w:sz w:val="20"/>
                <w:szCs w:val="24"/>
              </w:rPr>
              <w:t>Current date: 13 November 2018</w:t>
            </w:r>
          </w:p>
        </w:sdtContent>
      </w:sdt>
    </w:sdtContent>
  </w:sdt>
  <w:p w14:paraId="5F512CE0" w14:textId="77777777" w:rsidR="000345B0" w:rsidRDefault="000345B0" w:rsidP="00F365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8518" w14:textId="77777777" w:rsidR="00983834" w:rsidRDefault="00983834" w:rsidP="00223C0B">
      <w:pPr>
        <w:spacing w:after="0" w:line="240" w:lineRule="auto"/>
      </w:pPr>
      <w:r>
        <w:separator/>
      </w:r>
    </w:p>
  </w:footnote>
  <w:footnote w:type="continuationSeparator" w:id="0">
    <w:p w14:paraId="65C11CE2" w14:textId="77777777" w:rsidR="00983834" w:rsidRDefault="00983834" w:rsidP="0022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28FF" w14:textId="77777777" w:rsidR="000345B0" w:rsidRPr="00DF7C9F" w:rsidRDefault="000345B0" w:rsidP="00F3652A">
    <w:pPr>
      <w:pStyle w:val="Header"/>
      <w:rPr>
        <w:rFonts w:ascii="Cambria" w:hAnsi="Cambria"/>
      </w:rPr>
    </w:pPr>
    <w:r>
      <w:rPr>
        <w:rFonts w:ascii="Cambria" w:hAnsi="Cambria"/>
      </w:rPr>
      <w:t>PIPSII SAP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8E1"/>
    <w:multiLevelType w:val="hybridMultilevel"/>
    <w:tmpl w:val="AF68C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6446D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6A774B"/>
    <w:multiLevelType w:val="hybridMultilevel"/>
    <w:tmpl w:val="B80A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663E8E"/>
    <w:multiLevelType w:val="hybridMultilevel"/>
    <w:tmpl w:val="46F82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01067E"/>
    <w:multiLevelType w:val="hybridMultilevel"/>
    <w:tmpl w:val="9DEAA4FA"/>
    <w:lvl w:ilvl="0" w:tplc="8E4EE8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27"/>
    <w:rsid w:val="00020556"/>
    <w:rsid w:val="000264F9"/>
    <w:rsid w:val="000343DA"/>
    <w:rsid w:val="000345B0"/>
    <w:rsid w:val="00042B55"/>
    <w:rsid w:val="00057C13"/>
    <w:rsid w:val="000B70F2"/>
    <w:rsid w:val="000E1C0B"/>
    <w:rsid w:val="00104077"/>
    <w:rsid w:val="00125799"/>
    <w:rsid w:val="00127F26"/>
    <w:rsid w:val="00134C18"/>
    <w:rsid w:val="00190FE7"/>
    <w:rsid w:val="00194314"/>
    <w:rsid w:val="001A10F2"/>
    <w:rsid w:val="001B3A48"/>
    <w:rsid w:val="001D28F9"/>
    <w:rsid w:val="00223C0B"/>
    <w:rsid w:val="00250B0A"/>
    <w:rsid w:val="00263F1D"/>
    <w:rsid w:val="002B6F89"/>
    <w:rsid w:val="002F594A"/>
    <w:rsid w:val="00354CAD"/>
    <w:rsid w:val="003636BA"/>
    <w:rsid w:val="00365B5D"/>
    <w:rsid w:val="00372842"/>
    <w:rsid w:val="0038683F"/>
    <w:rsid w:val="003B5ECD"/>
    <w:rsid w:val="003E664F"/>
    <w:rsid w:val="00410D6A"/>
    <w:rsid w:val="00435404"/>
    <w:rsid w:val="004931A3"/>
    <w:rsid w:val="004C32BF"/>
    <w:rsid w:val="004F0C27"/>
    <w:rsid w:val="00502BC4"/>
    <w:rsid w:val="0052310F"/>
    <w:rsid w:val="005725B3"/>
    <w:rsid w:val="00586C50"/>
    <w:rsid w:val="005C7E40"/>
    <w:rsid w:val="005F02E2"/>
    <w:rsid w:val="005F35FB"/>
    <w:rsid w:val="005F38C3"/>
    <w:rsid w:val="006006BD"/>
    <w:rsid w:val="006679AE"/>
    <w:rsid w:val="006867F5"/>
    <w:rsid w:val="00710057"/>
    <w:rsid w:val="00785217"/>
    <w:rsid w:val="00786E6B"/>
    <w:rsid w:val="007E62E7"/>
    <w:rsid w:val="008565AA"/>
    <w:rsid w:val="00894705"/>
    <w:rsid w:val="00897769"/>
    <w:rsid w:val="008E1692"/>
    <w:rsid w:val="00915F49"/>
    <w:rsid w:val="0092692C"/>
    <w:rsid w:val="00926B3D"/>
    <w:rsid w:val="009316B1"/>
    <w:rsid w:val="009335F9"/>
    <w:rsid w:val="00946735"/>
    <w:rsid w:val="009629B3"/>
    <w:rsid w:val="009801C7"/>
    <w:rsid w:val="00983834"/>
    <w:rsid w:val="009979A4"/>
    <w:rsid w:val="009A4412"/>
    <w:rsid w:val="009D0081"/>
    <w:rsid w:val="00A1768D"/>
    <w:rsid w:val="00A42E67"/>
    <w:rsid w:val="00AA4196"/>
    <w:rsid w:val="00AE21D2"/>
    <w:rsid w:val="00B402E0"/>
    <w:rsid w:val="00B5199A"/>
    <w:rsid w:val="00B76A27"/>
    <w:rsid w:val="00B84D25"/>
    <w:rsid w:val="00B9433C"/>
    <w:rsid w:val="00BC59ED"/>
    <w:rsid w:val="00C3047B"/>
    <w:rsid w:val="00C61B07"/>
    <w:rsid w:val="00CC0A0D"/>
    <w:rsid w:val="00CC0EF9"/>
    <w:rsid w:val="00CE5C70"/>
    <w:rsid w:val="00D439A3"/>
    <w:rsid w:val="00D46C25"/>
    <w:rsid w:val="00DA3466"/>
    <w:rsid w:val="00DD02C5"/>
    <w:rsid w:val="00DE6E0F"/>
    <w:rsid w:val="00DF2512"/>
    <w:rsid w:val="00E0218E"/>
    <w:rsid w:val="00E70B89"/>
    <w:rsid w:val="00E81544"/>
    <w:rsid w:val="00E835E5"/>
    <w:rsid w:val="00E920BA"/>
    <w:rsid w:val="00EF1AF2"/>
    <w:rsid w:val="00F17F2D"/>
    <w:rsid w:val="00F3652A"/>
    <w:rsid w:val="00FE2C19"/>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8507"/>
  <w14:defaultImageDpi w14:val="32767"/>
  <w15:docId w15:val="{F5D25D80-A6DF-4D0E-81C0-C5BD945A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27"/>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B76A27"/>
    <w:pPr>
      <w:numPr>
        <w:numId w:val="3"/>
      </w:numPr>
      <w:spacing w:before="480" w:after="12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76A27"/>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A27"/>
    <w:rPr>
      <w:rFonts w:eastAsiaTheme="majorEastAsia" w:cstheme="majorBidi"/>
      <w:b/>
      <w:bCs/>
      <w:sz w:val="28"/>
      <w:szCs w:val="28"/>
    </w:rPr>
  </w:style>
  <w:style w:type="character" w:customStyle="1" w:styleId="Heading2Char">
    <w:name w:val="Heading 2 Char"/>
    <w:basedOn w:val="DefaultParagraphFont"/>
    <w:link w:val="Heading2"/>
    <w:uiPriority w:val="9"/>
    <w:rsid w:val="00B76A27"/>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B76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27"/>
    <w:rPr>
      <w:rFonts w:eastAsiaTheme="minorEastAsia"/>
      <w:sz w:val="22"/>
      <w:szCs w:val="22"/>
    </w:rPr>
  </w:style>
  <w:style w:type="paragraph" w:styleId="Footer">
    <w:name w:val="footer"/>
    <w:basedOn w:val="Normal"/>
    <w:link w:val="FooterChar"/>
    <w:uiPriority w:val="99"/>
    <w:unhideWhenUsed/>
    <w:rsid w:val="00B7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27"/>
    <w:rPr>
      <w:rFonts w:eastAsiaTheme="minorEastAsia"/>
      <w:sz w:val="22"/>
      <w:szCs w:val="22"/>
    </w:rPr>
  </w:style>
  <w:style w:type="paragraph" w:customStyle="1" w:styleId="Default">
    <w:name w:val="Default"/>
    <w:rsid w:val="00B76A27"/>
    <w:pPr>
      <w:autoSpaceDE w:val="0"/>
      <w:autoSpaceDN w:val="0"/>
      <w:adjustRightInd w:val="0"/>
    </w:pPr>
    <w:rPr>
      <w:rFonts w:ascii="Arial" w:eastAsiaTheme="minorEastAsia" w:hAnsi="Arial" w:cs="Arial"/>
      <w:color w:val="000000"/>
    </w:rPr>
  </w:style>
  <w:style w:type="paragraph" w:styleId="TOCHeading">
    <w:name w:val="TOC Heading"/>
    <w:basedOn w:val="Heading1"/>
    <w:next w:val="Normal"/>
    <w:uiPriority w:val="39"/>
    <w:unhideWhenUsed/>
    <w:qFormat/>
    <w:rsid w:val="00B76A27"/>
    <w:pPr>
      <w:outlineLvl w:val="9"/>
    </w:pPr>
    <w:rPr>
      <w:lang w:bidi="en-US"/>
    </w:rPr>
  </w:style>
  <w:style w:type="paragraph" w:styleId="TOC2">
    <w:name w:val="toc 2"/>
    <w:basedOn w:val="Normal"/>
    <w:next w:val="Normal"/>
    <w:autoRedefine/>
    <w:uiPriority w:val="39"/>
    <w:unhideWhenUsed/>
    <w:rsid w:val="00B76A27"/>
    <w:pPr>
      <w:spacing w:after="100"/>
      <w:ind w:left="220"/>
    </w:pPr>
  </w:style>
  <w:style w:type="character" w:styleId="Hyperlink">
    <w:name w:val="Hyperlink"/>
    <w:basedOn w:val="DefaultParagraphFont"/>
    <w:uiPriority w:val="99"/>
    <w:unhideWhenUsed/>
    <w:rsid w:val="00B76A27"/>
    <w:rPr>
      <w:color w:val="0563C1" w:themeColor="hyperlink"/>
      <w:u w:val="single"/>
    </w:rPr>
  </w:style>
  <w:style w:type="paragraph" w:styleId="NoSpacing">
    <w:name w:val="No Spacing"/>
    <w:basedOn w:val="Normal"/>
    <w:uiPriority w:val="1"/>
    <w:qFormat/>
    <w:rsid w:val="00B76A27"/>
    <w:pPr>
      <w:spacing w:after="0" w:line="240" w:lineRule="auto"/>
    </w:pPr>
  </w:style>
  <w:style w:type="paragraph" w:styleId="ListParagraph">
    <w:name w:val="List Paragraph"/>
    <w:basedOn w:val="Normal"/>
    <w:uiPriority w:val="34"/>
    <w:qFormat/>
    <w:rsid w:val="00B76A27"/>
    <w:pPr>
      <w:ind w:left="720"/>
      <w:contextualSpacing/>
    </w:pPr>
  </w:style>
  <w:style w:type="paragraph" w:styleId="TOC1">
    <w:name w:val="toc 1"/>
    <w:basedOn w:val="Normal"/>
    <w:next w:val="Normal"/>
    <w:autoRedefine/>
    <w:uiPriority w:val="39"/>
    <w:unhideWhenUsed/>
    <w:rsid w:val="00B76A27"/>
    <w:pPr>
      <w:tabs>
        <w:tab w:val="left" w:pos="440"/>
        <w:tab w:val="right" w:leader="dot" w:pos="9016"/>
      </w:tabs>
      <w:spacing w:after="100"/>
    </w:pPr>
  </w:style>
  <w:style w:type="character" w:styleId="CommentReference">
    <w:name w:val="annotation reference"/>
    <w:basedOn w:val="DefaultParagraphFont"/>
    <w:uiPriority w:val="99"/>
    <w:semiHidden/>
    <w:unhideWhenUsed/>
    <w:rsid w:val="00B76A27"/>
    <w:rPr>
      <w:sz w:val="16"/>
      <w:szCs w:val="16"/>
    </w:rPr>
  </w:style>
  <w:style w:type="paragraph" w:styleId="CommentText">
    <w:name w:val="annotation text"/>
    <w:basedOn w:val="Normal"/>
    <w:link w:val="CommentTextChar"/>
    <w:uiPriority w:val="99"/>
    <w:semiHidden/>
    <w:unhideWhenUsed/>
    <w:rsid w:val="00B76A27"/>
    <w:pPr>
      <w:spacing w:line="240" w:lineRule="auto"/>
    </w:pPr>
    <w:rPr>
      <w:sz w:val="20"/>
      <w:szCs w:val="20"/>
    </w:rPr>
  </w:style>
  <w:style w:type="character" w:customStyle="1" w:styleId="CommentTextChar">
    <w:name w:val="Comment Text Char"/>
    <w:basedOn w:val="DefaultParagraphFont"/>
    <w:link w:val="CommentText"/>
    <w:uiPriority w:val="99"/>
    <w:semiHidden/>
    <w:rsid w:val="00B76A27"/>
    <w:rPr>
      <w:rFonts w:eastAsiaTheme="minorEastAsia"/>
      <w:sz w:val="20"/>
      <w:szCs w:val="20"/>
    </w:rPr>
  </w:style>
  <w:style w:type="table" w:styleId="TableGrid">
    <w:name w:val="Table Grid"/>
    <w:basedOn w:val="TableNormal"/>
    <w:uiPriority w:val="39"/>
    <w:rsid w:val="00B76A2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76A27"/>
    <w:pPr>
      <w:spacing w:after="0" w:line="240" w:lineRule="auto"/>
      <w:jc w:val="both"/>
    </w:pPr>
    <w:rPr>
      <w:rFonts w:ascii="Times New Roman" w:eastAsia="Times New Roman" w:hAnsi="Times New Roman" w:cs="Times New Roman"/>
      <w:noProof/>
      <w:sz w:val="24"/>
      <w:szCs w:val="24"/>
      <w:lang w:eastAsia="en-GB"/>
    </w:rPr>
  </w:style>
  <w:style w:type="character" w:customStyle="1" w:styleId="EndNoteBibliographyChar">
    <w:name w:val="EndNote Bibliography Char"/>
    <w:link w:val="EndNoteBibliography"/>
    <w:rsid w:val="00B76A27"/>
    <w:rPr>
      <w:rFonts w:ascii="Times New Roman" w:eastAsia="Times New Roman" w:hAnsi="Times New Roman" w:cs="Times New Roman"/>
      <w:noProof/>
      <w:lang w:eastAsia="en-GB"/>
    </w:rPr>
  </w:style>
  <w:style w:type="paragraph" w:styleId="BalloonText">
    <w:name w:val="Balloon Text"/>
    <w:basedOn w:val="Normal"/>
    <w:link w:val="BalloonTextChar"/>
    <w:uiPriority w:val="99"/>
    <w:semiHidden/>
    <w:unhideWhenUsed/>
    <w:rsid w:val="00B76A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A27"/>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B5ECD"/>
    <w:rPr>
      <w:b/>
      <w:bCs/>
    </w:rPr>
  </w:style>
  <w:style w:type="character" w:customStyle="1" w:styleId="CommentSubjectChar">
    <w:name w:val="Comment Subject Char"/>
    <w:basedOn w:val="CommentTextChar"/>
    <w:link w:val="CommentSubject"/>
    <w:uiPriority w:val="99"/>
    <w:semiHidden/>
    <w:rsid w:val="003B5EC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36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Vickerstaff</dc:creator>
  <cp:lastModifiedBy>Victoria Vickerstaff</cp:lastModifiedBy>
  <cp:revision>4</cp:revision>
  <cp:lastPrinted>2018-11-18T23:03:00Z</cp:lastPrinted>
  <dcterms:created xsi:type="dcterms:W3CDTF">2018-11-16T15:45:00Z</dcterms:created>
  <dcterms:modified xsi:type="dcterms:W3CDTF">2018-12-10T05:25:00Z</dcterms:modified>
</cp:coreProperties>
</file>