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7D" w:rsidRDefault="006D027D" w:rsidP="00867CEA">
      <w:pPr>
        <w:jc w:val="both"/>
        <w:rPr>
          <w:rFonts w:ascii="Arial" w:hAnsi="Arial" w:cs="Arial"/>
          <w:b/>
          <w:sz w:val="20"/>
          <w:szCs w:val="20"/>
        </w:rPr>
      </w:pPr>
    </w:p>
    <w:tbl>
      <w:tblPr>
        <w:tblStyle w:val="TableGrid"/>
        <w:tblW w:w="9189" w:type="dxa"/>
        <w:tblLook w:val="04A0" w:firstRow="1" w:lastRow="0" w:firstColumn="1" w:lastColumn="0" w:noHBand="0" w:noVBand="1"/>
      </w:tblPr>
      <w:tblGrid>
        <w:gridCol w:w="6204"/>
        <w:gridCol w:w="2985"/>
      </w:tblGrid>
      <w:tr w:rsidR="006D027D" w:rsidTr="00A04B85">
        <w:trPr>
          <w:trHeight w:val="855"/>
        </w:trPr>
        <w:tc>
          <w:tcPr>
            <w:tcW w:w="6204" w:type="dxa"/>
            <w:tcBorders>
              <w:top w:val="nil"/>
              <w:left w:val="nil"/>
              <w:bottom w:val="nil"/>
              <w:right w:val="nil"/>
            </w:tcBorders>
          </w:tcPr>
          <w:p w:rsidR="006D027D" w:rsidRDefault="00C303F0" w:rsidP="00A04B85">
            <w:pPr>
              <w:jc w:val="both"/>
            </w:pPr>
            <w:r>
              <w:rPr>
                <w:noProof/>
              </w:rPr>
              <w:drawing>
                <wp:anchor distT="36576" distB="36576" distL="36576" distR="36576" simplePos="0" relativeHeight="251662336" behindDoc="0" locked="0" layoutInCell="1" allowOverlap="1">
                  <wp:simplePos x="0" y="0"/>
                  <wp:positionH relativeFrom="column">
                    <wp:posOffset>2204085</wp:posOffset>
                  </wp:positionH>
                  <wp:positionV relativeFrom="paragraph">
                    <wp:posOffset>27305</wp:posOffset>
                  </wp:positionV>
                  <wp:extent cx="2005330" cy="793115"/>
                  <wp:effectExtent l="19050" t="0" r="0" b="0"/>
                  <wp:wrapNone/>
                  <wp:docPr id="1" name="Picture 2" descr="new_amicus logo 7_with tex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amicus logo 7_with text copy"/>
                          <pic:cNvPicPr>
                            <a:picLocks noChangeAspect="1" noChangeArrowheads="1"/>
                          </pic:cNvPicPr>
                        </pic:nvPicPr>
                        <pic:blipFill>
                          <a:blip r:embed="rId10" cstate="print"/>
                          <a:srcRect/>
                          <a:stretch>
                            <a:fillRect/>
                          </a:stretch>
                        </pic:blipFill>
                        <pic:spPr bwMode="auto">
                          <a:xfrm>
                            <a:off x="0" y="0"/>
                            <a:ext cx="2005330" cy="793115"/>
                          </a:xfrm>
                          <a:prstGeom prst="rect">
                            <a:avLst/>
                          </a:prstGeom>
                          <a:noFill/>
                          <a:ln w="9525" algn="in">
                            <a:noFill/>
                            <a:miter lim="800000"/>
                            <a:headEnd/>
                            <a:tailEnd/>
                          </a:ln>
                          <a:effectLst/>
                        </pic:spPr>
                      </pic:pic>
                    </a:graphicData>
                  </a:graphic>
                </wp:anchor>
              </w:drawing>
            </w:r>
            <w:r w:rsidR="006D027D">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88265</wp:posOffset>
                  </wp:positionV>
                  <wp:extent cx="1423670" cy="373380"/>
                  <wp:effectExtent l="19050" t="0" r="5080" b="0"/>
                  <wp:wrapThrough wrapText="bothSides">
                    <wp:wrapPolygon edited="0">
                      <wp:start x="-289" y="0"/>
                      <wp:lineTo x="-289" y="20939"/>
                      <wp:lineTo x="21677" y="20939"/>
                      <wp:lineTo x="21677" y="0"/>
                      <wp:lineTo x="-289" y="0"/>
                    </wp:wrapPolygon>
                  </wp:wrapThrough>
                  <wp:docPr id="3" name="Picture 1" desc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 logo.jpg"/>
                          <pic:cNvPicPr/>
                        </pic:nvPicPr>
                        <pic:blipFill>
                          <a:blip r:embed="rId11" cstate="print"/>
                          <a:stretch>
                            <a:fillRect/>
                          </a:stretch>
                        </pic:blipFill>
                        <pic:spPr>
                          <a:xfrm>
                            <a:off x="0" y="0"/>
                            <a:ext cx="1423670" cy="373380"/>
                          </a:xfrm>
                          <a:prstGeom prst="rect">
                            <a:avLst/>
                          </a:prstGeom>
                        </pic:spPr>
                      </pic:pic>
                    </a:graphicData>
                  </a:graphic>
                </wp:anchor>
              </w:drawing>
            </w:r>
          </w:p>
        </w:tc>
        <w:tc>
          <w:tcPr>
            <w:tcW w:w="2985" w:type="dxa"/>
            <w:vMerge w:val="restart"/>
            <w:tcBorders>
              <w:top w:val="nil"/>
              <w:left w:val="nil"/>
              <w:right w:val="nil"/>
            </w:tcBorders>
          </w:tcPr>
          <w:p w:rsidR="006D027D" w:rsidRDefault="006D027D" w:rsidP="00A04B85">
            <w:pPr>
              <w:jc w:val="right"/>
            </w:pPr>
          </w:p>
        </w:tc>
      </w:tr>
      <w:tr w:rsidR="006D027D" w:rsidTr="00A04B85">
        <w:trPr>
          <w:trHeight w:val="1055"/>
        </w:trPr>
        <w:tc>
          <w:tcPr>
            <w:tcW w:w="6204" w:type="dxa"/>
            <w:tcBorders>
              <w:top w:val="nil"/>
              <w:left w:val="nil"/>
              <w:bottom w:val="nil"/>
              <w:right w:val="nil"/>
            </w:tcBorders>
          </w:tcPr>
          <w:p w:rsidR="006D027D" w:rsidRPr="00615A92" w:rsidRDefault="006D027D" w:rsidP="00A04B85">
            <w:pPr>
              <w:pStyle w:val="Header"/>
              <w:rPr>
                <w:rFonts w:ascii="Arial" w:hAnsi="Arial" w:cs="Arial"/>
                <w:szCs w:val="18"/>
              </w:rPr>
            </w:pPr>
            <w:proofErr w:type="spellStart"/>
            <w:r w:rsidRPr="00615A92">
              <w:rPr>
                <w:rFonts w:ascii="Arial" w:hAnsi="Arial" w:cs="Arial"/>
                <w:szCs w:val="18"/>
              </w:rPr>
              <w:t>EUdraCT</w:t>
            </w:r>
            <w:proofErr w:type="spellEnd"/>
            <w:r w:rsidRPr="00615A92">
              <w:rPr>
                <w:rFonts w:ascii="Arial" w:hAnsi="Arial" w:cs="Arial"/>
                <w:szCs w:val="18"/>
              </w:rPr>
              <w:t xml:space="preserve"> No.: </w:t>
            </w:r>
            <w:r w:rsidR="00C303F0">
              <w:rPr>
                <w:rFonts w:ascii="Arial" w:hAnsi="Arial" w:cs="Arial"/>
                <w:szCs w:val="18"/>
              </w:rPr>
              <w:t>2010-018963-40</w:t>
            </w:r>
          </w:p>
          <w:p w:rsidR="006D027D" w:rsidRPr="00615A92" w:rsidRDefault="00C303F0" w:rsidP="00A04B85">
            <w:pPr>
              <w:pStyle w:val="Header"/>
              <w:rPr>
                <w:rFonts w:ascii="Arial" w:hAnsi="Arial" w:cs="Arial"/>
                <w:szCs w:val="18"/>
              </w:rPr>
            </w:pPr>
            <w:r>
              <w:rPr>
                <w:rFonts w:ascii="Arial" w:hAnsi="Arial" w:cs="Arial"/>
                <w:szCs w:val="18"/>
              </w:rPr>
              <w:t>HTA Project: 08/116/12</w:t>
            </w:r>
          </w:p>
          <w:p w:rsidR="006D027D" w:rsidRPr="00615A92" w:rsidRDefault="00C303F0" w:rsidP="00A04B85">
            <w:pPr>
              <w:pStyle w:val="Header"/>
              <w:rPr>
                <w:rFonts w:ascii="Arial" w:hAnsi="Arial" w:cs="Arial"/>
                <w:szCs w:val="18"/>
              </w:rPr>
            </w:pPr>
            <w:r>
              <w:rPr>
                <w:rFonts w:ascii="Arial" w:hAnsi="Arial" w:cs="Arial"/>
                <w:szCs w:val="18"/>
              </w:rPr>
              <w:t>Sponsor no. CRO 1498</w:t>
            </w:r>
          </w:p>
          <w:p w:rsidR="006D027D" w:rsidRPr="000F1BE0" w:rsidRDefault="006D027D" w:rsidP="00A04B85">
            <w:pPr>
              <w:jc w:val="both"/>
              <w:rPr>
                <w:rFonts w:ascii="Arial" w:hAnsi="Arial" w:cs="Arial"/>
                <w:noProof/>
              </w:rPr>
            </w:pPr>
          </w:p>
        </w:tc>
        <w:tc>
          <w:tcPr>
            <w:tcW w:w="2985" w:type="dxa"/>
            <w:vMerge/>
            <w:tcBorders>
              <w:left w:val="nil"/>
              <w:bottom w:val="nil"/>
              <w:right w:val="nil"/>
            </w:tcBorders>
          </w:tcPr>
          <w:p w:rsidR="006D027D" w:rsidRDefault="006D027D" w:rsidP="00A04B85">
            <w:pPr>
              <w:jc w:val="right"/>
              <w:rPr>
                <w:noProof/>
              </w:rPr>
            </w:pPr>
          </w:p>
        </w:tc>
      </w:tr>
    </w:tbl>
    <w:p w:rsidR="006D027D" w:rsidRPr="001B3090" w:rsidRDefault="006D027D" w:rsidP="006D027D">
      <w:pPr>
        <w:jc w:val="both"/>
        <w:rPr>
          <w:rFonts w:ascii="Arial" w:hAnsi="Arial" w:cs="Arial"/>
          <w:color w:val="FF0000"/>
          <w:sz w:val="20"/>
          <w:szCs w:val="20"/>
        </w:rPr>
      </w:pPr>
      <w:r w:rsidRPr="001B3090">
        <w:rPr>
          <w:rFonts w:ascii="Arial" w:hAnsi="Arial" w:cs="Arial"/>
          <w:color w:val="FF0000"/>
          <w:sz w:val="20"/>
          <w:szCs w:val="20"/>
        </w:rPr>
        <w:t xml:space="preserve">This is a controlled document. </w:t>
      </w:r>
      <w:r>
        <w:rPr>
          <w:rFonts w:ascii="Arial" w:hAnsi="Arial" w:cs="Arial"/>
          <w:color w:val="FF0000"/>
          <w:sz w:val="20"/>
          <w:szCs w:val="20"/>
        </w:rPr>
        <w:t>Researcher</w:t>
      </w:r>
      <w:r w:rsidRPr="001B3090">
        <w:rPr>
          <w:rFonts w:ascii="Arial" w:hAnsi="Arial" w:cs="Arial"/>
          <w:color w:val="FF0000"/>
          <w:sz w:val="20"/>
          <w:szCs w:val="20"/>
        </w:rPr>
        <w:t xml:space="preserve">s may print off this document for training and reference purposes but are responsible for ensuring that the most up-to-date version is in use. </w:t>
      </w:r>
    </w:p>
    <w:tbl>
      <w:tblPr>
        <w:tblStyle w:val="TableGrid"/>
        <w:tblW w:w="9242" w:type="dxa"/>
        <w:tblLook w:val="04A0" w:firstRow="1" w:lastRow="0" w:firstColumn="1" w:lastColumn="0" w:noHBand="0" w:noVBand="1"/>
      </w:tblPr>
      <w:tblGrid>
        <w:gridCol w:w="5776"/>
        <w:gridCol w:w="3466"/>
      </w:tblGrid>
      <w:tr w:rsidR="006D027D" w:rsidTr="005249CD">
        <w:tc>
          <w:tcPr>
            <w:tcW w:w="9242" w:type="dxa"/>
            <w:gridSpan w:val="2"/>
          </w:tcPr>
          <w:p w:rsidR="006D027D" w:rsidRPr="00354520" w:rsidRDefault="00917473" w:rsidP="00917473">
            <w:pPr>
              <w:spacing w:line="276" w:lineRule="auto"/>
              <w:rPr>
                <w:sz w:val="40"/>
                <w:szCs w:val="40"/>
              </w:rPr>
            </w:pPr>
            <w:r>
              <w:rPr>
                <w:sz w:val="40"/>
                <w:szCs w:val="40"/>
              </w:rPr>
              <w:t>Study Analysis Plan</w:t>
            </w:r>
          </w:p>
        </w:tc>
      </w:tr>
      <w:tr w:rsidR="006D027D" w:rsidTr="005249CD">
        <w:tc>
          <w:tcPr>
            <w:tcW w:w="9242" w:type="dxa"/>
            <w:gridSpan w:val="2"/>
          </w:tcPr>
          <w:p w:rsidR="006D027D" w:rsidRDefault="00917473" w:rsidP="00DD60EB">
            <w:pPr>
              <w:jc w:val="both"/>
            </w:pPr>
            <w:r>
              <w:t>SA</w:t>
            </w:r>
            <w:r w:rsidR="00C303F0">
              <w:t>P reference: AMICU</w:t>
            </w:r>
            <w:r>
              <w:t>S/SAP/</w:t>
            </w:r>
            <w:r w:rsidR="00DD60EB">
              <w:t>003</w:t>
            </w:r>
          </w:p>
        </w:tc>
      </w:tr>
      <w:tr w:rsidR="006D027D" w:rsidTr="005249CD">
        <w:trPr>
          <w:trHeight w:val="325"/>
        </w:trPr>
        <w:tc>
          <w:tcPr>
            <w:tcW w:w="9242" w:type="dxa"/>
            <w:gridSpan w:val="2"/>
          </w:tcPr>
          <w:p w:rsidR="006D027D" w:rsidRDefault="001F4ECD" w:rsidP="008221DE">
            <w:pPr>
              <w:jc w:val="both"/>
            </w:pPr>
            <w:r>
              <w:t xml:space="preserve">Version Number: </w:t>
            </w:r>
            <w:r w:rsidR="008221DE">
              <w:t>4</w:t>
            </w:r>
            <w:r>
              <w:t>.0</w:t>
            </w:r>
          </w:p>
        </w:tc>
      </w:tr>
      <w:tr w:rsidR="006D027D" w:rsidTr="005249CD">
        <w:trPr>
          <w:trHeight w:val="325"/>
        </w:trPr>
        <w:tc>
          <w:tcPr>
            <w:tcW w:w="9242" w:type="dxa"/>
            <w:gridSpan w:val="2"/>
          </w:tcPr>
          <w:p w:rsidR="006D027D" w:rsidRDefault="006D027D" w:rsidP="00A04B85">
            <w:pPr>
              <w:jc w:val="both"/>
            </w:pPr>
            <w:r>
              <w:t>Author:</w:t>
            </w:r>
            <w:r w:rsidR="00917473">
              <w:t xml:space="preserve"> </w:t>
            </w:r>
            <w:proofErr w:type="spellStart"/>
            <w:r w:rsidR="00917473">
              <w:t>Dr.</w:t>
            </w:r>
            <w:proofErr w:type="spellEnd"/>
            <w:r w:rsidR="00917473">
              <w:t xml:space="preserve"> Louise Marston</w:t>
            </w:r>
          </w:p>
        </w:tc>
      </w:tr>
      <w:tr w:rsidR="006D027D" w:rsidTr="005249CD">
        <w:trPr>
          <w:trHeight w:val="632"/>
        </w:trPr>
        <w:tc>
          <w:tcPr>
            <w:tcW w:w="5776" w:type="dxa"/>
          </w:tcPr>
          <w:p w:rsidR="006D027D" w:rsidRDefault="006D027D" w:rsidP="00A04B85">
            <w:pPr>
              <w:jc w:val="both"/>
            </w:pPr>
            <w:r>
              <w:t>Signature:</w:t>
            </w:r>
          </w:p>
          <w:p w:rsidR="005249CD" w:rsidRDefault="005249CD" w:rsidP="00A04B85">
            <w:pPr>
              <w:jc w:val="both"/>
            </w:pPr>
          </w:p>
          <w:p w:rsidR="005249CD" w:rsidRDefault="005249CD" w:rsidP="00A04B85">
            <w:pPr>
              <w:jc w:val="both"/>
            </w:pPr>
          </w:p>
        </w:tc>
        <w:tc>
          <w:tcPr>
            <w:tcW w:w="3466" w:type="dxa"/>
          </w:tcPr>
          <w:p w:rsidR="006D027D" w:rsidRDefault="006D027D" w:rsidP="00917473">
            <w:pPr>
              <w:jc w:val="both"/>
            </w:pPr>
            <w:r>
              <w:t>Date:</w:t>
            </w:r>
            <w:r w:rsidR="001F4ECD">
              <w:t xml:space="preserve"> </w:t>
            </w:r>
          </w:p>
        </w:tc>
      </w:tr>
    </w:tbl>
    <w:tbl>
      <w:tblPr>
        <w:tblStyle w:val="TableGrid"/>
        <w:tblpPr w:leftFromText="180" w:rightFromText="180" w:vertAnchor="text" w:horzAnchor="margin" w:tblpY="1612"/>
        <w:tblW w:w="9242" w:type="dxa"/>
        <w:tblLook w:val="04A0" w:firstRow="1" w:lastRow="0" w:firstColumn="1" w:lastColumn="0" w:noHBand="0" w:noVBand="1"/>
      </w:tblPr>
      <w:tblGrid>
        <w:gridCol w:w="1206"/>
        <w:gridCol w:w="2021"/>
        <w:gridCol w:w="4394"/>
        <w:gridCol w:w="1621"/>
      </w:tblGrid>
      <w:tr w:rsidR="006D027D" w:rsidTr="00A04B85">
        <w:tc>
          <w:tcPr>
            <w:tcW w:w="1206" w:type="dxa"/>
          </w:tcPr>
          <w:p w:rsidR="006D027D" w:rsidRDefault="006D027D" w:rsidP="00A04B85">
            <w:pPr>
              <w:jc w:val="center"/>
            </w:pPr>
            <w:r>
              <w:t>Version</w:t>
            </w:r>
          </w:p>
        </w:tc>
        <w:tc>
          <w:tcPr>
            <w:tcW w:w="2021" w:type="dxa"/>
          </w:tcPr>
          <w:p w:rsidR="006D027D" w:rsidRDefault="006D027D" w:rsidP="00A04B85">
            <w:pPr>
              <w:jc w:val="center"/>
            </w:pPr>
            <w:r>
              <w:t>Date Implemented</w:t>
            </w:r>
          </w:p>
        </w:tc>
        <w:tc>
          <w:tcPr>
            <w:tcW w:w="4394" w:type="dxa"/>
          </w:tcPr>
          <w:p w:rsidR="006D027D" w:rsidRDefault="006D027D" w:rsidP="00A04B85">
            <w:pPr>
              <w:jc w:val="center"/>
            </w:pPr>
            <w:r>
              <w:t>Details of Significant Changes</w:t>
            </w:r>
          </w:p>
        </w:tc>
        <w:tc>
          <w:tcPr>
            <w:tcW w:w="1621" w:type="dxa"/>
          </w:tcPr>
          <w:p w:rsidR="006D027D" w:rsidRDefault="006D027D" w:rsidP="00A04B85">
            <w:pPr>
              <w:jc w:val="center"/>
            </w:pPr>
            <w:r>
              <w:t>Author Initials</w:t>
            </w:r>
          </w:p>
        </w:tc>
      </w:tr>
      <w:tr w:rsidR="006D027D" w:rsidTr="00A04B85">
        <w:tc>
          <w:tcPr>
            <w:tcW w:w="1206" w:type="dxa"/>
          </w:tcPr>
          <w:p w:rsidR="006D027D" w:rsidRDefault="00DD60EB" w:rsidP="00A04B85">
            <w:r>
              <w:t>2</w:t>
            </w:r>
          </w:p>
        </w:tc>
        <w:tc>
          <w:tcPr>
            <w:tcW w:w="2021" w:type="dxa"/>
          </w:tcPr>
          <w:p w:rsidR="006D027D" w:rsidRDefault="006D027D" w:rsidP="00A04B85"/>
        </w:tc>
        <w:tc>
          <w:tcPr>
            <w:tcW w:w="4394" w:type="dxa"/>
          </w:tcPr>
          <w:p w:rsidR="00DD60EB" w:rsidRPr="003F5CF0" w:rsidRDefault="00DD60EB" w:rsidP="00DD60EB">
            <w:pPr>
              <w:jc w:val="both"/>
              <w:rPr>
                <w:rFonts w:ascii="Arial" w:hAnsi="Arial" w:cs="Arial"/>
                <w:sz w:val="20"/>
                <w:szCs w:val="20"/>
              </w:rPr>
            </w:pPr>
            <w:r w:rsidRPr="003F5CF0">
              <w:rPr>
                <w:rFonts w:ascii="Arial" w:hAnsi="Arial" w:cs="Arial"/>
                <w:sz w:val="20"/>
                <w:szCs w:val="20"/>
              </w:rPr>
              <w:t>Update All centres included added to the relevant section</w:t>
            </w:r>
          </w:p>
          <w:p w:rsidR="00DD60EB" w:rsidRPr="003F5CF0" w:rsidRDefault="00DD60EB" w:rsidP="00DD60EB">
            <w:pPr>
              <w:jc w:val="both"/>
              <w:rPr>
                <w:rFonts w:ascii="Arial" w:hAnsi="Arial" w:cs="Arial"/>
                <w:sz w:val="20"/>
                <w:szCs w:val="20"/>
              </w:rPr>
            </w:pPr>
            <w:r w:rsidRPr="003F5CF0">
              <w:rPr>
                <w:rFonts w:ascii="Arial" w:hAnsi="Arial" w:cs="Arial"/>
                <w:sz w:val="20"/>
                <w:szCs w:val="20"/>
              </w:rPr>
              <w:t>Update in IDMEC confidentiality section re blinding of the statistician.</w:t>
            </w:r>
          </w:p>
          <w:p w:rsidR="00DD60EB" w:rsidRPr="003F5CF0" w:rsidRDefault="00DD60EB" w:rsidP="00DD60EB">
            <w:pPr>
              <w:jc w:val="both"/>
              <w:rPr>
                <w:rFonts w:ascii="Arial" w:hAnsi="Arial" w:cs="Arial"/>
                <w:sz w:val="20"/>
                <w:szCs w:val="20"/>
              </w:rPr>
            </w:pPr>
            <w:r w:rsidRPr="003F5CF0">
              <w:rPr>
                <w:rFonts w:ascii="Arial" w:hAnsi="Arial" w:cs="Arial"/>
                <w:sz w:val="20"/>
                <w:szCs w:val="20"/>
              </w:rPr>
              <w:t>Update how data have been analysed to date for the IDMEC meetings</w:t>
            </w:r>
          </w:p>
          <w:p w:rsidR="006D027D" w:rsidRDefault="00DD60EB" w:rsidP="00DD60EB">
            <w:pPr>
              <w:jc w:val="both"/>
            </w:pPr>
            <w:r w:rsidRPr="003F5CF0">
              <w:rPr>
                <w:rFonts w:ascii="Arial" w:hAnsi="Arial" w:cs="Arial"/>
                <w:sz w:val="20"/>
                <w:szCs w:val="20"/>
              </w:rPr>
              <w:t>Update sample size section added</w:t>
            </w:r>
          </w:p>
        </w:tc>
        <w:tc>
          <w:tcPr>
            <w:tcW w:w="1621" w:type="dxa"/>
          </w:tcPr>
          <w:p w:rsidR="006D027D" w:rsidRDefault="006D027D" w:rsidP="00A04B85"/>
        </w:tc>
      </w:tr>
      <w:tr w:rsidR="006D027D" w:rsidTr="00A04B85">
        <w:tc>
          <w:tcPr>
            <w:tcW w:w="1206" w:type="dxa"/>
          </w:tcPr>
          <w:p w:rsidR="006D027D" w:rsidRPr="004339D9" w:rsidRDefault="00DD60EB" w:rsidP="00A04B85">
            <w:pPr>
              <w:rPr>
                <w:rFonts w:ascii="Arial" w:hAnsi="Arial" w:cs="Arial"/>
                <w:sz w:val="20"/>
                <w:szCs w:val="20"/>
              </w:rPr>
            </w:pPr>
            <w:r w:rsidRPr="004339D9">
              <w:rPr>
                <w:rFonts w:ascii="Arial" w:hAnsi="Arial" w:cs="Arial"/>
                <w:sz w:val="20"/>
                <w:szCs w:val="20"/>
              </w:rPr>
              <w:t>3</w:t>
            </w:r>
          </w:p>
        </w:tc>
        <w:tc>
          <w:tcPr>
            <w:tcW w:w="2021" w:type="dxa"/>
          </w:tcPr>
          <w:p w:rsidR="006D027D" w:rsidRPr="004339D9" w:rsidRDefault="004339D9" w:rsidP="00A04B85">
            <w:pPr>
              <w:rPr>
                <w:rFonts w:ascii="Arial" w:hAnsi="Arial" w:cs="Arial"/>
                <w:sz w:val="20"/>
                <w:szCs w:val="20"/>
              </w:rPr>
            </w:pPr>
            <w:r w:rsidRPr="004339D9">
              <w:rPr>
                <w:rFonts w:ascii="Arial" w:hAnsi="Arial" w:cs="Arial"/>
                <w:sz w:val="20"/>
                <w:szCs w:val="20"/>
              </w:rPr>
              <w:t>14/11/2014</w:t>
            </w:r>
          </w:p>
        </w:tc>
        <w:tc>
          <w:tcPr>
            <w:tcW w:w="4394" w:type="dxa"/>
          </w:tcPr>
          <w:p w:rsidR="006D027D" w:rsidRPr="004339D9" w:rsidRDefault="0004504C" w:rsidP="00A04B85">
            <w:pPr>
              <w:rPr>
                <w:rFonts w:ascii="Arial" w:hAnsi="Arial" w:cs="Arial"/>
                <w:sz w:val="20"/>
                <w:szCs w:val="20"/>
              </w:rPr>
            </w:pPr>
            <w:r w:rsidRPr="004339D9">
              <w:rPr>
                <w:rFonts w:ascii="Arial" w:hAnsi="Arial" w:cs="Arial"/>
                <w:sz w:val="20"/>
                <w:szCs w:val="20"/>
              </w:rPr>
              <w:t>Update of how the data have been analysed to date for the IDMEC meetings</w:t>
            </w:r>
          </w:p>
          <w:p w:rsidR="0004504C" w:rsidRPr="004339D9" w:rsidRDefault="0004504C" w:rsidP="00A04B85">
            <w:pPr>
              <w:rPr>
                <w:rFonts w:ascii="Arial" w:hAnsi="Arial" w:cs="Arial"/>
                <w:sz w:val="20"/>
                <w:szCs w:val="20"/>
              </w:rPr>
            </w:pPr>
            <w:r w:rsidRPr="004339D9">
              <w:rPr>
                <w:rFonts w:ascii="Arial" w:hAnsi="Arial" w:cs="Arial"/>
                <w:sz w:val="20"/>
                <w:szCs w:val="20"/>
              </w:rPr>
              <w:t>Update on the statistical analysis in preparation for final data analysis</w:t>
            </w:r>
          </w:p>
        </w:tc>
        <w:tc>
          <w:tcPr>
            <w:tcW w:w="1621" w:type="dxa"/>
          </w:tcPr>
          <w:p w:rsidR="006D027D" w:rsidRDefault="006D027D" w:rsidP="00A04B85"/>
        </w:tc>
      </w:tr>
      <w:tr w:rsidR="006D027D" w:rsidTr="00A04B85">
        <w:tc>
          <w:tcPr>
            <w:tcW w:w="1206" w:type="dxa"/>
          </w:tcPr>
          <w:p w:rsidR="006D027D" w:rsidRDefault="008221DE" w:rsidP="00A04B85">
            <w:r>
              <w:t>4</w:t>
            </w:r>
          </w:p>
        </w:tc>
        <w:tc>
          <w:tcPr>
            <w:tcW w:w="2021" w:type="dxa"/>
          </w:tcPr>
          <w:p w:rsidR="006D027D" w:rsidRDefault="008221DE" w:rsidP="00A04B85">
            <w:r>
              <w:t>03/02/2015</w:t>
            </w:r>
          </w:p>
        </w:tc>
        <w:tc>
          <w:tcPr>
            <w:tcW w:w="4394" w:type="dxa"/>
          </w:tcPr>
          <w:p w:rsidR="006D027D" w:rsidRPr="00F23D43" w:rsidRDefault="008221DE" w:rsidP="00A04B85">
            <w:pPr>
              <w:rPr>
                <w:rFonts w:ascii="Arial" w:hAnsi="Arial" w:cs="Arial"/>
                <w:sz w:val="20"/>
                <w:szCs w:val="20"/>
              </w:rPr>
            </w:pPr>
            <w:r w:rsidRPr="00F23D43">
              <w:rPr>
                <w:rFonts w:ascii="Arial" w:hAnsi="Arial" w:cs="Arial"/>
                <w:sz w:val="20"/>
                <w:szCs w:val="20"/>
              </w:rPr>
              <w:t>Update to the statistical analysis in the way centre is taken into account</w:t>
            </w:r>
          </w:p>
        </w:tc>
        <w:tc>
          <w:tcPr>
            <w:tcW w:w="1621" w:type="dxa"/>
          </w:tcPr>
          <w:p w:rsidR="006D027D" w:rsidRDefault="006D027D" w:rsidP="00A04B85"/>
        </w:tc>
      </w:tr>
      <w:tr w:rsidR="006D027D" w:rsidTr="00A04B85">
        <w:tc>
          <w:tcPr>
            <w:tcW w:w="1206" w:type="dxa"/>
          </w:tcPr>
          <w:p w:rsidR="006D027D" w:rsidRDefault="006D027D" w:rsidP="00A04B85"/>
        </w:tc>
        <w:tc>
          <w:tcPr>
            <w:tcW w:w="2021" w:type="dxa"/>
          </w:tcPr>
          <w:p w:rsidR="006D027D" w:rsidRDefault="006D027D" w:rsidP="00A04B85"/>
        </w:tc>
        <w:tc>
          <w:tcPr>
            <w:tcW w:w="4394" w:type="dxa"/>
          </w:tcPr>
          <w:p w:rsidR="006D027D" w:rsidRDefault="006D027D" w:rsidP="00A04B85"/>
        </w:tc>
        <w:tc>
          <w:tcPr>
            <w:tcW w:w="1621" w:type="dxa"/>
          </w:tcPr>
          <w:p w:rsidR="006D027D" w:rsidRDefault="006D027D" w:rsidP="00A04B85"/>
        </w:tc>
      </w:tr>
      <w:tr w:rsidR="006D027D" w:rsidTr="00A04B85">
        <w:tc>
          <w:tcPr>
            <w:tcW w:w="1206" w:type="dxa"/>
          </w:tcPr>
          <w:p w:rsidR="006D027D" w:rsidRDefault="006D027D" w:rsidP="00A04B85"/>
        </w:tc>
        <w:tc>
          <w:tcPr>
            <w:tcW w:w="2021" w:type="dxa"/>
          </w:tcPr>
          <w:p w:rsidR="006D027D" w:rsidRDefault="006D027D" w:rsidP="00A04B85"/>
        </w:tc>
        <w:tc>
          <w:tcPr>
            <w:tcW w:w="4394" w:type="dxa"/>
          </w:tcPr>
          <w:p w:rsidR="006D027D" w:rsidRDefault="006D027D" w:rsidP="00A04B85"/>
        </w:tc>
        <w:tc>
          <w:tcPr>
            <w:tcW w:w="1621" w:type="dxa"/>
          </w:tcPr>
          <w:p w:rsidR="006D027D" w:rsidRDefault="006D027D" w:rsidP="00A04B85"/>
        </w:tc>
      </w:tr>
      <w:tr w:rsidR="006D027D" w:rsidTr="00A04B85">
        <w:tc>
          <w:tcPr>
            <w:tcW w:w="1206" w:type="dxa"/>
          </w:tcPr>
          <w:p w:rsidR="006D027D" w:rsidRDefault="006D027D" w:rsidP="00A04B85"/>
        </w:tc>
        <w:tc>
          <w:tcPr>
            <w:tcW w:w="2021" w:type="dxa"/>
          </w:tcPr>
          <w:p w:rsidR="006D027D" w:rsidRDefault="006D027D" w:rsidP="00A04B85"/>
        </w:tc>
        <w:tc>
          <w:tcPr>
            <w:tcW w:w="4394" w:type="dxa"/>
          </w:tcPr>
          <w:p w:rsidR="006D027D" w:rsidRDefault="006D027D" w:rsidP="00A04B85"/>
        </w:tc>
        <w:tc>
          <w:tcPr>
            <w:tcW w:w="1621" w:type="dxa"/>
          </w:tcPr>
          <w:p w:rsidR="006D027D" w:rsidRDefault="006D027D" w:rsidP="00A04B85"/>
        </w:tc>
      </w:tr>
      <w:tr w:rsidR="006D027D" w:rsidTr="00A04B85">
        <w:tc>
          <w:tcPr>
            <w:tcW w:w="1206" w:type="dxa"/>
          </w:tcPr>
          <w:p w:rsidR="006D027D" w:rsidRDefault="006D027D" w:rsidP="00A04B85"/>
        </w:tc>
        <w:tc>
          <w:tcPr>
            <w:tcW w:w="2021" w:type="dxa"/>
          </w:tcPr>
          <w:p w:rsidR="006D027D" w:rsidRDefault="006D027D" w:rsidP="00A04B85"/>
        </w:tc>
        <w:tc>
          <w:tcPr>
            <w:tcW w:w="4394" w:type="dxa"/>
          </w:tcPr>
          <w:p w:rsidR="006D027D" w:rsidRDefault="006D027D" w:rsidP="00A04B85"/>
        </w:tc>
        <w:tc>
          <w:tcPr>
            <w:tcW w:w="1621" w:type="dxa"/>
          </w:tcPr>
          <w:p w:rsidR="006D027D" w:rsidRDefault="006D027D" w:rsidP="00A04B85"/>
        </w:tc>
      </w:tr>
    </w:tbl>
    <w:p w:rsidR="006D027D" w:rsidRPr="0042784A" w:rsidRDefault="006D027D" w:rsidP="006D027D"/>
    <w:p w:rsidR="006D027D" w:rsidRPr="0042784A" w:rsidRDefault="006D027D" w:rsidP="006D027D">
      <w:pPr>
        <w:autoSpaceDE w:val="0"/>
        <w:autoSpaceDN w:val="0"/>
        <w:adjustRightInd w:val="0"/>
        <w:spacing w:after="0"/>
        <w:jc w:val="center"/>
        <w:rPr>
          <w:rFonts w:eastAsiaTheme="minorHAnsi" w:cs="Arial"/>
          <w:b/>
          <w:bCs/>
          <w:sz w:val="24"/>
          <w:szCs w:val="24"/>
          <w:lang w:eastAsia="en-US"/>
        </w:rPr>
      </w:pPr>
      <w:r w:rsidRPr="0042784A">
        <w:rPr>
          <w:rFonts w:eastAsiaTheme="minorHAnsi" w:cs="Arial"/>
          <w:b/>
          <w:bCs/>
          <w:sz w:val="24"/>
          <w:szCs w:val="24"/>
          <w:lang w:eastAsia="en-US"/>
        </w:rPr>
        <w:t>Version History Log</w:t>
      </w:r>
    </w:p>
    <w:p w:rsidR="006D027D" w:rsidRPr="0042784A" w:rsidRDefault="006D027D" w:rsidP="006D027D">
      <w:pPr>
        <w:autoSpaceDE w:val="0"/>
        <w:autoSpaceDN w:val="0"/>
        <w:adjustRightInd w:val="0"/>
        <w:spacing w:after="0" w:line="240" w:lineRule="auto"/>
        <w:rPr>
          <w:rFonts w:eastAsiaTheme="minorHAnsi" w:cs="Arial"/>
          <w:lang w:eastAsia="en-US"/>
        </w:rPr>
      </w:pPr>
      <w:r w:rsidRPr="0042784A">
        <w:rPr>
          <w:rFonts w:eastAsiaTheme="minorHAnsi" w:cs="Arial"/>
          <w:lang w:eastAsia="en-US"/>
        </w:rPr>
        <w:t>This area should detail the version history for this document. It should detail the key elements of the changes to the versions.</w:t>
      </w:r>
    </w:p>
    <w:p w:rsidR="006D027D" w:rsidRDefault="006D027D" w:rsidP="006D027D">
      <w:pPr>
        <w:rPr>
          <w:rFonts w:ascii="Arial" w:eastAsiaTheme="minorHAnsi" w:hAnsi="Arial" w:cs="Arial"/>
          <w:lang w:eastAsia="en-US"/>
        </w:rPr>
      </w:pPr>
    </w:p>
    <w:p w:rsidR="00C303F0" w:rsidRDefault="00C303F0" w:rsidP="00867CEA">
      <w:pPr>
        <w:jc w:val="both"/>
        <w:rPr>
          <w:rFonts w:ascii="Arial" w:hAnsi="Arial" w:cs="Arial"/>
          <w:b/>
          <w:sz w:val="20"/>
          <w:szCs w:val="20"/>
        </w:rPr>
      </w:pPr>
    </w:p>
    <w:p w:rsidR="006D027D" w:rsidRDefault="006D027D" w:rsidP="00867CEA">
      <w:pPr>
        <w:jc w:val="both"/>
        <w:rPr>
          <w:rFonts w:ascii="Arial" w:hAnsi="Arial" w:cs="Arial"/>
          <w:b/>
          <w:sz w:val="20"/>
          <w:szCs w:val="20"/>
        </w:rPr>
      </w:pPr>
    </w:p>
    <w:p w:rsidR="00917473" w:rsidRDefault="00917473" w:rsidP="00867CEA">
      <w:pPr>
        <w:jc w:val="both"/>
        <w:rPr>
          <w:rFonts w:ascii="Arial" w:hAnsi="Arial" w:cs="Arial"/>
          <w:b/>
          <w:sz w:val="20"/>
          <w:szCs w:val="20"/>
        </w:rPr>
      </w:pPr>
    </w:p>
    <w:p w:rsidR="003079D7" w:rsidRDefault="003079D7">
      <w:pPr>
        <w:rPr>
          <w:rFonts w:ascii="Arial" w:hAnsi="Arial" w:cs="Arial"/>
          <w:b/>
          <w:sz w:val="20"/>
          <w:szCs w:val="20"/>
        </w:rPr>
      </w:pPr>
      <w:r>
        <w:rPr>
          <w:rFonts w:ascii="Arial" w:hAnsi="Arial" w:cs="Arial"/>
          <w:b/>
          <w:sz w:val="20"/>
          <w:szCs w:val="20"/>
        </w:rPr>
        <w:br w:type="page"/>
      </w:r>
    </w:p>
    <w:p w:rsidR="00917473" w:rsidRP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lastRenderedPageBreak/>
        <w:t>Introduction</w:t>
      </w:r>
    </w:p>
    <w:p w:rsid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This analysis plan sets out the methods of analysing the predetermined primary and secondary outcomes, which will be reported in the National Institute for Health Research, Health Technology Assessment</w:t>
      </w:r>
      <w:r w:rsidR="00667816">
        <w:rPr>
          <w:rFonts w:ascii="Arial" w:eastAsia="Times New Roman" w:hAnsi="Arial" w:cs="Arial"/>
        </w:rPr>
        <w:t xml:space="preserve"> (HTA)</w:t>
      </w:r>
      <w:r w:rsidRPr="00917473">
        <w:rPr>
          <w:rFonts w:ascii="Arial" w:eastAsia="Times New Roman" w:hAnsi="Arial" w:cs="Arial"/>
        </w:rPr>
        <w:t xml:space="preserve"> report at the end of the trial and also in the main peer review paper to result from this randomised controlled trial.  It complies with </w:t>
      </w:r>
      <w:proofErr w:type="spellStart"/>
      <w:r w:rsidR="00667816">
        <w:rPr>
          <w:rFonts w:ascii="Arial" w:eastAsia="Times New Roman" w:hAnsi="Arial" w:cs="Arial"/>
        </w:rPr>
        <w:t>Priment’s</w:t>
      </w:r>
      <w:proofErr w:type="spellEnd"/>
      <w:r w:rsidRPr="00917473">
        <w:rPr>
          <w:rFonts w:ascii="Arial" w:eastAsia="Times New Roman" w:hAnsi="Arial" w:cs="Arial"/>
        </w:rPr>
        <w:t xml:space="preserve"> SOPs on writing an analysis plan and analysing a randomised controlled trial.  This analysis plan does not cover the economic analysis.</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Objectives</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 xml:space="preserve">To determine whether there are any difference in total PANSS score between those randomised to clozapine with </w:t>
      </w:r>
      <w:proofErr w:type="spellStart"/>
      <w:r w:rsidRPr="00917473">
        <w:rPr>
          <w:rFonts w:ascii="Arial" w:eastAsia="Times New Roman" w:hAnsi="Arial" w:cs="Arial"/>
        </w:rPr>
        <w:t>amisulpride</w:t>
      </w:r>
      <w:proofErr w:type="spellEnd"/>
      <w:r w:rsidRPr="00917473">
        <w:rPr>
          <w:rFonts w:ascii="Arial" w:eastAsia="Times New Roman" w:hAnsi="Arial" w:cs="Arial"/>
        </w:rPr>
        <w:t xml:space="preserve"> versus placebo in clozapine-unresponsive schizophrenia at the end of follow up.</w:t>
      </w: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To examine whether there are differences in the PANSS negative symptoms score between the two randomised groups at the end of follow up.</w:t>
      </w: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To investigate whether there are differences in service engagement between the two randomised groups at the end of follow up.</w:t>
      </w: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To explore whether there is a difference in depression between the two randomised groups at the end of follow up.</w:t>
      </w: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 xml:space="preserve">To examine whether there is a difference in insight between those randomised to clozapine with </w:t>
      </w:r>
      <w:proofErr w:type="spellStart"/>
      <w:r w:rsidRPr="00917473">
        <w:rPr>
          <w:rFonts w:ascii="Arial" w:eastAsia="Times New Roman" w:hAnsi="Arial" w:cs="Arial"/>
        </w:rPr>
        <w:t>amisulpride</w:t>
      </w:r>
      <w:proofErr w:type="spellEnd"/>
      <w:r w:rsidRPr="00917473">
        <w:rPr>
          <w:rFonts w:ascii="Arial" w:eastAsia="Times New Roman" w:hAnsi="Arial" w:cs="Arial"/>
        </w:rPr>
        <w:t xml:space="preserve"> versus placebo at the end of follow up.</w:t>
      </w:r>
    </w:p>
    <w:p w:rsidR="00917473" w:rsidRPr="00917473" w:rsidRDefault="00917473" w:rsidP="00917473">
      <w:pPr>
        <w:numPr>
          <w:ilvl w:val="0"/>
          <w:numId w:val="11"/>
        </w:numPr>
        <w:autoSpaceDE w:val="0"/>
        <w:autoSpaceDN w:val="0"/>
        <w:spacing w:after="0" w:line="240" w:lineRule="auto"/>
        <w:contextualSpacing/>
        <w:jc w:val="both"/>
        <w:rPr>
          <w:rFonts w:ascii="Arial" w:eastAsia="Times New Roman" w:hAnsi="Arial" w:cs="Arial"/>
        </w:rPr>
      </w:pPr>
      <w:r w:rsidRPr="00917473">
        <w:rPr>
          <w:rFonts w:ascii="Arial" w:eastAsia="Times New Roman" w:hAnsi="Arial" w:cs="Arial"/>
        </w:rPr>
        <w:t>To investigate whether there are differences in side effects (non-neurological, metabolic or drug induced Parkinsonism) between the two randomised groups at the end of follow up.</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Trial design</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rPr>
        <w:t xml:space="preserve">It is a double blind placebo controlled randomised trial comparing </w:t>
      </w:r>
      <w:r w:rsidRPr="00917473">
        <w:rPr>
          <w:rFonts w:ascii="Arial" w:eastAsia="Times New Roman" w:hAnsi="Arial" w:cs="Arial"/>
          <w:lang w:val="en"/>
        </w:rPr>
        <w:t xml:space="preserve">clozapine with </w:t>
      </w:r>
      <w:proofErr w:type="spellStart"/>
      <w:r w:rsidRPr="00917473">
        <w:rPr>
          <w:rFonts w:ascii="Arial" w:eastAsia="Times New Roman" w:hAnsi="Arial" w:cs="Arial"/>
          <w:lang w:val="en"/>
        </w:rPr>
        <w:t>amisulpride</w:t>
      </w:r>
      <w:proofErr w:type="spellEnd"/>
      <w:r w:rsidRPr="00917473">
        <w:rPr>
          <w:rFonts w:ascii="Arial" w:eastAsia="Times New Roman" w:hAnsi="Arial" w:cs="Arial"/>
          <w:lang w:val="en"/>
        </w:rPr>
        <w:t xml:space="preserve"> to clozapine with placebo.  There will be follow up at six weeks and 12 weeks, with the primary outcome being at 12 weeks.</w:t>
      </w:r>
    </w:p>
    <w:p w:rsidR="00917473" w:rsidRDefault="00917473" w:rsidP="00917473">
      <w:pPr>
        <w:spacing w:after="0" w:line="240" w:lineRule="auto"/>
        <w:jc w:val="both"/>
        <w:rPr>
          <w:rFonts w:ascii="Arial" w:eastAsia="Times New Roman" w:hAnsi="Arial" w:cs="Arial"/>
        </w:rPr>
      </w:pPr>
    </w:p>
    <w:p w:rsidR="006E17CD" w:rsidRDefault="006E17CD" w:rsidP="00917473">
      <w:pPr>
        <w:spacing w:after="0" w:line="240" w:lineRule="auto"/>
        <w:jc w:val="both"/>
        <w:rPr>
          <w:rFonts w:ascii="Arial" w:eastAsia="Times New Roman" w:hAnsi="Arial" w:cs="Arial"/>
          <w:b/>
        </w:rPr>
      </w:pPr>
      <w:r w:rsidRPr="00DE0852">
        <w:rPr>
          <w:rFonts w:ascii="Arial" w:eastAsia="Times New Roman" w:hAnsi="Arial" w:cs="Arial"/>
          <w:b/>
        </w:rPr>
        <w:t>Sample size</w:t>
      </w:r>
    </w:p>
    <w:p w:rsidR="00DE0852" w:rsidRPr="00DE0852" w:rsidRDefault="00DE0852" w:rsidP="00917473">
      <w:pPr>
        <w:spacing w:after="0" w:line="240" w:lineRule="auto"/>
        <w:jc w:val="both"/>
        <w:rPr>
          <w:rFonts w:ascii="Arial" w:eastAsia="Times New Roman" w:hAnsi="Arial" w:cs="Arial"/>
          <w:b/>
        </w:rPr>
      </w:pPr>
    </w:p>
    <w:p w:rsidR="006E17CD" w:rsidRDefault="006E17CD" w:rsidP="00917473">
      <w:pPr>
        <w:spacing w:after="0" w:line="240" w:lineRule="auto"/>
        <w:jc w:val="both"/>
        <w:rPr>
          <w:rFonts w:ascii="Arial" w:hAnsi="Arial" w:cs="Arial"/>
        </w:rPr>
      </w:pPr>
      <w:r w:rsidRPr="006E17CD">
        <w:rPr>
          <w:rFonts w:ascii="Arial" w:eastAsia="Times New Roman" w:hAnsi="Arial" w:cs="Arial"/>
        </w:rPr>
        <w:t xml:space="preserve">The original sample size calculation (prefunding) assumed </w:t>
      </w:r>
      <w:r w:rsidRPr="00DE0852">
        <w:rPr>
          <w:rFonts w:ascii="Arial" w:hAnsi="Arial" w:cs="Arial"/>
        </w:rPr>
        <w:t xml:space="preserve">30% of participants in the intervention arm and 10% in the placebo arm will have at least a 20% reduction in Positive and Negative Syndrome Scale (PANSS) total score.  With 90% power, the study would need 92 people in each arm (184 in </w:t>
      </w:r>
      <w:proofErr w:type="gramStart"/>
      <w:r w:rsidRPr="00DE0852">
        <w:rPr>
          <w:rFonts w:ascii="Arial" w:hAnsi="Arial" w:cs="Arial"/>
        </w:rPr>
        <w:t>total</w:t>
      </w:r>
      <w:proofErr w:type="gramEnd"/>
      <w:r w:rsidRPr="00DE0852">
        <w:rPr>
          <w:rFonts w:ascii="Arial" w:hAnsi="Arial" w:cs="Arial"/>
        </w:rPr>
        <w:t>) to complete the study.  Assuming 20% dropout this increases to 230 into the study (115 to each arm)</w:t>
      </w:r>
      <w:r>
        <w:rPr>
          <w:rFonts w:ascii="Arial" w:hAnsi="Arial" w:cs="Arial"/>
        </w:rPr>
        <w:t>.</w:t>
      </w:r>
    </w:p>
    <w:p w:rsidR="006E17CD" w:rsidRDefault="006E17CD" w:rsidP="00917473">
      <w:pPr>
        <w:spacing w:after="0" w:line="240" w:lineRule="auto"/>
        <w:jc w:val="both"/>
        <w:rPr>
          <w:rFonts w:ascii="Arial" w:hAnsi="Arial" w:cs="Arial"/>
        </w:rPr>
      </w:pPr>
    </w:p>
    <w:p w:rsidR="006E17CD" w:rsidRPr="006E17CD" w:rsidRDefault="006E17CD" w:rsidP="00917473">
      <w:pPr>
        <w:spacing w:after="0" w:line="240" w:lineRule="auto"/>
        <w:jc w:val="both"/>
        <w:rPr>
          <w:rFonts w:ascii="Arial" w:eastAsia="Times New Roman" w:hAnsi="Arial" w:cs="Arial"/>
        </w:rPr>
      </w:pPr>
      <w:r>
        <w:rPr>
          <w:rFonts w:ascii="Arial" w:hAnsi="Arial" w:cs="Arial"/>
        </w:rPr>
        <w:t>As part of the AMICUS rescue plan submitted</w:t>
      </w:r>
      <w:r w:rsidR="00F22D2E">
        <w:rPr>
          <w:rFonts w:ascii="Arial" w:hAnsi="Arial" w:cs="Arial"/>
        </w:rPr>
        <w:t xml:space="preserve"> to the HTA</w:t>
      </w:r>
      <w:r>
        <w:rPr>
          <w:rFonts w:ascii="Arial" w:hAnsi="Arial" w:cs="Arial"/>
        </w:rPr>
        <w:t xml:space="preserve"> in </w:t>
      </w:r>
      <w:r w:rsidR="00F22D2E">
        <w:rPr>
          <w:rFonts w:ascii="Arial" w:hAnsi="Arial" w:cs="Arial"/>
        </w:rPr>
        <w:t>March 2013, the sample size was recalculated with the same assumptions but 80% power.  This gave 72 in each arm (144 in total)</w:t>
      </w:r>
      <w:r w:rsidR="001D1922">
        <w:rPr>
          <w:rFonts w:ascii="Arial" w:hAnsi="Arial" w:cs="Arial"/>
        </w:rPr>
        <w:t>;</w:t>
      </w:r>
      <w:r w:rsidR="00F22D2E">
        <w:rPr>
          <w:rFonts w:ascii="Arial" w:hAnsi="Arial" w:cs="Arial"/>
        </w:rPr>
        <w:t xml:space="preserve"> </w:t>
      </w:r>
      <w:r w:rsidR="001D1922">
        <w:rPr>
          <w:rFonts w:ascii="Arial" w:hAnsi="Arial" w:cs="Arial"/>
        </w:rPr>
        <w:t>a</w:t>
      </w:r>
      <w:r w:rsidR="00F22D2E">
        <w:rPr>
          <w:rFonts w:ascii="Arial" w:hAnsi="Arial" w:cs="Arial"/>
        </w:rPr>
        <w:t>ccounting for 20% drop out gives 90 in each group (180 in total).</w:t>
      </w:r>
      <w:r w:rsidR="00DD60EB">
        <w:rPr>
          <w:rFonts w:ascii="Arial" w:hAnsi="Arial" w:cs="Arial"/>
        </w:rPr>
        <w:t xml:space="preserve">  However this total will </w:t>
      </w:r>
      <w:r w:rsidR="00AA53C0">
        <w:rPr>
          <w:rFonts w:ascii="Arial" w:hAnsi="Arial" w:cs="Arial"/>
        </w:rPr>
        <w:t xml:space="preserve">is unlikely to </w:t>
      </w:r>
      <w:r w:rsidR="00DD60EB">
        <w:rPr>
          <w:rFonts w:ascii="Arial" w:hAnsi="Arial" w:cs="Arial"/>
        </w:rPr>
        <w:t>be reached by the end of recruitment.</w:t>
      </w:r>
    </w:p>
    <w:p w:rsidR="006E17CD" w:rsidRPr="00917473" w:rsidRDefault="006E17CD"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Centres</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i/>
          <w:lang w:val="en"/>
        </w:rPr>
      </w:pPr>
      <w:r w:rsidRPr="00917473">
        <w:rPr>
          <w:rFonts w:ascii="Arial" w:eastAsia="Times New Roman" w:hAnsi="Arial" w:cs="Arial"/>
          <w:i/>
          <w:lang w:val="en"/>
        </w:rPr>
        <w:t>Funded</w:t>
      </w: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West London Mental Health NHS Trust</w:t>
      </w: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Camden and Islington NHS Foundation Trust</w:t>
      </w: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Manchester Mental Health and Social Care Trust</w:t>
      </w:r>
    </w:p>
    <w:p w:rsidR="00917473" w:rsidRPr="00917473" w:rsidRDefault="00917473" w:rsidP="00917473">
      <w:pPr>
        <w:spacing w:after="0" w:line="240" w:lineRule="auto"/>
        <w:jc w:val="both"/>
        <w:rPr>
          <w:rFonts w:ascii="Arial" w:eastAsia="Times New Roman" w:hAnsi="Arial" w:cs="Arial"/>
          <w:lang w:val="en"/>
        </w:rPr>
      </w:pPr>
      <w:proofErr w:type="spellStart"/>
      <w:r w:rsidRPr="00917473">
        <w:rPr>
          <w:rFonts w:ascii="Arial" w:eastAsia="Times New Roman" w:hAnsi="Arial" w:cs="Arial"/>
          <w:lang w:val="en"/>
        </w:rPr>
        <w:t>Oxleas</w:t>
      </w:r>
      <w:proofErr w:type="spellEnd"/>
      <w:r w:rsidRPr="00917473">
        <w:rPr>
          <w:rFonts w:ascii="Arial" w:eastAsia="Times New Roman" w:hAnsi="Arial" w:cs="Arial"/>
          <w:lang w:val="en"/>
        </w:rPr>
        <w:t xml:space="preserve"> NHS Foundation Trust</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Unfunded</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Avon and Wiltshire Mental Health Partnership</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Birmingham and Solihull Mental Health Foundation Trust</w:t>
      </w:r>
    </w:p>
    <w:p w:rsid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Bradford District Care Trust</w:t>
      </w:r>
    </w:p>
    <w:p w:rsidR="009D7533" w:rsidRPr="00917473" w:rsidRDefault="009D7533" w:rsidP="00917473">
      <w:pPr>
        <w:spacing w:after="0" w:line="240" w:lineRule="auto"/>
        <w:jc w:val="both"/>
        <w:rPr>
          <w:rFonts w:ascii="Arial" w:eastAsia="Times New Roman" w:hAnsi="Arial" w:cs="Arial"/>
        </w:rPr>
      </w:pPr>
      <w:r>
        <w:rPr>
          <w:rFonts w:ascii="Arial" w:eastAsia="Times New Roman" w:hAnsi="Arial" w:cs="Arial"/>
        </w:rPr>
        <w:lastRenderedPageBreak/>
        <w:t>Central and North West London NHS Foundation Trust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Derbyshire </w:t>
      </w:r>
      <w:r w:rsidR="009D7533">
        <w:rPr>
          <w:rFonts w:ascii="Arial" w:eastAsia="Times New Roman" w:hAnsi="Arial" w:cs="Arial"/>
        </w:rPr>
        <w:t>Healthcare</w:t>
      </w:r>
      <w:r w:rsidRPr="00917473">
        <w:rPr>
          <w:rFonts w:ascii="Arial" w:eastAsia="Times New Roman" w:hAnsi="Arial" w:cs="Arial"/>
        </w:rPr>
        <w:t xml:space="preserve"> NHS </w:t>
      </w:r>
      <w:r w:rsidR="009D7533">
        <w:rPr>
          <w:rFonts w:ascii="Arial" w:eastAsia="Times New Roman" w:hAnsi="Arial" w:cs="Arial"/>
        </w:rPr>
        <w:t>Foundation</w:t>
      </w:r>
      <w:r w:rsidR="003079D7">
        <w:rPr>
          <w:rFonts w:ascii="Arial" w:eastAsia="Times New Roman" w:hAnsi="Arial" w:cs="Arial"/>
        </w:rPr>
        <w:t xml:space="preserve"> </w:t>
      </w:r>
      <w:r w:rsidRPr="00917473">
        <w:rPr>
          <w:rFonts w:ascii="Arial" w:eastAsia="Times New Roman" w:hAnsi="Arial" w:cs="Arial"/>
        </w:rPr>
        <w:t>Trust</w:t>
      </w:r>
    </w:p>
    <w:p w:rsid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Devon Partnership NHS Trust</w:t>
      </w:r>
    </w:p>
    <w:p w:rsidR="009D7533" w:rsidRDefault="009D7533" w:rsidP="00917473">
      <w:pPr>
        <w:spacing w:after="0" w:line="240" w:lineRule="auto"/>
        <w:jc w:val="both"/>
        <w:rPr>
          <w:rFonts w:ascii="Arial" w:eastAsia="Times New Roman" w:hAnsi="Arial" w:cs="Arial"/>
        </w:rPr>
      </w:pPr>
      <w:r>
        <w:rPr>
          <w:rFonts w:ascii="Arial" w:eastAsia="Times New Roman" w:hAnsi="Arial" w:cs="Arial"/>
        </w:rPr>
        <w:t xml:space="preserve">Greater Manchester West Mental Health MHS Foundation Trust </w:t>
      </w:r>
    </w:p>
    <w:p w:rsidR="0092178E" w:rsidRPr="00917473" w:rsidRDefault="0092178E" w:rsidP="00917473">
      <w:pPr>
        <w:spacing w:after="0" w:line="240" w:lineRule="auto"/>
        <w:jc w:val="both"/>
        <w:rPr>
          <w:rFonts w:ascii="Arial" w:eastAsia="Times New Roman" w:hAnsi="Arial" w:cs="Arial"/>
        </w:rPr>
      </w:pPr>
      <w:r>
        <w:rPr>
          <w:rFonts w:ascii="Arial" w:eastAsia="Times New Roman" w:hAnsi="Arial" w:cs="Arial"/>
        </w:rPr>
        <w:t>Kent and Medway</w:t>
      </w:r>
      <w:r w:rsidR="009D7533">
        <w:rPr>
          <w:rFonts w:ascii="Arial" w:eastAsia="Times New Roman" w:hAnsi="Arial" w:cs="Arial"/>
        </w:rPr>
        <w:t xml:space="preserve"> NHS and Social Care Partnership Trust</w:t>
      </w:r>
    </w:p>
    <w:p w:rsid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Lincolnshire Partnership NHS Foundation Trust</w:t>
      </w:r>
    </w:p>
    <w:p w:rsidR="0092178E" w:rsidRDefault="0092178E" w:rsidP="00917473">
      <w:pPr>
        <w:spacing w:after="0" w:line="240" w:lineRule="auto"/>
        <w:jc w:val="both"/>
        <w:rPr>
          <w:rFonts w:ascii="Arial" w:eastAsia="Times New Roman" w:hAnsi="Arial" w:cs="Arial"/>
        </w:rPr>
      </w:pPr>
      <w:r>
        <w:rPr>
          <w:rFonts w:ascii="Arial" w:eastAsia="Times New Roman" w:hAnsi="Arial" w:cs="Arial"/>
        </w:rPr>
        <w:t>Leeds and York</w:t>
      </w:r>
      <w:r w:rsidR="009D7533">
        <w:rPr>
          <w:rFonts w:ascii="Arial" w:eastAsia="Times New Roman" w:hAnsi="Arial" w:cs="Arial"/>
        </w:rPr>
        <w:t xml:space="preserve"> Partnership NHS Foundation Trust</w:t>
      </w:r>
    </w:p>
    <w:p w:rsidR="009D7533" w:rsidRDefault="009D7533" w:rsidP="00917473">
      <w:pPr>
        <w:spacing w:after="0" w:line="240" w:lineRule="auto"/>
        <w:jc w:val="both"/>
        <w:rPr>
          <w:rFonts w:ascii="Arial" w:eastAsia="Times New Roman" w:hAnsi="Arial" w:cs="Arial"/>
        </w:rPr>
      </w:pPr>
      <w:r>
        <w:rPr>
          <w:rFonts w:ascii="Arial" w:eastAsia="Times New Roman" w:hAnsi="Arial" w:cs="Arial"/>
        </w:rPr>
        <w:t>Northumberland Tyne and Wear NHS Foundation Trust</w:t>
      </w:r>
    </w:p>
    <w:p w:rsidR="003079D7" w:rsidRDefault="009D7533" w:rsidP="00917473">
      <w:pPr>
        <w:spacing w:after="0" w:line="240" w:lineRule="auto"/>
        <w:jc w:val="both"/>
        <w:rPr>
          <w:rFonts w:ascii="Arial" w:eastAsia="Times New Roman" w:hAnsi="Arial" w:cs="Arial"/>
        </w:rPr>
      </w:pPr>
      <w:r>
        <w:rPr>
          <w:rFonts w:ascii="Arial" w:eastAsia="Times New Roman" w:hAnsi="Arial" w:cs="Arial"/>
        </w:rPr>
        <w:t xml:space="preserve">North Essex Partnership NHS Foundation Trust </w:t>
      </w:r>
    </w:p>
    <w:p w:rsidR="0092178E" w:rsidRDefault="0092178E" w:rsidP="00917473">
      <w:pPr>
        <w:spacing w:after="0" w:line="240" w:lineRule="auto"/>
        <w:jc w:val="both"/>
        <w:rPr>
          <w:rFonts w:ascii="Arial" w:eastAsia="Times New Roman" w:hAnsi="Arial" w:cs="Arial"/>
        </w:rPr>
      </w:pPr>
      <w:r>
        <w:rPr>
          <w:rFonts w:ascii="Arial" w:eastAsia="Times New Roman" w:hAnsi="Arial" w:cs="Arial"/>
        </w:rPr>
        <w:t>Nottingham</w:t>
      </w:r>
      <w:r w:rsidR="009D7533">
        <w:rPr>
          <w:rFonts w:ascii="Arial" w:eastAsia="Times New Roman" w:hAnsi="Arial" w:cs="Arial"/>
        </w:rPr>
        <w:t xml:space="preserve"> Healthcare NHS Trust</w:t>
      </w:r>
    </w:p>
    <w:p w:rsidR="0092178E" w:rsidRPr="00917473" w:rsidRDefault="0092178E" w:rsidP="00917473">
      <w:pPr>
        <w:spacing w:after="0" w:line="240" w:lineRule="auto"/>
        <w:jc w:val="both"/>
        <w:rPr>
          <w:rFonts w:ascii="Arial" w:eastAsia="Times New Roman" w:hAnsi="Arial" w:cs="Arial"/>
        </w:rPr>
      </w:pPr>
      <w:r>
        <w:rPr>
          <w:rFonts w:ascii="Arial" w:eastAsia="Times New Roman" w:hAnsi="Arial" w:cs="Arial"/>
        </w:rPr>
        <w:t>Somerset</w:t>
      </w:r>
      <w:r w:rsidR="009D7533">
        <w:rPr>
          <w:rFonts w:ascii="Arial" w:eastAsia="Times New Roman" w:hAnsi="Arial" w:cs="Arial"/>
        </w:rPr>
        <w:t xml:space="preserve"> Partnership NHS Foundation Trust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South Staffordshire and Shropshire </w:t>
      </w:r>
      <w:r w:rsidR="009D7533">
        <w:rPr>
          <w:rFonts w:ascii="Arial" w:eastAsia="Times New Roman" w:hAnsi="Arial" w:cs="Arial"/>
        </w:rPr>
        <w:t xml:space="preserve">Healthcare </w:t>
      </w:r>
      <w:r w:rsidRPr="00917473">
        <w:rPr>
          <w:rFonts w:ascii="Arial" w:eastAsia="Times New Roman" w:hAnsi="Arial" w:cs="Arial"/>
        </w:rPr>
        <w:t>NHS Foundation Trust</w:t>
      </w:r>
    </w:p>
    <w:p w:rsidR="00D31E1B" w:rsidRPr="00D31E1B" w:rsidRDefault="00D31E1B" w:rsidP="00D31E1B">
      <w:pPr>
        <w:pStyle w:val="Default"/>
        <w:rPr>
          <w:rFonts w:ascii="Arial" w:hAnsi="Arial" w:cs="Arial"/>
          <w:sz w:val="22"/>
          <w:szCs w:val="22"/>
        </w:rPr>
      </w:pPr>
      <w:r w:rsidRPr="00D31E1B">
        <w:rPr>
          <w:rFonts w:ascii="Arial" w:hAnsi="Arial" w:cs="Arial"/>
          <w:sz w:val="22"/>
          <w:szCs w:val="22"/>
        </w:rPr>
        <w:t>Southern Health NHS Foundation Trust</w:t>
      </w:r>
    </w:p>
    <w:p w:rsidR="00D31E1B" w:rsidRPr="00D31E1B" w:rsidRDefault="00D31E1B" w:rsidP="00D31E1B">
      <w:pPr>
        <w:pStyle w:val="Default"/>
        <w:rPr>
          <w:rFonts w:ascii="Arial" w:hAnsi="Arial" w:cs="Arial"/>
        </w:rPr>
      </w:pPr>
      <w:r w:rsidRPr="00D31E1B">
        <w:rPr>
          <w:rFonts w:ascii="Arial" w:hAnsi="Arial" w:cs="Arial"/>
          <w:sz w:val="22"/>
          <w:szCs w:val="22"/>
        </w:rPr>
        <w:t xml:space="preserve">Tees, </w:t>
      </w:r>
      <w:proofErr w:type="spellStart"/>
      <w:r w:rsidRPr="00D31E1B">
        <w:rPr>
          <w:rFonts w:ascii="Arial" w:hAnsi="Arial" w:cs="Arial"/>
          <w:sz w:val="22"/>
          <w:szCs w:val="22"/>
        </w:rPr>
        <w:t>Esk</w:t>
      </w:r>
      <w:proofErr w:type="spellEnd"/>
      <w:r w:rsidRPr="00D31E1B">
        <w:rPr>
          <w:rFonts w:ascii="Arial" w:hAnsi="Arial" w:cs="Arial"/>
          <w:sz w:val="22"/>
          <w:szCs w:val="22"/>
        </w:rPr>
        <w:t xml:space="preserve"> and Wear Valleys NHS Foundation Trust</w:t>
      </w:r>
    </w:p>
    <w:p w:rsid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Inclusion criteria</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Patients must be aged between 18 and 65 years</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Patients must be diagnosed with a schizophrenic illness that has been clinically unresponsive to clozapine treatment alone</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They must have been prescribed clozapine for at least three months</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They must have been prescribed clozapine at a stable dose of 400mg or more a day, unless dosage was limited due to side effects</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They must have been clinically stable for the last three months</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They must have persistent symptoms (a score of 80 or greater on the total PANSS)</w:t>
      </w:r>
      <w:r w:rsidRPr="00917473">
        <w:rPr>
          <w:rFonts w:ascii="Arial" w:eastAsia="Times New Roman" w:hAnsi="Arial" w:cs="Arial"/>
          <w:vertAlign w:val="superscript"/>
          <w:lang w:val="en"/>
        </w:rPr>
        <w:t>1</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They must be at least moderately ill (reach a score of 4 or greater on the Clinical Global Impression)</w:t>
      </w:r>
      <w:r w:rsidRPr="00917473">
        <w:rPr>
          <w:rFonts w:ascii="Arial" w:eastAsia="Times New Roman" w:hAnsi="Arial" w:cs="Arial"/>
          <w:vertAlign w:val="superscript"/>
          <w:lang w:val="en"/>
        </w:rPr>
        <w:t>2</w:t>
      </w:r>
    </w:p>
    <w:p w:rsidR="00917473" w:rsidRPr="00917473" w:rsidRDefault="00917473" w:rsidP="00917473">
      <w:pPr>
        <w:numPr>
          <w:ilvl w:val="0"/>
          <w:numId w:val="9"/>
        </w:numPr>
        <w:spacing w:after="0" w:line="240" w:lineRule="auto"/>
        <w:jc w:val="both"/>
        <w:rPr>
          <w:rFonts w:ascii="Arial" w:eastAsia="Times New Roman" w:hAnsi="Arial" w:cs="Arial"/>
          <w:lang w:val="en"/>
        </w:rPr>
      </w:pPr>
      <w:r w:rsidRPr="00917473">
        <w:rPr>
          <w:rFonts w:ascii="Arial" w:eastAsia="Times New Roman" w:hAnsi="Arial" w:cs="Arial"/>
          <w:lang w:val="en"/>
        </w:rPr>
        <w:t xml:space="preserve">They must have marked social and occupational functioning (a score of 40 or less on the </w:t>
      </w:r>
      <w:r w:rsidRPr="00917473">
        <w:rPr>
          <w:rFonts w:ascii="Arial" w:eastAsia="Times New Roman" w:hAnsi="Arial" w:cs="Arial"/>
          <w:bCs/>
        </w:rPr>
        <w:t>Social and Occupational Functioning Assessment Scale (SOFAS)</w:t>
      </w:r>
      <w:r w:rsidRPr="00917473">
        <w:rPr>
          <w:rFonts w:ascii="Arial" w:eastAsia="Times New Roman" w:hAnsi="Arial" w:cs="Arial"/>
          <w:lang w:val="en"/>
        </w:rPr>
        <w:t>)</w:t>
      </w:r>
      <w:r w:rsidRPr="00917473">
        <w:rPr>
          <w:rFonts w:ascii="Arial" w:eastAsia="Times New Roman" w:hAnsi="Arial" w:cs="Arial"/>
          <w:vertAlign w:val="superscript"/>
          <w:lang w:val="en"/>
        </w:rPr>
        <w:t>3</w:t>
      </w:r>
    </w:p>
    <w:p w:rsidR="00917473" w:rsidRPr="00917473" w:rsidRDefault="00917473" w:rsidP="00917473">
      <w:pPr>
        <w:numPr>
          <w:ilvl w:val="0"/>
          <w:numId w:val="10"/>
        </w:numPr>
        <w:spacing w:after="0" w:line="240" w:lineRule="auto"/>
        <w:jc w:val="both"/>
        <w:rPr>
          <w:rFonts w:ascii="Arial" w:eastAsia="Times New Roman" w:hAnsi="Arial" w:cs="Arial"/>
          <w:lang w:val="en"/>
        </w:rPr>
      </w:pPr>
      <w:r w:rsidRPr="00917473">
        <w:rPr>
          <w:rFonts w:ascii="Arial" w:eastAsia="Times New Roman" w:hAnsi="Arial" w:cs="Arial"/>
          <w:lang w:val="en"/>
        </w:rPr>
        <w:t>The patient agrees to participate, providing written consent</w:t>
      </w:r>
    </w:p>
    <w:p w:rsidR="00917473" w:rsidRPr="00917473" w:rsidRDefault="00917473" w:rsidP="00917473">
      <w:pPr>
        <w:spacing w:after="0" w:line="240" w:lineRule="auto"/>
        <w:jc w:val="both"/>
        <w:rPr>
          <w:rFonts w:ascii="Arial" w:eastAsia="Times New Roman" w:hAnsi="Arial" w:cs="Arial"/>
          <w:b/>
          <w:bCs/>
          <w:lang w:val="en"/>
        </w:rPr>
      </w:pPr>
    </w:p>
    <w:p w:rsidR="00917473" w:rsidRDefault="00917473" w:rsidP="00917473">
      <w:pPr>
        <w:spacing w:after="0" w:line="240" w:lineRule="auto"/>
        <w:jc w:val="both"/>
        <w:rPr>
          <w:rFonts w:ascii="Arial" w:eastAsia="Times New Roman" w:hAnsi="Arial" w:cs="Arial"/>
          <w:b/>
          <w:bCs/>
          <w:lang w:val="en"/>
        </w:rPr>
      </w:pPr>
      <w:r w:rsidRPr="00917473">
        <w:rPr>
          <w:rFonts w:ascii="Arial" w:eastAsia="Times New Roman" w:hAnsi="Arial" w:cs="Arial"/>
          <w:b/>
          <w:bCs/>
          <w:lang w:val="en"/>
        </w:rPr>
        <w:t>Exclusion Criteria</w:t>
      </w:r>
    </w:p>
    <w:p w:rsidR="00917473" w:rsidRPr="00917473" w:rsidRDefault="00917473" w:rsidP="00917473">
      <w:pPr>
        <w:spacing w:after="0" w:line="240" w:lineRule="auto"/>
        <w:jc w:val="both"/>
        <w:rPr>
          <w:rFonts w:ascii="Arial" w:eastAsia="Times New Roman" w:hAnsi="Arial" w:cs="Arial"/>
          <w:lang w:val="en"/>
        </w:rPr>
      </w:pP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The patient has had significant alcohol/ substance use in the previous three months</w:t>
      </w: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The patient has a developmental disability</w:t>
      </w: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Current clozapine treatment was prescribed due to intolerance/ movement disorder</w:t>
      </w: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 xml:space="preserve">The patient has previously taken part in a trial of clozapine augmentation with </w:t>
      </w:r>
      <w:proofErr w:type="spellStart"/>
      <w:r w:rsidRPr="00917473">
        <w:rPr>
          <w:rFonts w:ascii="Arial" w:eastAsia="Times New Roman" w:hAnsi="Arial" w:cs="Arial"/>
          <w:lang w:val="en"/>
        </w:rPr>
        <w:t>amisulpride</w:t>
      </w:r>
      <w:proofErr w:type="spellEnd"/>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The patient is currently taking part in another study</w:t>
      </w: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The patient has existing relevant health problems, such as cardiovascular disease, previous problems with prolactin or impaired liver/ renal function</w:t>
      </w:r>
    </w:p>
    <w:p w:rsidR="00917473" w:rsidRPr="00917473" w:rsidRDefault="00917473" w:rsidP="00917473">
      <w:pPr>
        <w:numPr>
          <w:ilvl w:val="0"/>
          <w:numId w:val="8"/>
        </w:numPr>
        <w:spacing w:after="0" w:line="240" w:lineRule="auto"/>
        <w:jc w:val="both"/>
        <w:rPr>
          <w:rFonts w:ascii="Arial" w:eastAsia="Times New Roman" w:hAnsi="Arial" w:cs="Arial"/>
          <w:lang w:val="en"/>
        </w:rPr>
      </w:pPr>
      <w:r w:rsidRPr="00917473">
        <w:rPr>
          <w:rFonts w:ascii="Arial" w:eastAsia="Times New Roman" w:hAnsi="Arial" w:cs="Arial"/>
          <w:lang w:val="en"/>
        </w:rPr>
        <w:t>Female patients who are pregnant or planning a pregnancy or any woman of child bearing potential not using adequate contraception</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Randomisation</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Randomisation can be carried out once the Referral and Screening Questionnaire (AMICUS/DOC/022) and the Screening Assessment Case Report Form (AMICUS/DOC/023) have been completed, but can also be done after part or full completion of the Baseline Assessment Case Report Form (AMICUS/DOC/024).  Randomisation is carried out via a randomisation service in Sheffield and randomisation codes are obtained via a web based system.  Randomisation is stratified by baseline PANSS score (high PANSS score versus low PANSS score) and centre.  Randomisation is in</w:t>
      </w:r>
      <w:r w:rsidR="003C3C26">
        <w:rPr>
          <w:rFonts w:ascii="Arial" w:eastAsia="Times New Roman" w:hAnsi="Arial" w:cs="Arial"/>
        </w:rPr>
        <w:t xml:space="preserve"> mixed</w:t>
      </w:r>
      <w:r w:rsidRPr="00917473">
        <w:rPr>
          <w:rFonts w:ascii="Arial" w:eastAsia="Times New Roman" w:hAnsi="Arial" w:cs="Arial"/>
        </w:rPr>
        <w:t xml:space="preserve"> blocks of </w:t>
      </w:r>
      <w:r w:rsidR="003C3C26">
        <w:rPr>
          <w:rFonts w:ascii="Arial" w:eastAsia="Times New Roman" w:hAnsi="Arial" w:cs="Arial"/>
        </w:rPr>
        <w:t>2, 4 and 6.</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Randomised treatments</w:t>
      </w:r>
    </w:p>
    <w:p w:rsidR="00917473" w:rsidRPr="00917473" w:rsidRDefault="00917473"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lastRenderedPageBreak/>
        <w:t xml:space="preserve">Intervention: Clozapine with </w:t>
      </w:r>
      <w:proofErr w:type="spellStart"/>
      <w:r w:rsidRPr="00917473">
        <w:rPr>
          <w:rFonts w:ascii="Arial" w:eastAsia="Times New Roman" w:hAnsi="Arial" w:cs="Arial"/>
          <w:lang w:val="en"/>
        </w:rPr>
        <w:t>amisulpride</w:t>
      </w:r>
      <w:proofErr w:type="spellEnd"/>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Control: Clozapine with placebo</w:t>
      </w:r>
    </w:p>
    <w:p w:rsidR="00917473" w:rsidRPr="00917473" w:rsidRDefault="00917473" w:rsidP="00917473">
      <w:pPr>
        <w:spacing w:after="0" w:line="240" w:lineRule="auto"/>
        <w:jc w:val="both"/>
        <w:rPr>
          <w:rFonts w:ascii="Arial" w:eastAsia="Times New Roman" w:hAnsi="Arial" w:cs="Arial"/>
          <w:lang w:val="en"/>
        </w:rPr>
      </w:pP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The initial dose will be administered as two capsules per day.  If the dose is increased then it will be necessary to take four capsules per day.</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Data collection</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Baseline (identifying variables are not shown on this list)</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Positive and Negative Syndrome Scale Rating Criteria (PANSS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w:t>
      </w:r>
      <w:proofErr w:type="gramEnd"/>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OPCRIT</w:t>
      </w:r>
      <w:r w:rsidRPr="00917473">
        <w:rPr>
          <w:rFonts w:ascii="Arial" w:eastAsia="Times New Roman" w:hAnsi="Arial" w:cs="Arial"/>
          <w:vertAlign w:val="superscript"/>
        </w:rPr>
        <w:t>4</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Social and Occupational Functioning Assessment Scale (SOFAS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3</w:t>
      </w:r>
      <w:proofErr w:type="gramEnd"/>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Randomly assigned treatment arm</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Sex</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Date of birth (from which and the date of assessment, age can be calculated)</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Ethnicity</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Inpatient/ outpatient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Date of first presentation to services with schizophrenia</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Primary diagnosis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Medication taken in the last three months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Date of assessment</w:t>
      </w:r>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bCs/>
          <w:color w:val="000000"/>
        </w:rPr>
        <w:t>Antipsychotic Non-Neurological Side-Effects Rating Scale-Enhanced (ANNSERS-E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5</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bCs/>
          <w:color w:val="000000"/>
        </w:rPr>
        <w:t>MMSE (if known, so not systematically collected)</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Service engagement scale (SES</w:t>
      </w:r>
      <w:proofErr w:type="gramStart"/>
      <w:r w:rsidRPr="00917473">
        <w:rPr>
          <w:rFonts w:ascii="Arial" w:eastAsia="Times New Roman" w:hAnsi="Arial" w:cs="Arial"/>
        </w:rPr>
        <w:t>)</w:t>
      </w:r>
      <w:r w:rsidRPr="00917473">
        <w:rPr>
          <w:rFonts w:ascii="Arial" w:eastAsia="Times New Roman" w:hAnsi="Arial" w:cs="Arial"/>
          <w:vertAlign w:val="superscript"/>
        </w:rPr>
        <w:t>6</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Schedule for the Assessment of Insight (SAI</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7</w:t>
      </w:r>
      <w:proofErr w:type="gramEnd"/>
      <w:r w:rsidRPr="00917473">
        <w:rPr>
          <w:rFonts w:ascii="Arial" w:eastAsia="Times New Roman" w:hAnsi="Arial" w:cs="Arial"/>
          <w:bCs/>
          <w:color w:val="000000"/>
          <w:vertAlign w:val="superscript"/>
        </w:rPr>
        <w:t>, 8</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 xml:space="preserve">Barnes </w:t>
      </w:r>
      <w:proofErr w:type="spellStart"/>
      <w:r w:rsidRPr="00917473">
        <w:rPr>
          <w:rFonts w:ascii="Arial" w:eastAsia="Times New Roman" w:hAnsi="Arial" w:cs="Arial"/>
          <w:bCs/>
          <w:color w:val="000000"/>
        </w:rPr>
        <w:t>Akathisia</w:t>
      </w:r>
      <w:proofErr w:type="spellEnd"/>
      <w:r w:rsidRPr="00917473">
        <w:rPr>
          <w:rFonts w:ascii="Arial" w:eastAsia="Times New Roman" w:hAnsi="Arial" w:cs="Arial"/>
          <w:bCs/>
          <w:color w:val="000000"/>
        </w:rPr>
        <w:t xml:space="preserve"> Rating Scale (BARS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9</w:t>
      </w:r>
      <w:proofErr w:type="gramEnd"/>
      <w:r w:rsidRPr="00917473">
        <w:rPr>
          <w:rFonts w:ascii="Arial" w:eastAsia="Times New Roman" w:hAnsi="Arial" w:cs="Arial"/>
          <w:bCs/>
          <w:color w:val="000000"/>
          <w:vertAlign w:val="superscript"/>
        </w:rPr>
        <w:t>, 10</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Abnormal Involuntary Movement Scale (AIMS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2</w:t>
      </w:r>
      <w:proofErr w:type="gramEnd"/>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Simpson-Angus Scale for Extrapyramidal Side-Effects (EPSE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11</w:t>
      </w:r>
      <w:proofErr w:type="gramEnd"/>
      <w:r w:rsidRPr="00917473">
        <w:rPr>
          <w:rFonts w:ascii="Arial" w:eastAsia="Times New Roman" w:hAnsi="Arial" w:cs="Arial"/>
          <w:bCs/>
          <w:color w:val="000000"/>
          <w:vertAlign w:val="superscript"/>
        </w:rPr>
        <w:t>, 12</w:t>
      </w:r>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rPr>
        <w:t>Calgary Depression Rating Scale for Schizophrenia</w:t>
      </w:r>
      <w:r w:rsidRPr="00917473">
        <w:rPr>
          <w:rFonts w:ascii="Arial" w:eastAsia="Times New Roman" w:hAnsi="Arial" w:cs="Arial"/>
          <w:vertAlign w:val="superscript"/>
        </w:rPr>
        <w:t>13</w:t>
      </w:r>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EQ-5D Health Questionnaire (used in the economic analysis only)</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Weight</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Height</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Body mass index</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Waist circumference</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Systolic blood pressure</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Diastolic blood pressure</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Serum Prolactin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Plasma Glucose (non-fasting sample)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Total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HDL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LDL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Triglycerides</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Economic Patient Questionnaire (EPQ) (used in the economic analysis only)</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Follow up</w:t>
      </w: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Six weeks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Date of assessment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Medication taken since the last assessment</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Positive and Negative Syndrome Scale Rating Criteria (PANSS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Additional Identification of Key Target Symptoms/ Behaviours from PANSS and other behavioural scales</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Social and Occupational Functioning Assessment Scale (SOFAS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3</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bCs/>
          <w:color w:val="000000"/>
        </w:rPr>
        <w:t>Antipsychotic Non-Neurological Side-Effects Rating Scale-Enhanced (ANNSERS-E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5</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Service engagement scale (SES</w:t>
      </w:r>
      <w:proofErr w:type="gramStart"/>
      <w:r w:rsidRPr="00917473">
        <w:rPr>
          <w:rFonts w:ascii="Arial" w:eastAsia="Times New Roman" w:hAnsi="Arial" w:cs="Arial"/>
        </w:rPr>
        <w:t>)</w:t>
      </w:r>
      <w:r w:rsidRPr="00917473">
        <w:rPr>
          <w:rFonts w:ascii="Arial" w:eastAsia="Times New Roman" w:hAnsi="Arial" w:cs="Arial"/>
          <w:vertAlign w:val="superscript"/>
        </w:rPr>
        <w:t>6</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Schedule for the Assessment of Insight (SAI</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7</w:t>
      </w:r>
      <w:proofErr w:type="gramEnd"/>
      <w:r w:rsidRPr="00917473">
        <w:rPr>
          <w:rFonts w:ascii="Arial" w:eastAsia="Times New Roman" w:hAnsi="Arial" w:cs="Arial"/>
          <w:bCs/>
          <w:color w:val="000000"/>
          <w:vertAlign w:val="superscript"/>
        </w:rPr>
        <w:t>, 8</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 xml:space="preserve">Barnes </w:t>
      </w:r>
      <w:proofErr w:type="spellStart"/>
      <w:r w:rsidRPr="00917473">
        <w:rPr>
          <w:rFonts w:ascii="Arial" w:eastAsia="Times New Roman" w:hAnsi="Arial" w:cs="Arial"/>
          <w:bCs/>
          <w:color w:val="000000"/>
        </w:rPr>
        <w:t>Akathisia</w:t>
      </w:r>
      <w:proofErr w:type="spellEnd"/>
      <w:r w:rsidRPr="00917473">
        <w:rPr>
          <w:rFonts w:ascii="Arial" w:eastAsia="Times New Roman" w:hAnsi="Arial" w:cs="Arial"/>
          <w:bCs/>
          <w:color w:val="000000"/>
        </w:rPr>
        <w:t xml:space="preserve"> Rating Scale (BARS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9</w:t>
      </w:r>
      <w:proofErr w:type="gramEnd"/>
      <w:r w:rsidRPr="00917473">
        <w:rPr>
          <w:rFonts w:ascii="Arial" w:eastAsia="Times New Roman" w:hAnsi="Arial" w:cs="Arial"/>
          <w:bCs/>
          <w:color w:val="000000"/>
          <w:vertAlign w:val="superscript"/>
        </w:rPr>
        <w:t>, 10</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Abnormal Involuntary Movement Scale (AIMS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2</w:t>
      </w:r>
      <w:proofErr w:type="gramEnd"/>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lastRenderedPageBreak/>
        <w:t>Simpson-Angus Scale for Extrapyramidal Side-Effects (EPSE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11</w:t>
      </w:r>
      <w:proofErr w:type="gramEnd"/>
      <w:r w:rsidRPr="00917473">
        <w:rPr>
          <w:rFonts w:ascii="Arial" w:eastAsia="Times New Roman" w:hAnsi="Arial" w:cs="Arial"/>
          <w:bCs/>
          <w:color w:val="000000"/>
          <w:vertAlign w:val="superscript"/>
        </w:rPr>
        <w:t>, 12</w:t>
      </w:r>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rPr>
        <w:t>Calgary Depression Rating Scale for Schizophrenia</w:t>
      </w:r>
      <w:r w:rsidRPr="00917473">
        <w:rPr>
          <w:rFonts w:ascii="Arial" w:eastAsia="Times New Roman" w:hAnsi="Arial" w:cs="Arial"/>
          <w:vertAlign w:val="superscript"/>
        </w:rPr>
        <w:t>13</w:t>
      </w:r>
      <w:r w:rsidRPr="00917473">
        <w:rPr>
          <w:rFonts w:ascii="Arial" w:eastAsia="Times New Roman" w:hAnsi="Arial" w:cs="Arial"/>
          <w:bCs/>
          <w:color w:val="000000"/>
        </w:rPr>
        <w:t xml:space="preserve"> </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12 weeks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Date of assessment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Medication taken since the last assessment</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Positive and Negative Syndrome Scale Rating Criteria (PANSS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Additional Identification of Key Target Symptoms/ Behaviours from PANSS and other behavioural scales</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Social and Occupational Functioning Assessment Scale (SOFAS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3</w:t>
      </w:r>
      <w:proofErr w:type="gramEnd"/>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bCs/>
          <w:color w:val="000000"/>
        </w:rPr>
        <w:t>Antipsychotic Non-Neurological Side-Effects Rating Scale-Enhanced (ANNSERS-E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5</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Service engagement scale (SES</w:t>
      </w:r>
      <w:proofErr w:type="gramStart"/>
      <w:r w:rsidRPr="00917473">
        <w:rPr>
          <w:rFonts w:ascii="Arial" w:eastAsia="Times New Roman" w:hAnsi="Arial" w:cs="Arial"/>
        </w:rPr>
        <w:t>)</w:t>
      </w:r>
      <w:r w:rsidRPr="00917473">
        <w:rPr>
          <w:rFonts w:ascii="Arial" w:eastAsia="Times New Roman" w:hAnsi="Arial" w:cs="Arial"/>
          <w:vertAlign w:val="superscript"/>
        </w:rPr>
        <w:t>6</w:t>
      </w:r>
      <w:proofErr w:type="gramEnd"/>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Schedule for the Assessment of Insight (SAI</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7</w:t>
      </w:r>
      <w:proofErr w:type="gramEnd"/>
      <w:r w:rsidRPr="00917473">
        <w:rPr>
          <w:rFonts w:ascii="Arial" w:eastAsia="Times New Roman" w:hAnsi="Arial" w:cs="Arial"/>
          <w:bCs/>
          <w:color w:val="000000"/>
          <w:vertAlign w:val="superscript"/>
        </w:rPr>
        <w:t>, 8</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 xml:space="preserve">Barnes </w:t>
      </w:r>
      <w:proofErr w:type="spellStart"/>
      <w:r w:rsidRPr="00917473">
        <w:rPr>
          <w:rFonts w:ascii="Arial" w:eastAsia="Times New Roman" w:hAnsi="Arial" w:cs="Arial"/>
          <w:bCs/>
          <w:color w:val="000000"/>
        </w:rPr>
        <w:t>Akathisia</w:t>
      </w:r>
      <w:proofErr w:type="spellEnd"/>
      <w:r w:rsidRPr="00917473">
        <w:rPr>
          <w:rFonts w:ascii="Arial" w:eastAsia="Times New Roman" w:hAnsi="Arial" w:cs="Arial"/>
          <w:bCs/>
          <w:color w:val="000000"/>
        </w:rPr>
        <w:t xml:space="preserve"> Rating Scale (BARS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9</w:t>
      </w:r>
      <w:proofErr w:type="gramEnd"/>
      <w:r w:rsidRPr="00917473">
        <w:rPr>
          <w:rFonts w:ascii="Arial" w:eastAsia="Times New Roman" w:hAnsi="Arial" w:cs="Arial"/>
          <w:bCs/>
          <w:color w:val="000000"/>
          <w:vertAlign w:val="superscript"/>
        </w:rPr>
        <w:t>, 10</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Abnormal Involuntary Movement Scale (AIMS</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2</w:t>
      </w:r>
      <w:proofErr w:type="gramEnd"/>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Simpson-Angus Scale for Extrapyramidal Side-Effects (EPSE</w:t>
      </w:r>
      <w:proofErr w:type="gramStart"/>
      <w:r w:rsidRPr="00917473">
        <w:rPr>
          <w:rFonts w:ascii="Arial" w:eastAsia="Times New Roman" w:hAnsi="Arial" w:cs="Arial"/>
          <w:bCs/>
          <w:color w:val="000000"/>
        </w:rPr>
        <w:t>)</w:t>
      </w:r>
      <w:r w:rsidRPr="00917473">
        <w:rPr>
          <w:rFonts w:ascii="Arial" w:eastAsia="Times New Roman" w:hAnsi="Arial" w:cs="Arial"/>
          <w:bCs/>
          <w:color w:val="000000"/>
          <w:vertAlign w:val="superscript"/>
        </w:rPr>
        <w:t>11</w:t>
      </w:r>
      <w:proofErr w:type="gramEnd"/>
      <w:r w:rsidRPr="00917473">
        <w:rPr>
          <w:rFonts w:ascii="Arial" w:eastAsia="Times New Roman" w:hAnsi="Arial" w:cs="Arial"/>
          <w:bCs/>
          <w:color w:val="000000"/>
          <w:vertAlign w:val="superscript"/>
        </w:rPr>
        <w:t>, 12</w:t>
      </w:r>
    </w:p>
    <w:p w:rsidR="00917473" w:rsidRPr="00917473" w:rsidRDefault="00917473" w:rsidP="00917473">
      <w:pPr>
        <w:autoSpaceDE w:val="0"/>
        <w:autoSpaceDN w:val="0"/>
        <w:adjustRightInd w:val="0"/>
        <w:spacing w:after="0" w:line="240" w:lineRule="auto"/>
        <w:jc w:val="both"/>
        <w:rPr>
          <w:rFonts w:ascii="Arial" w:eastAsia="Times New Roman" w:hAnsi="Arial" w:cs="Arial"/>
          <w:bCs/>
          <w:color w:val="000000"/>
        </w:rPr>
      </w:pPr>
      <w:r w:rsidRPr="00917473">
        <w:rPr>
          <w:rFonts w:ascii="Arial" w:eastAsia="Times New Roman" w:hAnsi="Arial" w:cs="Arial"/>
        </w:rPr>
        <w:t>Calgary Depression Rating Scale for Schizophrenia</w:t>
      </w:r>
      <w:r w:rsidRPr="00917473">
        <w:rPr>
          <w:rFonts w:ascii="Arial" w:eastAsia="Times New Roman" w:hAnsi="Arial" w:cs="Arial"/>
          <w:vertAlign w:val="superscript"/>
        </w:rPr>
        <w:t>13</w:t>
      </w:r>
      <w:r w:rsidRPr="00917473">
        <w:rPr>
          <w:rFonts w:ascii="Arial" w:eastAsia="Times New Roman" w:hAnsi="Arial" w:cs="Arial"/>
          <w:bCs/>
          <w:color w:val="000000"/>
        </w:rPr>
        <w:t xml:space="preserv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EQ-5D Health Questionnaire (used in the economic analysis only)</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Weight</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Height</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Body mass index</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Waist circumference</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Systolic blood pressure</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Diastolic blood pressure</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Serum Prolactin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Plasma Glucose (non-fasting sample)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Total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HDL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LDL Cholesterol</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Triglycerides</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Economic Patient Questionnaire (EPQ) (used in the economic analysis only)</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Ongoing</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Serious adverse events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Protocol violations</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Trial period</w:t>
      </w:r>
    </w:p>
    <w:p w:rsidR="006E7365" w:rsidRPr="00917473" w:rsidRDefault="006E7365"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The trial started recruiting in October 2011</w:t>
      </w:r>
      <w:r w:rsidR="0092178E">
        <w:rPr>
          <w:rFonts w:ascii="Arial" w:eastAsia="Times New Roman" w:hAnsi="Arial" w:cs="Arial"/>
        </w:rPr>
        <w:t xml:space="preserve"> and </w:t>
      </w:r>
      <w:r w:rsidR="0004504C">
        <w:rPr>
          <w:rFonts w:ascii="Arial" w:eastAsia="Times New Roman" w:hAnsi="Arial" w:cs="Arial"/>
        </w:rPr>
        <w:t>will recruit until the end of December 2014</w:t>
      </w:r>
      <w:r w:rsidR="00357D7E">
        <w:rPr>
          <w:rFonts w:ascii="Arial" w:eastAsia="Times New Roman" w:hAnsi="Arial" w:cs="Arial"/>
        </w:rPr>
        <w:t>.</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Primary Outcome</w:t>
      </w:r>
    </w:p>
    <w:p w:rsidR="006E7365" w:rsidRPr="00917473" w:rsidRDefault="006E7365"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The proportion of participants with a criterion response threshold of a </w:t>
      </w:r>
      <w:r w:rsidRPr="00917473">
        <w:rPr>
          <w:rFonts w:ascii="Arial" w:eastAsia="Times New Roman" w:hAnsi="Arial" w:cs="Arial"/>
          <w:u w:val="single"/>
        </w:rPr>
        <w:t>20% reduction in total PANSS scale score</w:t>
      </w:r>
      <w:r w:rsidRPr="00917473">
        <w:rPr>
          <w:rFonts w:ascii="Arial" w:eastAsia="Times New Roman" w:hAnsi="Arial" w:cs="Arial"/>
        </w:rPr>
        <w:t>, which will allow for comparison with published studies.  The PANSS</w:t>
      </w:r>
      <w:r w:rsidRPr="00917473">
        <w:rPr>
          <w:rFonts w:ascii="Arial" w:eastAsia="Times New Roman" w:hAnsi="Arial" w:cs="Arial"/>
          <w:vertAlign w:val="superscript"/>
        </w:rPr>
        <w:t>1</w:t>
      </w:r>
      <w:r w:rsidRPr="00917473">
        <w:rPr>
          <w:rFonts w:ascii="Arial" w:eastAsia="Times New Roman" w:hAnsi="Arial" w:cs="Arial"/>
        </w:rPr>
        <w:t xml:space="preserve"> has 30-items, each of which have a seven point description of severity (1=absent, 7=extreme), with a possible range from 30 to 210.  It is designed to provide a comprehensive assessment of psychopathology in adult patients with schizophrenia.</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Secondary Outcomes</w:t>
      </w:r>
    </w:p>
    <w:p w:rsidR="006E7365" w:rsidRPr="00917473" w:rsidRDefault="006E7365"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Negative symptoms</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 xml:space="preserve">The </w:t>
      </w:r>
      <w:r w:rsidRPr="00917473">
        <w:rPr>
          <w:rFonts w:ascii="Arial" w:eastAsia="Times New Roman" w:hAnsi="Arial" w:cs="Arial"/>
          <w:u w:val="single"/>
        </w:rPr>
        <w:t>PANSS negative symptom subscale score</w:t>
      </w:r>
      <w:r w:rsidRPr="00917473">
        <w:rPr>
          <w:rFonts w:ascii="Arial" w:eastAsia="Times New Roman" w:hAnsi="Arial" w:cs="Arial"/>
        </w:rPr>
        <w:t>.  It consists of seven items (Blunted affect, Emotional withdrawal, Poor rapport, Passive-apathetic social withdrawal, Lack of spontaneity and flow of conversation, Motor retardation, Active social avoidance)</w:t>
      </w:r>
      <w:r w:rsidRPr="00917473">
        <w:rPr>
          <w:rFonts w:ascii="Arial" w:eastAsia="Times New Roman" w:hAnsi="Arial" w:cs="Arial"/>
          <w:vertAlign w:val="superscript"/>
        </w:rPr>
        <w:t>1</w:t>
      </w:r>
      <w:r w:rsidRPr="00917473">
        <w:rPr>
          <w:rFonts w:ascii="Arial" w:eastAsia="Times New Roman" w:hAnsi="Arial" w:cs="Arial"/>
        </w:rPr>
        <w:t xml:space="preserve"> which are scored on a seven point description of severity with 1=absent and 7=extreme; giving a range of 7 to 49. </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Service engagement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lastRenderedPageBreak/>
        <w:t xml:space="preserve">The level of engagement with clinical services will be assessed using the </w:t>
      </w:r>
      <w:r w:rsidRPr="00917473">
        <w:rPr>
          <w:rFonts w:ascii="Arial" w:eastAsia="Times New Roman" w:hAnsi="Arial" w:cs="Arial"/>
          <w:u w:val="single"/>
        </w:rPr>
        <w:t>Service Engagement</w:t>
      </w:r>
      <w:r w:rsidRPr="00917473">
        <w:rPr>
          <w:rFonts w:ascii="Arial" w:eastAsia="Times New Roman" w:hAnsi="Arial" w:cs="Arial"/>
          <w:u w:val="single"/>
          <w:vertAlign w:val="superscript"/>
        </w:rPr>
        <w:t xml:space="preserve"> </w:t>
      </w:r>
      <w:r w:rsidRPr="00917473">
        <w:rPr>
          <w:rFonts w:ascii="Arial" w:eastAsia="Times New Roman" w:hAnsi="Arial" w:cs="Arial"/>
          <w:u w:val="single"/>
        </w:rPr>
        <w:t>Scale</w:t>
      </w:r>
      <w:r w:rsidRPr="00917473">
        <w:rPr>
          <w:rFonts w:ascii="Arial" w:eastAsia="Times New Roman" w:hAnsi="Arial" w:cs="Arial"/>
        </w:rPr>
        <w:t xml:space="preserve"> (SES)</w:t>
      </w:r>
      <w:r w:rsidRPr="00917473">
        <w:rPr>
          <w:rFonts w:ascii="Arial" w:eastAsia="Times New Roman" w:hAnsi="Arial" w:cs="Arial"/>
          <w:vertAlign w:val="superscript"/>
        </w:rPr>
        <w:t>6</w:t>
      </w:r>
      <w:r w:rsidRPr="00917473">
        <w:rPr>
          <w:rFonts w:ascii="Arial" w:eastAsia="Times New Roman" w:hAnsi="Arial" w:cs="Arial"/>
        </w:rPr>
        <w:t>; a 14-item measure consisting of statements that assess client</w:t>
      </w:r>
      <w:r w:rsidRPr="00917473">
        <w:rPr>
          <w:rFonts w:ascii="Arial" w:eastAsia="Times New Roman" w:hAnsi="Arial" w:cs="Arial"/>
          <w:vertAlign w:val="superscript"/>
        </w:rPr>
        <w:t xml:space="preserve"> </w:t>
      </w:r>
      <w:r w:rsidRPr="00917473">
        <w:rPr>
          <w:rFonts w:ascii="Arial" w:eastAsia="Times New Roman" w:hAnsi="Arial" w:cs="Arial"/>
        </w:rPr>
        <w:t>engagement with services, rated on a four-point Likert scale from 0=not at all or rarely to 3=most</w:t>
      </w:r>
      <w:r w:rsidRPr="00917473">
        <w:rPr>
          <w:rFonts w:ascii="Arial" w:eastAsia="Times New Roman" w:hAnsi="Arial" w:cs="Arial"/>
          <w:vertAlign w:val="superscript"/>
        </w:rPr>
        <w:t xml:space="preserve"> </w:t>
      </w:r>
      <w:r w:rsidRPr="00917473">
        <w:rPr>
          <w:rFonts w:ascii="Arial" w:eastAsia="Times New Roman" w:hAnsi="Arial" w:cs="Arial"/>
        </w:rPr>
        <w:t>of the time, with a range from 0 to 42.  Higher scores indicate greater difficulty engaging with services.  In development, it was shown to be positively skew.  Four sub-scales assess availability, collaboration,</w:t>
      </w:r>
      <w:r w:rsidRPr="00917473">
        <w:rPr>
          <w:rFonts w:ascii="Arial" w:eastAsia="Times New Roman" w:hAnsi="Arial" w:cs="Arial"/>
          <w:vertAlign w:val="superscript"/>
        </w:rPr>
        <w:t xml:space="preserve"> </w:t>
      </w:r>
      <w:r w:rsidRPr="00917473">
        <w:rPr>
          <w:rFonts w:ascii="Arial" w:eastAsia="Times New Roman" w:hAnsi="Arial" w:cs="Arial"/>
        </w:rPr>
        <w:t>help seeking and treatment adherence.  They will be explored in analysis.  These are broken down as:</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Availability</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1 The client seems to make it difficult to arrange appointments</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2 When a visit is arranged, the client is available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3 The client seems to avoid making appointments</w:t>
      </w:r>
    </w:p>
    <w:p w:rsidR="00917473" w:rsidRPr="00917473" w:rsidRDefault="00917473" w:rsidP="00917473">
      <w:pPr>
        <w:autoSpaceDE w:val="0"/>
        <w:autoSpaceDN w:val="0"/>
        <w:adjustRightInd w:val="0"/>
        <w:spacing w:after="0" w:line="240" w:lineRule="auto"/>
        <w:rPr>
          <w:rFonts w:ascii="Arial" w:eastAsia="Times New Roman" w:hAnsi="Arial" w:cs="Arial"/>
        </w:rPr>
      </w:pP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Collaboration</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4 If you offer advice, does the client usually resist it?</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5 The client takes an active part in the setting of goals or treatment plans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6 The client actively participates in managing his/her illness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Help seeking</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7 The client seeks help when assistance is needed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8 The client finds it difficult to ask for help</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9 The client seeks help to prevent a crisis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10 The client does not actively seek help</w:t>
      </w:r>
    </w:p>
    <w:p w:rsidR="00917473" w:rsidRPr="00917473" w:rsidRDefault="00917473" w:rsidP="00917473">
      <w:pPr>
        <w:autoSpaceDE w:val="0"/>
        <w:autoSpaceDN w:val="0"/>
        <w:adjustRightInd w:val="0"/>
        <w:spacing w:after="0" w:line="240" w:lineRule="auto"/>
        <w:rPr>
          <w:rFonts w:ascii="Arial" w:eastAsia="Times New Roman" w:hAnsi="Arial" w:cs="Arial"/>
        </w:rPr>
      </w:pP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Treatment adherence</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11 The client agrees to take prescribed medication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12 The client is clear about what medications he/she is taking and why (reverse scored)</w:t>
      </w: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13 The client refuses to co-operate with treatment</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14 The client has difficulty in adhering to the prescribed medication</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Depression</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Depression will be assessed using the </w:t>
      </w:r>
      <w:r w:rsidRPr="00917473">
        <w:rPr>
          <w:rFonts w:ascii="Arial" w:eastAsia="Times New Roman" w:hAnsi="Arial" w:cs="Arial"/>
          <w:u w:val="single"/>
        </w:rPr>
        <w:t>Calgary Depression Rating Scale for Schizophrenia</w:t>
      </w:r>
      <w:r w:rsidRPr="00917473">
        <w:rPr>
          <w:rFonts w:ascii="Arial" w:eastAsia="Times New Roman" w:hAnsi="Arial" w:cs="Arial"/>
        </w:rPr>
        <w:t xml:space="preserve"> (CDSS)</w:t>
      </w:r>
      <w:r w:rsidRPr="00917473">
        <w:rPr>
          <w:rFonts w:ascii="Arial" w:eastAsia="Times New Roman" w:hAnsi="Arial" w:cs="Arial"/>
          <w:vertAlign w:val="superscript"/>
        </w:rPr>
        <w:t>13</w:t>
      </w:r>
      <w:r w:rsidRPr="00917473">
        <w:rPr>
          <w:rFonts w:ascii="Arial" w:eastAsia="Times New Roman" w:hAnsi="Arial" w:cs="Arial"/>
        </w:rPr>
        <w:t>, a scale designed to minimise the potentially confounding symptom overlap between depressive features and both negative symptoms and extrapyramidal symptoms.  It consists of nine items which are scored 0=absent to 3=very much so; giving a possible range of 0 to 27.  Scoring is by the addition of scores from all items.</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Insight</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bCs/>
          <w:color w:val="000000"/>
        </w:rPr>
        <w:t xml:space="preserve">This is measured using the </w:t>
      </w:r>
      <w:r w:rsidRPr="00917473">
        <w:rPr>
          <w:rFonts w:ascii="Arial" w:eastAsia="Times New Roman" w:hAnsi="Arial" w:cs="Arial"/>
          <w:bCs/>
          <w:color w:val="000000"/>
          <w:u w:val="single"/>
        </w:rPr>
        <w:t>Schedule for the Assessment of Insight</w:t>
      </w:r>
      <w:r w:rsidRPr="00917473">
        <w:rPr>
          <w:rFonts w:ascii="Arial" w:eastAsia="Times New Roman" w:hAnsi="Arial" w:cs="Arial"/>
          <w:bCs/>
          <w:color w:val="000000"/>
        </w:rPr>
        <w:t xml:space="preserve"> (SAI).</w:t>
      </w:r>
      <w:r w:rsidRPr="00917473">
        <w:rPr>
          <w:rFonts w:ascii="Arial" w:eastAsia="Times New Roman" w:hAnsi="Arial" w:cs="Arial"/>
          <w:bCs/>
          <w:color w:val="000000"/>
          <w:vertAlign w:val="superscript"/>
        </w:rPr>
        <w:t xml:space="preserve">7, </w:t>
      </w:r>
      <w:proofErr w:type="gramStart"/>
      <w:r w:rsidRPr="00917473">
        <w:rPr>
          <w:rFonts w:ascii="Arial" w:eastAsia="Times New Roman" w:hAnsi="Arial" w:cs="Arial"/>
          <w:bCs/>
          <w:color w:val="000000"/>
          <w:vertAlign w:val="superscript"/>
        </w:rPr>
        <w:t>8</w:t>
      </w:r>
      <w:r w:rsidRPr="00917473">
        <w:rPr>
          <w:rFonts w:ascii="Arial" w:eastAsia="Times New Roman" w:hAnsi="Arial" w:cs="Arial"/>
          <w:bCs/>
          <w:color w:val="000000"/>
        </w:rPr>
        <w:t xml:space="preserve">  It</w:t>
      </w:r>
      <w:proofErr w:type="gramEnd"/>
      <w:r w:rsidRPr="00917473">
        <w:rPr>
          <w:rFonts w:ascii="Arial" w:eastAsia="Times New Roman" w:hAnsi="Arial" w:cs="Arial"/>
          <w:bCs/>
          <w:color w:val="000000"/>
        </w:rPr>
        <w:t xml:space="preserve"> consists of three main questions scoring 0=never to 2=often, with supplemental questions if the participant responds sometimes or often to the main question.  Finally, there is one additional question “</w:t>
      </w:r>
      <w:r w:rsidRPr="00917473">
        <w:rPr>
          <w:rFonts w:ascii="Arial" w:eastAsia="Times New Roman" w:hAnsi="Arial" w:cs="Arial"/>
          <w:bCs/>
          <w:iCs/>
          <w:color w:val="000000"/>
        </w:rPr>
        <w:t>How do you feel when people don’t believe you (when you talk about ... delusional/hallucinatory experience?)”, which has four possible responses, scored 1 to 4.  The responses are summed giving a range of 0 to 18, with a higher score indicating a greater awareness of their illness.</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Side effects</w:t>
      </w: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Non-neurological</w:t>
      </w:r>
    </w:p>
    <w:p w:rsidR="00917473" w:rsidRPr="00917473" w:rsidRDefault="00917473" w:rsidP="00917473">
      <w:pPr>
        <w:spacing w:after="0" w:line="240" w:lineRule="auto"/>
        <w:jc w:val="both"/>
        <w:rPr>
          <w:rFonts w:ascii="Arial" w:eastAsia="Times New Roman" w:hAnsi="Arial" w:cs="Arial"/>
          <w:u w:val="single"/>
        </w:rPr>
      </w:pPr>
      <w:r w:rsidRPr="00917473">
        <w:rPr>
          <w:rFonts w:ascii="Arial" w:eastAsia="Times New Roman" w:hAnsi="Arial" w:cs="Arial"/>
        </w:rPr>
        <w:t xml:space="preserve">These will be assessed using the </w:t>
      </w:r>
      <w:r w:rsidRPr="00917473">
        <w:rPr>
          <w:rFonts w:ascii="Arial" w:eastAsia="Times New Roman" w:hAnsi="Arial" w:cs="Arial"/>
          <w:u w:val="single"/>
        </w:rPr>
        <w:t>Antipsychotic Non-Neurological Side Effects Scale</w:t>
      </w:r>
      <w:r w:rsidRPr="00917473">
        <w:rPr>
          <w:rFonts w:ascii="Arial" w:eastAsia="Times New Roman" w:hAnsi="Arial" w:cs="Arial"/>
        </w:rPr>
        <w:t xml:space="preserve"> (ANNSERS-E</w:t>
      </w:r>
      <w:proofErr w:type="gramStart"/>
      <w:r w:rsidRPr="00917473">
        <w:rPr>
          <w:rFonts w:ascii="Arial" w:eastAsia="Times New Roman" w:hAnsi="Arial" w:cs="Arial"/>
        </w:rPr>
        <w:t>)</w:t>
      </w:r>
      <w:r w:rsidRPr="00917473">
        <w:rPr>
          <w:rFonts w:ascii="Arial" w:eastAsia="Times New Roman" w:hAnsi="Arial" w:cs="Arial"/>
          <w:vertAlign w:val="superscript"/>
        </w:rPr>
        <w:t>5</w:t>
      </w:r>
      <w:proofErr w:type="gramEnd"/>
      <w:r w:rsidRPr="00917473">
        <w:rPr>
          <w:rFonts w:ascii="Arial" w:eastAsia="Times New Roman" w:hAnsi="Arial" w:cs="Arial"/>
        </w:rPr>
        <w:t>, a 44-item scale (although only 43 are used in calculating the scale) and four additional questions.  All are scored from 0=absent to 3=severe.  The number of side effects is counted.  Subtotals of the mild side effects, moderate side effects and severe side effects are calculated (using the scoring schedule above) for the main questions and then totalled (giving a possible score between 0 and 129).  The process is repeated for the enhanced questions (giving a possible score between 0 and 12).  These two overall scores are combined to give the final score ranging from 0 to 141, with a higher score indicating more and/ or more severe side effects.</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Metabolic side effects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Body mass index (BMI) </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Systolic and diastolic blood pressure </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Serum prolactin </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Plasma glucose (non-fasting sample)</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Total Cholesterol Level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HDL Cholesterol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LDL Cholesterol </w:t>
      </w:r>
    </w:p>
    <w:p w:rsidR="00917473" w:rsidRPr="00917473" w:rsidRDefault="00917473" w:rsidP="00917473">
      <w:pPr>
        <w:autoSpaceDE w:val="0"/>
        <w:autoSpaceDN w:val="0"/>
        <w:adjustRightInd w:val="0"/>
        <w:spacing w:after="0" w:line="240" w:lineRule="auto"/>
        <w:jc w:val="both"/>
        <w:rPr>
          <w:rFonts w:ascii="Arial" w:eastAsia="Times New Roman" w:hAnsi="Arial" w:cs="Arial"/>
          <w:color w:val="000000"/>
        </w:rPr>
      </w:pPr>
      <w:r w:rsidRPr="00917473">
        <w:rPr>
          <w:rFonts w:ascii="Arial" w:eastAsia="Times New Roman" w:hAnsi="Arial" w:cs="Arial"/>
          <w:color w:val="000000"/>
        </w:rPr>
        <w:t xml:space="preserve">Triglycerides </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Motor side effects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For the following three scales, these will be dichotomised to indicate whether the participant has reached a criterion diagnostic score.  </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Drug induced Parkinsonism will be assessed using the </w:t>
      </w:r>
      <w:r w:rsidRPr="00917473">
        <w:rPr>
          <w:rFonts w:ascii="Arial" w:eastAsia="Times New Roman" w:hAnsi="Arial" w:cs="Arial"/>
          <w:bCs/>
          <w:color w:val="000000"/>
          <w:u w:val="single"/>
        </w:rPr>
        <w:t>Simpson-Angus Scale for Extrapyramidal Side-Effects</w:t>
      </w:r>
      <w:r w:rsidRPr="00917473">
        <w:rPr>
          <w:rFonts w:ascii="Arial" w:eastAsia="Times New Roman" w:hAnsi="Arial" w:cs="Arial"/>
          <w:bCs/>
          <w:color w:val="000000"/>
        </w:rPr>
        <w:t xml:space="preserve"> (EPSE)</w:t>
      </w:r>
      <w:r w:rsidRPr="00917473">
        <w:rPr>
          <w:rFonts w:ascii="Arial" w:eastAsia="Times New Roman" w:hAnsi="Arial" w:cs="Arial"/>
        </w:rPr>
        <w:t xml:space="preserve"> scale.</w:t>
      </w:r>
      <w:r w:rsidRPr="00917473">
        <w:rPr>
          <w:rFonts w:ascii="Arial" w:eastAsia="Times New Roman" w:hAnsi="Arial" w:cs="Arial"/>
          <w:vertAlign w:val="superscript"/>
        </w:rPr>
        <w:t>11, 12</w:t>
      </w:r>
      <w:r w:rsidRPr="00917473">
        <w:rPr>
          <w:rFonts w:ascii="Arial" w:eastAsia="Times New Roman" w:hAnsi="Arial" w:cs="Arial"/>
        </w:rPr>
        <w:t xml:space="preserve">  It is a ten item scale, with each item scored from 0 to 4, then the total score divided by 10 to give an overall mean score (and therefore the range is 0 to 4).  This will be dichotomised to those scoring 3+ versus those scoring less than 3.</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proofErr w:type="spellStart"/>
      <w:r w:rsidRPr="00917473">
        <w:rPr>
          <w:rFonts w:ascii="Arial" w:eastAsia="Times New Roman" w:hAnsi="Arial" w:cs="Arial"/>
        </w:rPr>
        <w:t>Akathisia</w:t>
      </w:r>
      <w:proofErr w:type="spellEnd"/>
      <w:r w:rsidRPr="00917473">
        <w:rPr>
          <w:rFonts w:ascii="Arial" w:eastAsia="Times New Roman" w:hAnsi="Arial" w:cs="Arial"/>
        </w:rPr>
        <w:t xml:space="preserve"> will be assessed using </w:t>
      </w:r>
      <w:r w:rsidRPr="00917473">
        <w:rPr>
          <w:rFonts w:ascii="Arial" w:eastAsia="Times New Roman" w:hAnsi="Arial" w:cs="Arial"/>
          <w:u w:val="single"/>
        </w:rPr>
        <w:t xml:space="preserve">The Barnes </w:t>
      </w:r>
      <w:proofErr w:type="spellStart"/>
      <w:r w:rsidRPr="00917473">
        <w:rPr>
          <w:rFonts w:ascii="Arial" w:eastAsia="Times New Roman" w:hAnsi="Arial" w:cs="Arial"/>
          <w:u w:val="single"/>
        </w:rPr>
        <w:t>Akathisia</w:t>
      </w:r>
      <w:proofErr w:type="spellEnd"/>
      <w:r w:rsidRPr="00917473">
        <w:rPr>
          <w:rFonts w:ascii="Arial" w:eastAsia="Times New Roman" w:hAnsi="Arial" w:cs="Arial"/>
          <w:u w:val="single"/>
        </w:rPr>
        <w:t xml:space="preserve"> Rating Scale</w:t>
      </w:r>
      <w:r w:rsidRPr="00917473">
        <w:rPr>
          <w:rFonts w:ascii="Arial" w:eastAsia="Times New Roman" w:hAnsi="Arial" w:cs="Arial"/>
        </w:rPr>
        <w:t xml:space="preserve"> (BARS).</w:t>
      </w:r>
      <w:r w:rsidRPr="00917473">
        <w:rPr>
          <w:rFonts w:ascii="Arial" w:eastAsia="Times New Roman" w:hAnsi="Arial" w:cs="Arial"/>
          <w:vertAlign w:val="superscript"/>
        </w:rPr>
        <w:t xml:space="preserve">9, </w:t>
      </w:r>
      <w:proofErr w:type="gramStart"/>
      <w:r w:rsidRPr="00917473">
        <w:rPr>
          <w:rFonts w:ascii="Arial" w:eastAsia="Times New Roman" w:hAnsi="Arial" w:cs="Arial"/>
          <w:vertAlign w:val="superscript"/>
        </w:rPr>
        <w:t>10</w:t>
      </w:r>
      <w:r w:rsidRPr="00917473">
        <w:rPr>
          <w:rFonts w:ascii="Arial" w:eastAsia="Times New Roman" w:hAnsi="Arial" w:cs="Arial"/>
        </w:rPr>
        <w:t xml:space="preserve">  This</w:t>
      </w:r>
      <w:proofErr w:type="gramEnd"/>
      <w:r w:rsidRPr="00917473">
        <w:rPr>
          <w:rFonts w:ascii="Arial" w:eastAsia="Times New Roman" w:hAnsi="Arial" w:cs="Arial"/>
        </w:rPr>
        <w:t xml:space="preserve"> consists of three questions with response ratings from 0=absent to 3=severe.  These are summed to give a score ranging between 0 and 9.  There is a further item to globally classify </w:t>
      </w:r>
      <w:proofErr w:type="spellStart"/>
      <w:r w:rsidRPr="00917473">
        <w:rPr>
          <w:rFonts w:ascii="Arial" w:eastAsia="Times New Roman" w:hAnsi="Arial" w:cs="Arial"/>
        </w:rPr>
        <w:t>akathisia</w:t>
      </w:r>
      <w:proofErr w:type="spellEnd"/>
      <w:r w:rsidRPr="00917473">
        <w:rPr>
          <w:rFonts w:ascii="Arial" w:eastAsia="Times New Roman" w:hAnsi="Arial" w:cs="Arial"/>
        </w:rPr>
        <w:t xml:space="preserve"> into six categories.  The global item will be dichotomised to those scoring 2+ on the global item versus those scoring less than 2.</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u w:val="single"/>
        </w:rPr>
        <w:t>Abnormal Involuntary Movements Scale</w:t>
      </w:r>
      <w:r w:rsidRPr="00917473">
        <w:rPr>
          <w:rFonts w:ascii="Arial" w:eastAsia="Times New Roman" w:hAnsi="Arial" w:cs="Arial"/>
        </w:rPr>
        <w:t xml:space="preserve"> (AIMS</w:t>
      </w:r>
      <w:proofErr w:type="gramStart"/>
      <w:r w:rsidRPr="00917473">
        <w:rPr>
          <w:rFonts w:ascii="Arial" w:eastAsia="Times New Roman" w:hAnsi="Arial" w:cs="Arial"/>
        </w:rPr>
        <w:t>)</w:t>
      </w:r>
      <w:r w:rsidRPr="00917473">
        <w:rPr>
          <w:rFonts w:ascii="Arial" w:eastAsia="Times New Roman" w:hAnsi="Arial" w:cs="Arial"/>
          <w:vertAlign w:val="superscript"/>
        </w:rPr>
        <w:t>2</w:t>
      </w:r>
      <w:proofErr w:type="gramEnd"/>
      <w:r w:rsidRPr="00917473">
        <w:rPr>
          <w:rFonts w:ascii="Arial" w:eastAsia="Times New Roman" w:hAnsi="Arial" w:cs="Arial"/>
        </w:rPr>
        <w:t xml:space="preserve"> for rating tardive dyskinesia.  It is a 12 item scale, with the first 10 items being scored 0=absent to 4=severe, and the final two items being scored 0 or 1(no or yes).  The scale is made up by adding the scores from the individual items (range 0 to 42).  This will be used to identify the presence of tardive dyskinesia using the Research Diagnostic Criteria severity criteria of at least a moderate (coded 3) rating in one or more body areas or mild (coded 2) movements in two or more body areas; a dichotomy will be created using these criteria.</w:t>
      </w:r>
      <w:r w:rsidRPr="00917473">
        <w:rPr>
          <w:rFonts w:ascii="Arial" w:eastAsia="Times New Roman" w:hAnsi="Arial" w:cs="Arial"/>
          <w:vertAlign w:val="superscript"/>
        </w:rPr>
        <w:t>15</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Calibri" w:hAnsi="Arial" w:cs="Arial"/>
          <w:lang w:eastAsia="en-US"/>
        </w:rPr>
      </w:pPr>
      <w:r w:rsidRPr="00917473">
        <w:rPr>
          <w:rFonts w:ascii="Arial" w:eastAsia="Calibri" w:hAnsi="Arial" w:cs="Arial"/>
          <w:lang w:eastAsia="en-US"/>
        </w:rPr>
        <w:t>Using the symptom and behavioural assessments, and in discussion with the clinical team, we plan to identify at baseline, for each participant, the three target symptoms and/ or behaviours that have proved to be persistent and have made a major adverse impact on the participant’s social function and community re-integration, and/ or been a major cause of psychological distress, admission to hospital and delayed discharge.  These will be analysed as a change in the total score for these three symptoms.</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Data entry</w:t>
      </w:r>
    </w:p>
    <w:p w:rsidR="006E7365" w:rsidRPr="00917473" w:rsidRDefault="006E7365"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Data, with the exception of the randomisation variable are entered into a web based data entry system, Prospect.</w:t>
      </w:r>
      <w:r w:rsidRPr="00917473">
        <w:rPr>
          <w:rFonts w:ascii="Arial" w:eastAsia="Times New Roman" w:hAnsi="Arial" w:cs="Arial"/>
          <w:vertAlign w:val="superscript"/>
        </w:rPr>
        <w:t>16</w:t>
      </w:r>
      <w:r w:rsidRPr="00917473">
        <w:rPr>
          <w:rFonts w:ascii="Arial" w:eastAsia="Times New Roman" w:hAnsi="Arial" w:cs="Arial"/>
        </w:rPr>
        <w:t xml:space="preserve">  All individual items of the outcome measures are entered into Prospect and it them calculates the overall score for that measure.  Checks for logic, range and missing data are built into Prospect, however, data will be checked by the Statistician and if there are any queries regarding the data, these will be directed to the Trial Manager, </w:t>
      </w:r>
      <w:r w:rsidR="0004504C">
        <w:rPr>
          <w:rFonts w:ascii="Arial" w:eastAsia="Times New Roman" w:hAnsi="Arial" w:cs="Arial"/>
        </w:rPr>
        <w:t>Data</w:t>
      </w:r>
      <w:r w:rsidRPr="00917473">
        <w:rPr>
          <w:rFonts w:ascii="Arial" w:eastAsia="Times New Roman" w:hAnsi="Arial" w:cs="Arial"/>
        </w:rPr>
        <w:t xml:space="preserve"> Manager and/ or Research Associate.  Where appropriate corrections are made by the Trial Manager, </w:t>
      </w:r>
      <w:r w:rsidR="0004504C">
        <w:rPr>
          <w:rFonts w:ascii="Arial" w:eastAsia="Times New Roman" w:hAnsi="Arial" w:cs="Arial"/>
        </w:rPr>
        <w:t>Data</w:t>
      </w:r>
      <w:r w:rsidRPr="00917473">
        <w:rPr>
          <w:rFonts w:ascii="Arial" w:eastAsia="Times New Roman" w:hAnsi="Arial" w:cs="Arial"/>
        </w:rPr>
        <w:t xml:space="preserve"> Manager and/ or Research Associate a new copy of the dataset will be sent to the Statistician.  The randomisation variable is held separately by the University of Sheffield, and will be requested when appropriate.  When appropriate (in good time for analyses to be carried out for the IDMEC and at the end of the trial), data will be downloaded by the Statistician to analyse.  </w:t>
      </w:r>
    </w:p>
    <w:p w:rsidR="00917473" w:rsidRPr="00917473" w:rsidRDefault="00917473" w:rsidP="00917473">
      <w:pPr>
        <w:spacing w:after="0" w:line="240" w:lineRule="auto"/>
        <w:jc w:val="both"/>
        <w:rPr>
          <w:rFonts w:ascii="Arial" w:eastAsia="Times New Roman" w:hAnsi="Arial" w:cs="Arial"/>
        </w:rPr>
      </w:pPr>
    </w:p>
    <w:p w:rsid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Data analysis</w:t>
      </w:r>
    </w:p>
    <w:p w:rsidR="006E7365" w:rsidRPr="00917473" w:rsidRDefault="006E7365" w:rsidP="00917473">
      <w:pPr>
        <w:spacing w:after="0" w:line="240" w:lineRule="auto"/>
        <w:jc w:val="both"/>
        <w:rPr>
          <w:rFonts w:ascii="Arial" w:eastAsia="Times New Roman" w:hAnsi="Arial" w:cs="Arial"/>
          <w:b/>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The CONSORT flow diagram will be constructed by/ in collaboration with the Trial Manager, </w:t>
      </w:r>
      <w:r w:rsidR="0004504C">
        <w:rPr>
          <w:rFonts w:ascii="Arial" w:eastAsia="Times New Roman" w:hAnsi="Arial" w:cs="Arial"/>
        </w:rPr>
        <w:t>Data</w:t>
      </w:r>
      <w:r w:rsidRPr="00917473">
        <w:rPr>
          <w:rFonts w:ascii="Arial" w:eastAsia="Times New Roman" w:hAnsi="Arial" w:cs="Arial"/>
        </w:rPr>
        <w:t xml:space="preserve"> Manager and/ or Research Associate who will have the numbers of service users who do and do not agree to take part in the study.  It will include number of participants randomised to each arm of the trial, and the numbers at follow up.  It will also include reasons for not taking part in the trial or dropping out where known.</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The main analyses will be based on intention to treat principles.  Data will be analysed using Stata version </w:t>
      </w:r>
      <w:r w:rsidR="00667816" w:rsidRPr="00917473">
        <w:rPr>
          <w:rFonts w:ascii="Arial" w:eastAsia="Times New Roman" w:hAnsi="Arial" w:cs="Arial"/>
        </w:rPr>
        <w:t>1</w:t>
      </w:r>
      <w:r w:rsidR="00667816">
        <w:rPr>
          <w:rFonts w:ascii="Arial" w:eastAsia="Times New Roman" w:hAnsi="Arial" w:cs="Arial"/>
        </w:rPr>
        <w:t>3</w:t>
      </w:r>
      <w:r w:rsidRPr="00917473">
        <w:rPr>
          <w:rFonts w:ascii="Arial" w:eastAsia="Times New Roman" w:hAnsi="Arial" w:cs="Arial"/>
        </w:rPr>
        <w:t>.</w:t>
      </w:r>
      <w:r w:rsidRPr="00917473">
        <w:rPr>
          <w:rFonts w:ascii="Arial" w:eastAsia="Times New Roman" w:hAnsi="Arial" w:cs="Arial"/>
          <w:vertAlign w:val="superscript"/>
        </w:rPr>
        <w:t>17</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Descriptive analyses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Initial analyses will look at summary statistics for all variables, both overall and by randomised group.  Summary statistics for continuous variables will be mean, median, SD, lower quartile, upper quartile, minimum and maximum.  These variables will also be plotted to check the distribution.  If variables are skewed, then median and interquartile ranges will be reported, otherwise mean and standard deviation will be reported.  Additionally, the outcomes will be plotted against relevant baseline variables (usually the outcome in question and its values at baseline) to assess the relationship between them.</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Summary statistics for categorical variables will be frequency and percentage within each category.  No statistical significance tests for baseline characteristics by randomised group will be performed.</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Analysis of the primary outcome</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The analysis of the primary outcome will utilise </w:t>
      </w:r>
      <w:r w:rsidR="004B7584">
        <w:rPr>
          <w:rFonts w:ascii="Arial" w:eastAsia="Times New Roman" w:hAnsi="Arial" w:cs="Arial"/>
        </w:rPr>
        <w:t>logistic regression</w:t>
      </w:r>
      <w:r w:rsidRPr="00917473">
        <w:rPr>
          <w:rFonts w:ascii="Arial" w:eastAsia="Times New Roman" w:hAnsi="Arial" w:cs="Arial"/>
        </w:rPr>
        <w:t xml:space="preserve">, adjusting for </w:t>
      </w:r>
      <w:r w:rsidRPr="00917473">
        <w:rPr>
          <w:rFonts w:ascii="Arial" w:eastAsia="Times New Roman" w:hAnsi="Arial" w:cs="Arial"/>
        </w:rPr>
        <w:t>baseline PANSS score.  The odds ratio for randomised group</w:t>
      </w:r>
      <w:r w:rsidR="0073327E">
        <w:rPr>
          <w:rFonts w:ascii="Arial" w:eastAsia="Times New Roman" w:hAnsi="Arial" w:cs="Arial"/>
        </w:rPr>
        <w:t xml:space="preserve"> and</w:t>
      </w:r>
      <w:r w:rsidR="0073327E" w:rsidRPr="00917473">
        <w:rPr>
          <w:rFonts w:ascii="Arial" w:eastAsia="Times New Roman" w:hAnsi="Arial" w:cs="Arial"/>
        </w:rPr>
        <w:t xml:space="preserve"> </w:t>
      </w:r>
      <w:r w:rsidRPr="00917473">
        <w:rPr>
          <w:rFonts w:ascii="Arial" w:eastAsia="Times New Roman" w:hAnsi="Arial" w:cs="Arial"/>
        </w:rPr>
        <w:t xml:space="preserve">95% confidence interval will be reported.  </w:t>
      </w:r>
      <w:r w:rsidR="0073327E">
        <w:rPr>
          <w:rFonts w:ascii="Arial" w:hAnsi="Arial" w:cs="Arial"/>
          <w:color w:val="000000"/>
          <w:lang w:eastAsia="zh-TW"/>
        </w:rPr>
        <w:t xml:space="preserve">As the study will be underpowered compared with the sample size calculation, </w:t>
      </w:r>
      <w:r w:rsidR="00F273BA">
        <w:rPr>
          <w:rFonts w:ascii="Arial" w:hAnsi="Arial" w:cs="Arial"/>
          <w:color w:val="000000"/>
          <w:lang w:eastAsia="zh-TW"/>
        </w:rPr>
        <w:t xml:space="preserve">no account for alpha spending due to interim analyses will be made in the final analysis.  </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rPr>
      </w:pPr>
      <w:r w:rsidRPr="00917473">
        <w:rPr>
          <w:rFonts w:ascii="Arial" w:eastAsia="Times New Roman" w:hAnsi="Arial" w:cs="Arial"/>
          <w:i/>
        </w:rPr>
        <w:t>Analysis of secondary outcomes</w:t>
      </w: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 xml:space="preserve">These analyses will be carried out using </w:t>
      </w:r>
      <w:r w:rsidR="003615C8">
        <w:rPr>
          <w:rFonts w:ascii="Arial" w:eastAsia="Times New Roman" w:hAnsi="Arial" w:cs="Arial"/>
        </w:rPr>
        <w:t>l</w:t>
      </w:r>
      <w:r w:rsidR="004B7584">
        <w:rPr>
          <w:rFonts w:ascii="Arial" w:eastAsia="Times New Roman" w:hAnsi="Arial" w:cs="Arial"/>
        </w:rPr>
        <w:t>inear or logistic</w:t>
      </w:r>
      <w:r w:rsidR="003615C8">
        <w:rPr>
          <w:rFonts w:ascii="Arial" w:eastAsia="Times New Roman" w:hAnsi="Arial" w:cs="Arial"/>
        </w:rPr>
        <w:t xml:space="preserve"> regression</w:t>
      </w:r>
      <w:r w:rsidR="003615C8" w:rsidRPr="00917473">
        <w:rPr>
          <w:rFonts w:ascii="Arial" w:eastAsia="Times New Roman" w:hAnsi="Arial" w:cs="Arial"/>
        </w:rPr>
        <w:t xml:space="preserve"> </w:t>
      </w:r>
      <w:r w:rsidR="004B7584">
        <w:rPr>
          <w:rFonts w:ascii="Arial" w:eastAsia="Times New Roman" w:hAnsi="Arial" w:cs="Arial"/>
        </w:rPr>
        <w:t>as appropriate</w:t>
      </w:r>
      <w:r w:rsidRPr="00917473">
        <w:rPr>
          <w:rFonts w:ascii="Arial" w:eastAsia="Times New Roman" w:hAnsi="Arial" w:cs="Arial"/>
        </w:rPr>
        <w:t>.  The model</w:t>
      </w:r>
      <w:r w:rsidR="004B7584">
        <w:rPr>
          <w:rFonts w:ascii="Arial" w:eastAsia="Times New Roman" w:hAnsi="Arial" w:cs="Arial"/>
        </w:rPr>
        <w:t>s</w:t>
      </w:r>
      <w:r w:rsidRPr="00917473">
        <w:rPr>
          <w:rFonts w:ascii="Arial" w:eastAsia="Times New Roman" w:hAnsi="Arial" w:cs="Arial"/>
        </w:rPr>
        <w:t xml:space="preserve"> </w:t>
      </w:r>
      <w:r w:rsidRPr="00917473">
        <w:rPr>
          <w:rFonts w:ascii="Arial" w:eastAsia="Times New Roman" w:hAnsi="Arial" w:cs="Arial"/>
        </w:rPr>
        <w:t>will include baseline measures of the outcome in question and an indicator of the level of PANSS at baseline (the stratification variable).  The effect sizes and 95% confidence intervals will be reported; p-values will not be reported as the study is not powered to detect differences between groups with respect to secondary outcomes.</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i/>
          <w:color w:val="000000"/>
          <w:lang w:eastAsia="zh-TW"/>
        </w:rPr>
      </w:pPr>
      <w:r w:rsidRPr="00917473">
        <w:rPr>
          <w:rFonts w:ascii="Arial" w:eastAsia="Times New Roman" w:hAnsi="Arial" w:cs="Arial"/>
          <w:i/>
          <w:color w:val="000000"/>
          <w:lang w:eastAsia="zh-TW"/>
        </w:rPr>
        <w:t>Sensitivity analyses</w:t>
      </w:r>
    </w:p>
    <w:p w:rsidR="00917473" w:rsidRPr="00917473" w:rsidRDefault="008221DE"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1</w:t>
      </w:r>
      <w:r w:rsidR="00917473" w:rsidRPr="00917473">
        <w:rPr>
          <w:rFonts w:ascii="Arial" w:eastAsia="Times New Roman" w:hAnsi="Arial" w:cs="Arial"/>
          <w:color w:val="000000"/>
          <w:lang w:eastAsia="zh-TW"/>
        </w:rPr>
        <w:tab/>
        <w:t xml:space="preserve">The six week data will be used to determine whether benefit from the intervention has been achieved by the sixth week.  The data will be analysed longitudinally using both six and twelve week data and controlling for baseline values of the given measure.  This will be a </w:t>
      </w:r>
      <w:r w:rsidRPr="00917473">
        <w:rPr>
          <w:rFonts w:ascii="Arial" w:eastAsia="Times New Roman" w:hAnsi="Arial" w:cs="Arial"/>
          <w:color w:val="000000"/>
          <w:lang w:eastAsia="zh-TW"/>
        </w:rPr>
        <w:t>t</w:t>
      </w:r>
      <w:r>
        <w:rPr>
          <w:rFonts w:ascii="Arial" w:eastAsia="Times New Roman" w:hAnsi="Arial" w:cs="Arial"/>
          <w:color w:val="000000"/>
          <w:lang w:eastAsia="zh-TW"/>
        </w:rPr>
        <w:t>wo</w:t>
      </w:r>
      <w:r w:rsidRPr="00917473">
        <w:rPr>
          <w:rFonts w:ascii="Arial" w:eastAsia="Times New Roman" w:hAnsi="Arial" w:cs="Arial"/>
          <w:color w:val="000000"/>
          <w:lang w:eastAsia="zh-TW"/>
        </w:rPr>
        <w:t xml:space="preserve"> </w:t>
      </w:r>
      <w:r w:rsidR="00917473" w:rsidRPr="00917473">
        <w:rPr>
          <w:rFonts w:ascii="Arial" w:eastAsia="Times New Roman" w:hAnsi="Arial" w:cs="Arial"/>
          <w:color w:val="000000"/>
          <w:lang w:eastAsia="zh-TW"/>
        </w:rPr>
        <w:t>level multilevel model (ti</w:t>
      </w:r>
      <w:bookmarkStart w:id="0" w:name="_GoBack"/>
      <w:bookmarkEnd w:id="0"/>
      <w:r w:rsidR="00917473" w:rsidRPr="00917473">
        <w:rPr>
          <w:rFonts w:ascii="Arial" w:eastAsia="Times New Roman" w:hAnsi="Arial" w:cs="Arial"/>
          <w:color w:val="000000"/>
          <w:lang w:eastAsia="zh-TW"/>
        </w:rPr>
        <w:t>me points, participants)</w:t>
      </w:r>
      <w:proofErr w:type="gramStart"/>
      <w:r w:rsidR="004B7584">
        <w:rPr>
          <w:rFonts w:ascii="Arial" w:eastAsia="Times New Roman" w:hAnsi="Arial" w:cs="Arial"/>
          <w:color w:val="000000"/>
          <w:lang w:eastAsia="zh-TW"/>
        </w:rPr>
        <w:t>,</w:t>
      </w:r>
      <w:proofErr w:type="gramEnd"/>
      <w:r w:rsidR="004B7584">
        <w:rPr>
          <w:rFonts w:ascii="Arial" w:eastAsia="Times New Roman" w:hAnsi="Arial" w:cs="Arial"/>
          <w:color w:val="000000"/>
          <w:lang w:eastAsia="zh-TW"/>
        </w:rPr>
        <w:t xml:space="preserve"> however, this is unlikely to converge</w:t>
      </w:r>
      <w:r w:rsidR="00917473" w:rsidRPr="00917473">
        <w:rPr>
          <w:rFonts w:ascii="Arial" w:eastAsia="Times New Roman" w:hAnsi="Arial" w:cs="Arial"/>
          <w:color w:val="000000"/>
          <w:lang w:eastAsia="zh-TW"/>
        </w:rPr>
        <w:t>.  Randomised group and baseline measure of the outcome will be included in the models.</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8221DE" w:rsidP="00917473">
      <w:pPr>
        <w:spacing w:after="0" w:line="240" w:lineRule="auto"/>
        <w:jc w:val="both"/>
        <w:rPr>
          <w:rFonts w:ascii="Arial" w:eastAsia="Times New Roman" w:hAnsi="Arial" w:cs="Arial"/>
        </w:rPr>
      </w:pPr>
      <w:r>
        <w:rPr>
          <w:rFonts w:ascii="Arial" w:eastAsia="Times New Roman" w:hAnsi="Arial" w:cs="Arial"/>
        </w:rPr>
        <w:t>2</w:t>
      </w:r>
      <w:r w:rsidR="00917473" w:rsidRPr="00917473">
        <w:rPr>
          <w:rFonts w:ascii="Arial" w:eastAsia="Times New Roman" w:hAnsi="Arial" w:cs="Arial"/>
        </w:rPr>
        <w:tab/>
      </w:r>
      <w:r w:rsidR="00917473" w:rsidRPr="00917473">
        <w:rPr>
          <w:rFonts w:ascii="Arial" w:eastAsia="Times New Roman" w:hAnsi="Arial" w:cs="Arial"/>
        </w:rPr>
        <w:t>It would be unethical to restrict the therapeutic options of the clinical teams.  Our approach will therefore be primarily to record the use of all other medication, documenting details of dosage, and ensure the follow-up of all randomised participants, irrespective of the medication they subsequently receive.  However, we will carry out a secondary per protocol analysis in which we will only analyse those individuals in the trial who have received medication we consider to be consistent with our aims.  For that analysis, benzodiazepines and anticholinergic medications will be allowed along with the randomised antipsychotic or placebo and the clozapine.  However, additional mood stabilisers, antidepressants and antipsychotics will not be included as a per protocol analysis.  Statistical methods will be as for the analyses of the primary and secondary outcomes.  For this analysis, the sample size will be</w:t>
      </w:r>
      <w:r w:rsidR="00DE2544">
        <w:rPr>
          <w:rFonts w:ascii="Arial" w:eastAsia="Times New Roman" w:hAnsi="Arial" w:cs="Arial"/>
        </w:rPr>
        <w:t xml:space="preserve"> further</w:t>
      </w:r>
      <w:r w:rsidR="00917473" w:rsidRPr="00917473">
        <w:rPr>
          <w:rFonts w:ascii="Arial" w:eastAsia="Times New Roman" w:hAnsi="Arial" w:cs="Arial"/>
        </w:rPr>
        <w:t xml:space="preserve"> reduced because it will include participants who fulfil stricter inclusion criteria than the whole trial.  For this analysis, the effect sizes and 95% confidence intervals will be reported and the emphasis placed on the size of difference in outcome between the randomised groups.</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i/>
          <w:color w:val="000000"/>
          <w:lang w:eastAsia="zh-TW"/>
        </w:rPr>
      </w:pPr>
      <w:r w:rsidRPr="00917473">
        <w:rPr>
          <w:rFonts w:ascii="Arial" w:eastAsia="Times New Roman" w:hAnsi="Arial" w:cs="Arial"/>
          <w:i/>
          <w:color w:val="000000"/>
          <w:lang w:eastAsia="zh-TW"/>
        </w:rPr>
        <w:t>Missing data</w:t>
      </w:r>
    </w:p>
    <w:p w:rsidR="00F273BA" w:rsidRDefault="00F273BA"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 xml:space="preserve">If the primary outcome is missing for 10% or more of those who were randomised, then analyses to determine the predictors of </w:t>
      </w:r>
      <w:proofErr w:type="spellStart"/>
      <w:r>
        <w:rPr>
          <w:rFonts w:ascii="Arial" w:eastAsia="Times New Roman" w:hAnsi="Arial" w:cs="Arial"/>
          <w:color w:val="000000"/>
          <w:lang w:eastAsia="zh-TW"/>
        </w:rPr>
        <w:t>missingness</w:t>
      </w:r>
      <w:proofErr w:type="spellEnd"/>
      <w:r>
        <w:rPr>
          <w:rFonts w:ascii="Arial" w:eastAsia="Times New Roman" w:hAnsi="Arial" w:cs="Arial"/>
          <w:color w:val="000000"/>
          <w:lang w:eastAsia="zh-TW"/>
        </w:rPr>
        <w:t xml:space="preserve"> will take place.</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Interim analyses for the</w:t>
      </w:r>
      <w:r w:rsidR="00DE0852">
        <w:rPr>
          <w:rFonts w:ascii="Arial" w:eastAsia="Times New Roman" w:hAnsi="Arial" w:cs="Arial"/>
          <w:b/>
          <w:color w:val="000000"/>
          <w:lang w:eastAsia="zh-TW"/>
        </w:rPr>
        <w:t xml:space="preserve"> Independent</w:t>
      </w:r>
      <w:r w:rsidRPr="00917473">
        <w:rPr>
          <w:rFonts w:ascii="Arial" w:eastAsia="Times New Roman" w:hAnsi="Arial" w:cs="Arial"/>
          <w:b/>
          <w:color w:val="000000"/>
          <w:lang w:eastAsia="zh-TW"/>
        </w:rPr>
        <w:t xml:space="preserve"> Data Monitoring and Ethics Committee (DMEC)</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Outcomes to be analysed</w:t>
      </w:r>
    </w:p>
    <w:p w:rsidR="006E7365" w:rsidRPr="00917473" w:rsidRDefault="006E7365" w:rsidP="00917473">
      <w:pPr>
        <w:spacing w:after="0" w:line="240" w:lineRule="auto"/>
        <w:jc w:val="both"/>
        <w:rPr>
          <w:rFonts w:ascii="Arial" w:eastAsia="Times New Roman" w:hAnsi="Arial" w:cs="Arial"/>
          <w:b/>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The only outcomes that will be analysed for the </w:t>
      </w:r>
      <w:r w:rsidR="00DE0852">
        <w:rPr>
          <w:rFonts w:ascii="Arial" w:eastAsia="Times New Roman" w:hAnsi="Arial" w:cs="Arial"/>
          <w:color w:val="000000"/>
          <w:lang w:eastAsia="zh-TW"/>
        </w:rPr>
        <w:t>I</w:t>
      </w:r>
      <w:r w:rsidRPr="00917473">
        <w:rPr>
          <w:rFonts w:ascii="Arial" w:eastAsia="Times New Roman" w:hAnsi="Arial" w:cs="Arial"/>
          <w:color w:val="000000"/>
          <w:lang w:eastAsia="zh-TW"/>
        </w:rPr>
        <w:t>DMEC are:</w:t>
      </w: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20% reduction in the PANSS score (study primary outcome)</w:t>
      </w: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Adverse events</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A graph showing recruitment to date and a consort diagram to date will be produced.  Baseline statistics (frequencies (%) for categorical variables or mean (SD) for continuous variables) by randomised group for age, sex, baseline PANSS will be produced to check for major differences at baseline.</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Confidentiality</w:t>
      </w:r>
    </w:p>
    <w:p w:rsidR="006E7365" w:rsidRPr="00917473" w:rsidRDefault="006E7365" w:rsidP="00917473">
      <w:pPr>
        <w:spacing w:after="0" w:line="240" w:lineRule="auto"/>
        <w:jc w:val="both"/>
        <w:rPr>
          <w:rFonts w:ascii="Arial" w:eastAsia="Times New Roman" w:hAnsi="Arial" w:cs="Arial"/>
          <w:b/>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Data will be analysed by the study statistician and communicated to the </w:t>
      </w:r>
      <w:r w:rsidR="00DE0852">
        <w:rPr>
          <w:rFonts w:ascii="Arial" w:eastAsia="Times New Roman" w:hAnsi="Arial" w:cs="Arial"/>
          <w:color w:val="000000"/>
          <w:lang w:eastAsia="zh-TW"/>
        </w:rPr>
        <w:t>I</w:t>
      </w:r>
      <w:r w:rsidRPr="00917473">
        <w:rPr>
          <w:rFonts w:ascii="Arial" w:eastAsia="Times New Roman" w:hAnsi="Arial" w:cs="Arial"/>
          <w:color w:val="000000"/>
          <w:lang w:eastAsia="zh-TW"/>
        </w:rPr>
        <w:t xml:space="preserve">DMEC.  They will not be made available to other members of the study team unless requested by the </w:t>
      </w:r>
      <w:r w:rsidR="00DE0852">
        <w:rPr>
          <w:rFonts w:ascii="Arial" w:eastAsia="Times New Roman" w:hAnsi="Arial" w:cs="Arial"/>
          <w:color w:val="000000"/>
          <w:lang w:eastAsia="zh-TW"/>
        </w:rPr>
        <w:t>I</w:t>
      </w:r>
      <w:r w:rsidRPr="00917473">
        <w:rPr>
          <w:rFonts w:ascii="Arial" w:eastAsia="Times New Roman" w:hAnsi="Arial" w:cs="Arial"/>
          <w:color w:val="000000"/>
          <w:lang w:eastAsia="zh-TW"/>
        </w:rPr>
        <w:t>DMEC.</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Prior to analysis, data will be exported from PROSPECT (the study database system) and the randomisation variable will be sent directly from the Sheffield </w:t>
      </w:r>
      <w:r w:rsidRPr="00917473">
        <w:rPr>
          <w:rFonts w:ascii="Arial" w:eastAsia="Times New Roman" w:hAnsi="Arial" w:cs="Arial"/>
        </w:rPr>
        <w:t>Clinical Trials Research Unit</w:t>
      </w:r>
      <w:r w:rsidRPr="00917473">
        <w:rPr>
          <w:rFonts w:ascii="Arial" w:eastAsia="Times New Roman" w:hAnsi="Arial" w:cs="Arial"/>
          <w:color w:val="000000"/>
          <w:lang w:eastAsia="zh-TW"/>
        </w:rPr>
        <w:t xml:space="preserve"> (CTRU).  These will be retained in the original form.</w:t>
      </w:r>
    </w:p>
    <w:p w:rsidR="00B462DD" w:rsidRDefault="00B462DD" w:rsidP="00917473">
      <w:pPr>
        <w:spacing w:after="0" w:line="240" w:lineRule="auto"/>
        <w:jc w:val="both"/>
        <w:rPr>
          <w:rFonts w:ascii="Arial" w:eastAsia="Times New Roman" w:hAnsi="Arial" w:cs="Arial"/>
          <w:color w:val="000000"/>
          <w:lang w:eastAsia="zh-TW"/>
        </w:rPr>
      </w:pPr>
    </w:p>
    <w:p w:rsidR="00B462DD" w:rsidRPr="00917473" w:rsidRDefault="00B462DD"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 xml:space="preserve">Update: after the </w:t>
      </w:r>
      <w:r w:rsidR="00DE0852">
        <w:rPr>
          <w:rFonts w:ascii="Arial" w:eastAsia="Times New Roman" w:hAnsi="Arial" w:cs="Arial"/>
          <w:color w:val="000000"/>
          <w:lang w:eastAsia="zh-TW"/>
        </w:rPr>
        <w:t>I</w:t>
      </w:r>
      <w:r>
        <w:rPr>
          <w:rFonts w:ascii="Arial" w:eastAsia="Times New Roman" w:hAnsi="Arial" w:cs="Arial"/>
          <w:color w:val="000000"/>
          <w:lang w:eastAsia="zh-TW"/>
        </w:rPr>
        <w:t xml:space="preserve">DMEC held on 09/07/2012 it was agreed that the Trial Statistician would analyse the data blind to allocation thereafter and if the </w:t>
      </w:r>
      <w:r w:rsidR="00DE0852">
        <w:rPr>
          <w:rFonts w:ascii="Arial" w:eastAsia="Times New Roman" w:hAnsi="Arial" w:cs="Arial"/>
          <w:color w:val="000000"/>
          <w:lang w:eastAsia="zh-TW"/>
        </w:rPr>
        <w:t>I</w:t>
      </w:r>
      <w:r>
        <w:rPr>
          <w:rFonts w:ascii="Arial" w:eastAsia="Times New Roman" w:hAnsi="Arial" w:cs="Arial"/>
          <w:color w:val="000000"/>
          <w:lang w:eastAsia="zh-TW"/>
        </w:rPr>
        <w:t xml:space="preserve">DMEC required the data to be </w:t>
      </w:r>
      <w:proofErr w:type="spellStart"/>
      <w:r>
        <w:rPr>
          <w:rFonts w:ascii="Arial" w:eastAsia="Times New Roman" w:hAnsi="Arial" w:cs="Arial"/>
          <w:color w:val="000000"/>
          <w:lang w:eastAsia="zh-TW"/>
        </w:rPr>
        <w:t>unblinded</w:t>
      </w:r>
      <w:proofErr w:type="spellEnd"/>
      <w:r>
        <w:rPr>
          <w:rFonts w:ascii="Arial" w:eastAsia="Times New Roman" w:hAnsi="Arial" w:cs="Arial"/>
          <w:color w:val="000000"/>
          <w:lang w:eastAsia="zh-TW"/>
        </w:rPr>
        <w:t xml:space="preserve"> another statistician would do this task.</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Statistical analyses</w:t>
      </w:r>
    </w:p>
    <w:p w:rsidR="006E7365" w:rsidRPr="00917473" w:rsidRDefault="006E7365" w:rsidP="00917473">
      <w:pPr>
        <w:spacing w:after="0" w:line="240" w:lineRule="auto"/>
        <w:jc w:val="both"/>
        <w:rPr>
          <w:rFonts w:ascii="Arial" w:eastAsia="Times New Roman" w:hAnsi="Arial" w:cs="Arial"/>
          <w:b/>
          <w:color w:val="000000"/>
          <w:lang w:eastAsia="zh-TW"/>
        </w:rPr>
      </w:pPr>
    </w:p>
    <w:p w:rsidR="00917473" w:rsidRPr="00917473" w:rsidRDefault="00357D7E"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It was planned that the interim analyses would take the same form as the main analyses.  However, as there was so little data this was not possible as it is unlikely that planned models would converge</w:t>
      </w:r>
      <w:r w:rsidR="00917473" w:rsidRPr="00917473">
        <w:rPr>
          <w:rFonts w:ascii="Arial" w:eastAsia="Times New Roman" w:hAnsi="Arial" w:cs="Arial"/>
          <w:color w:val="000000"/>
          <w:lang w:eastAsia="zh-TW"/>
        </w:rPr>
        <w:t xml:space="preserve">.  </w:t>
      </w:r>
      <w:r>
        <w:rPr>
          <w:rFonts w:ascii="Arial" w:eastAsia="Times New Roman" w:hAnsi="Arial" w:cs="Arial"/>
          <w:color w:val="000000"/>
          <w:lang w:eastAsia="zh-TW"/>
        </w:rPr>
        <w:t xml:space="preserve">Therefore there </w:t>
      </w:r>
      <w:r w:rsidR="0073327E">
        <w:rPr>
          <w:rFonts w:ascii="Arial" w:eastAsia="Times New Roman" w:hAnsi="Arial" w:cs="Arial"/>
          <w:color w:val="000000"/>
          <w:lang w:eastAsia="zh-TW"/>
        </w:rPr>
        <w:t xml:space="preserve">have </w:t>
      </w:r>
      <w:r>
        <w:rPr>
          <w:rFonts w:ascii="Arial" w:eastAsia="Times New Roman" w:hAnsi="Arial" w:cs="Arial"/>
          <w:color w:val="000000"/>
          <w:lang w:eastAsia="zh-TW"/>
        </w:rPr>
        <w:t>been deviation</w:t>
      </w:r>
      <w:r w:rsidR="0073327E">
        <w:rPr>
          <w:rFonts w:ascii="Arial" w:eastAsia="Times New Roman" w:hAnsi="Arial" w:cs="Arial"/>
          <w:color w:val="000000"/>
          <w:lang w:eastAsia="zh-TW"/>
        </w:rPr>
        <w:t>s</w:t>
      </w:r>
      <w:r>
        <w:rPr>
          <w:rFonts w:ascii="Arial" w:eastAsia="Times New Roman" w:hAnsi="Arial" w:cs="Arial"/>
          <w:color w:val="000000"/>
          <w:lang w:eastAsia="zh-TW"/>
        </w:rPr>
        <w:t xml:space="preserve"> from this, which </w:t>
      </w:r>
      <w:r w:rsidR="0073327E">
        <w:rPr>
          <w:rFonts w:ascii="Arial" w:eastAsia="Times New Roman" w:hAnsi="Arial" w:cs="Arial"/>
          <w:color w:val="000000"/>
          <w:lang w:eastAsia="zh-TW"/>
        </w:rPr>
        <w:t xml:space="preserve">are </w:t>
      </w:r>
      <w:r>
        <w:rPr>
          <w:rFonts w:ascii="Arial" w:eastAsia="Times New Roman" w:hAnsi="Arial" w:cs="Arial"/>
          <w:color w:val="000000"/>
          <w:lang w:eastAsia="zh-TW"/>
        </w:rPr>
        <w:t>detailed below:</w:t>
      </w:r>
    </w:p>
    <w:p w:rsidR="00917473" w:rsidRDefault="00917473" w:rsidP="00917473">
      <w:pPr>
        <w:spacing w:after="0" w:line="240" w:lineRule="auto"/>
        <w:jc w:val="both"/>
        <w:rPr>
          <w:rFonts w:ascii="Arial" w:eastAsia="Times New Roman" w:hAnsi="Arial" w:cs="Arial"/>
          <w:color w:val="000000"/>
          <w:lang w:eastAsia="zh-TW"/>
        </w:rPr>
      </w:pPr>
    </w:p>
    <w:p w:rsidR="00357D7E" w:rsidRPr="003079D7" w:rsidRDefault="00357D7E" w:rsidP="00917473">
      <w:pPr>
        <w:spacing w:after="0" w:line="240" w:lineRule="auto"/>
        <w:jc w:val="both"/>
        <w:rPr>
          <w:rFonts w:ascii="Arial" w:eastAsia="Times New Roman" w:hAnsi="Arial" w:cs="Arial"/>
          <w:i/>
          <w:color w:val="000000"/>
          <w:lang w:eastAsia="zh-TW"/>
        </w:rPr>
      </w:pPr>
      <w:r w:rsidRPr="003079D7">
        <w:rPr>
          <w:rFonts w:ascii="Arial" w:eastAsia="Times New Roman" w:hAnsi="Arial" w:cs="Arial"/>
          <w:i/>
          <w:color w:val="000000"/>
          <w:lang w:eastAsia="zh-TW"/>
        </w:rPr>
        <w:t>IDMEC held on 09/07/2012</w:t>
      </w:r>
    </w:p>
    <w:p w:rsidR="00917473" w:rsidRDefault="00357D7E"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A</w:t>
      </w:r>
      <w:r w:rsidR="00917473" w:rsidRPr="00917473">
        <w:rPr>
          <w:rFonts w:ascii="Arial" w:eastAsia="Times New Roman" w:hAnsi="Arial" w:cs="Arial"/>
          <w:color w:val="000000"/>
          <w:lang w:eastAsia="zh-TW"/>
        </w:rPr>
        <w:t xml:space="preserve">s there </w:t>
      </w:r>
      <w:r>
        <w:rPr>
          <w:rFonts w:ascii="Arial" w:eastAsia="Times New Roman" w:hAnsi="Arial" w:cs="Arial"/>
          <w:color w:val="000000"/>
          <w:lang w:eastAsia="zh-TW"/>
        </w:rPr>
        <w:t>was</w:t>
      </w:r>
      <w:r w:rsidR="00917473" w:rsidRPr="00917473">
        <w:rPr>
          <w:rFonts w:ascii="Arial" w:eastAsia="Times New Roman" w:hAnsi="Arial" w:cs="Arial"/>
          <w:color w:val="000000"/>
          <w:lang w:eastAsia="zh-TW"/>
        </w:rPr>
        <w:t xml:space="preserve"> so little data (N=5, with n=2 completed the 12 week intervention) only means and frequencies </w:t>
      </w:r>
      <w:proofErr w:type="gramStart"/>
      <w:r>
        <w:rPr>
          <w:rFonts w:ascii="Arial" w:eastAsia="Times New Roman" w:hAnsi="Arial" w:cs="Arial"/>
          <w:color w:val="000000"/>
          <w:lang w:eastAsia="zh-TW"/>
        </w:rPr>
        <w:t>were</w:t>
      </w:r>
      <w:r w:rsidRPr="00917473">
        <w:rPr>
          <w:rFonts w:ascii="Arial" w:eastAsia="Times New Roman" w:hAnsi="Arial" w:cs="Arial"/>
          <w:color w:val="000000"/>
          <w:lang w:eastAsia="zh-TW"/>
        </w:rPr>
        <w:t xml:space="preserve"> </w:t>
      </w:r>
      <w:r w:rsidR="00917473" w:rsidRPr="00917473">
        <w:rPr>
          <w:rFonts w:ascii="Arial" w:eastAsia="Times New Roman" w:hAnsi="Arial" w:cs="Arial"/>
          <w:color w:val="000000"/>
          <w:lang w:eastAsia="zh-TW"/>
        </w:rPr>
        <w:t xml:space="preserve"> presented</w:t>
      </w:r>
      <w:proofErr w:type="gramEnd"/>
      <w:r w:rsidR="00917473" w:rsidRPr="00917473">
        <w:rPr>
          <w:rFonts w:ascii="Arial" w:eastAsia="Times New Roman" w:hAnsi="Arial" w:cs="Arial"/>
          <w:color w:val="000000"/>
          <w:lang w:eastAsia="zh-TW"/>
        </w:rPr>
        <w:t>.</w:t>
      </w:r>
    </w:p>
    <w:p w:rsidR="00357D7E" w:rsidRDefault="00357D7E" w:rsidP="00917473">
      <w:pPr>
        <w:spacing w:after="0" w:line="240" w:lineRule="auto"/>
        <w:jc w:val="both"/>
        <w:rPr>
          <w:rFonts w:ascii="Arial" w:eastAsia="Times New Roman" w:hAnsi="Arial" w:cs="Arial"/>
          <w:color w:val="000000"/>
          <w:lang w:eastAsia="zh-TW"/>
        </w:rPr>
      </w:pPr>
    </w:p>
    <w:p w:rsidR="00357D7E" w:rsidRPr="003079D7" w:rsidRDefault="00357D7E" w:rsidP="00917473">
      <w:pPr>
        <w:spacing w:after="0" w:line="240" w:lineRule="auto"/>
        <w:jc w:val="both"/>
        <w:rPr>
          <w:rFonts w:ascii="Arial" w:eastAsia="Times New Roman" w:hAnsi="Arial" w:cs="Arial"/>
          <w:i/>
          <w:color w:val="000000"/>
          <w:lang w:eastAsia="zh-TW"/>
        </w:rPr>
      </w:pPr>
      <w:r w:rsidRPr="003079D7">
        <w:rPr>
          <w:rFonts w:ascii="Arial" w:eastAsia="Times New Roman" w:hAnsi="Arial" w:cs="Arial"/>
          <w:i/>
          <w:color w:val="000000"/>
          <w:lang w:eastAsia="zh-TW"/>
        </w:rPr>
        <w:t>IDMEC held on 29/04/2013</w:t>
      </w:r>
    </w:p>
    <w:p w:rsidR="00357D7E" w:rsidRDefault="00357D7E"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 xml:space="preserve">At this point N=31 had been recruited to the trial and n=12 had completed the 12 week intervention.  </w:t>
      </w:r>
      <w:r w:rsidR="00570EC8">
        <w:rPr>
          <w:rFonts w:ascii="Arial" w:eastAsia="Times New Roman" w:hAnsi="Arial" w:cs="Arial"/>
          <w:color w:val="000000"/>
          <w:lang w:eastAsia="zh-TW"/>
        </w:rPr>
        <w:t>A Fisher’s exact test was carried out on the primary outcome.</w:t>
      </w:r>
    </w:p>
    <w:p w:rsidR="00570EC8" w:rsidRDefault="00570EC8" w:rsidP="00917473">
      <w:pPr>
        <w:spacing w:after="0" w:line="240" w:lineRule="auto"/>
        <w:jc w:val="both"/>
        <w:rPr>
          <w:rFonts w:ascii="Arial" w:eastAsia="Times New Roman" w:hAnsi="Arial" w:cs="Arial"/>
          <w:color w:val="000000"/>
          <w:lang w:eastAsia="zh-TW"/>
        </w:rPr>
      </w:pPr>
    </w:p>
    <w:p w:rsidR="00570EC8" w:rsidRPr="003079D7" w:rsidRDefault="00570EC8" w:rsidP="00917473">
      <w:pPr>
        <w:spacing w:after="0" w:line="240" w:lineRule="auto"/>
        <w:jc w:val="both"/>
        <w:rPr>
          <w:rFonts w:ascii="Arial" w:eastAsia="Times New Roman" w:hAnsi="Arial" w:cs="Arial"/>
          <w:i/>
          <w:color w:val="000000"/>
          <w:lang w:eastAsia="zh-TW"/>
        </w:rPr>
      </w:pPr>
      <w:r w:rsidRPr="003079D7">
        <w:rPr>
          <w:rFonts w:ascii="Arial" w:eastAsia="Times New Roman" w:hAnsi="Arial" w:cs="Arial"/>
          <w:i/>
          <w:color w:val="000000"/>
          <w:lang w:eastAsia="zh-TW"/>
        </w:rPr>
        <w:t>IDMEC held on 23/09/2013</w:t>
      </w:r>
    </w:p>
    <w:p w:rsidR="00570EC8" w:rsidRPr="00917473" w:rsidRDefault="00570EC8"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At this point N=46 had been randomised and n=26 had finished the 12 week intervention.  A chi square test was carried out on the primary outcome and after the IDMEC a chi square test was carried out on the numbers of people who had experienced any adverse event.</w:t>
      </w:r>
    </w:p>
    <w:p w:rsidR="00917473" w:rsidRDefault="00917473" w:rsidP="00917473">
      <w:pPr>
        <w:spacing w:after="0" w:line="240" w:lineRule="auto"/>
        <w:jc w:val="both"/>
        <w:rPr>
          <w:rFonts w:ascii="Arial" w:eastAsia="Times New Roman" w:hAnsi="Arial" w:cs="Arial"/>
          <w:color w:val="000000"/>
          <w:lang w:eastAsia="zh-TW"/>
        </w:rPr>
      </w:pPr>
    </w:p>
    <w:p w:rsidR="00570EC8" w:rsidRPr="003079D7" w:rsidRDefault="00570EC8" w:rsidP="00917473">
      <w:pPr>
        <w:spacing w:after="0" w:line="240" w:lineRule="auto"/>
        <w:jc w:val="both"/>
        <w:rPr>
          <w:rFonts w:ascii="Arial" w:eastAsia="Times New Roman" w:hAnsi="Arial" w:cs="Arial"/>
          <w:i/>
          <w:color w:val="000000"/>
          <w:lang w:eastAsia="zh-TW"/>
        </w:rPr>
      </w:pPr>
      <w:r w:rsidRPr="003079D7">
        <w:rPr>
          <w:rFonts w:ascii="Arial" w:eastAsia="Times New Roman" w:hAnsi="Arial" w:cs="Arial"/>
          <w:i/>
          <w:color w:val="000000"/>
          <w:lang w:eastAsia="zh-TW"/>
        </w:rPr>
        <w:t>IDMEC held on 16/12/2013</w:t>
      </w:r>
    </w:p>
    <w:p w:rsidR="00570EC8" w:rsidRDefault="003128AF"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At this point N=52 had been randomised and n=37 had finished the 12 week interventions.  There were no</w:t>
      </w:r>
      <w:r w:rsidR="00570EC8">
        <w:rPr>
          <w:rFonts w:ascii="Arial" w:eastAsia="Times New Roman" w:hAnsi="Arial" w:cs="Arial"/>
          <w:color w:val="000000"/>
          <w:lang w:eastAsia="zh-TW"/>
        </w:rPr>
        <w:t xml:space="preserve"> interim analyses by randomised group.  However, overall data downloaded from PROSPECT</w:t>
      </w:r>
      <w:r>
        <w:rPr>
          <w:rFonts w:ascii="Arial" w:eastAsia="Times New Roman" w:hAnsi="Arial" w:cs="Arial"/>
          <w:color w:val="000000"/>
          <w:lang w:eastAsia="zh-TW"/>
        </w:rPr>
        <w:t xml:space="preserve"> on 09/12/2013</w:t>
      </w:r>
      <w:r w:rsidR="00570EC8">
        <w:rPr>
          <w:rFonts w:ascii="Arial" w:eastAsia="Times New Roman" w:hAnsi="Arial" w:cs="Arial"/>
          <w:color w:val="000000"/>
          <w:lang w:eastAsia="zh-TW"/>
        </w:rPr>
        <w:t xml:space="preserve"> </w:t>
      </w:r>
      <w:r w:rsidR="007C290B">
        <w:rPr>
          <w:rFonts w:ascii="Arial" w:eastAsia="Times New Roman" w:hAnsi="Arial" w:cs="Arial"/>
          <w:color w:val="000000"/>
          <w:lang w:eastAsia="zh-TW"/>
        </w:rPr>
        <w:t>g</w:t>
      </w:r>
      <w:r>
        <w:rPr>
          <w:rFonts w:ascii="Arial" w:eastAsia="Times New Roman" w:hAnsi="Arial" w:cs="Arial"/>
          <w:color w:val="000000"/>
          <w:lang w:eastAsia="zh-TW"/>
        </w:rPr>
        <w:t>a</w:t>
      </w:r>
      <w:r w:rsidR="007C290B">
        <w:rPr>
          <w:rFonts w:ascii="Arial" w:eastAsia="Times New Roman" w:hAnsi="Arial" w:cs="Arial"/>
          <w:color w:val="000000"/>
          <w:lang w:eastAsia="zh-TW"/>
        </w:rPr>
        <w:t>ve the total number of adverse events, people who had adverse events and people who had the primary outcome.</w:t>
      </w:r>
    </w:p>
    <w:p w:rsidR="00570EC8" w:rsidRDefault="00570EC8" w:rsidP="00917473">
      <w:pPr>
        <w:spacing w:after="0" w:line="240" w:lineRule="auto"/>
        <w:jc w:val="both"/>
        <w:rPr>
          <w:rFonts w:ascii="Arial" w:eastAsia="Times New Roman" w:hAnsi="Arial" w:cs="Arial"/>
          <w:color w:val="000000"/>
          <w:lang w:eastAsia="zh-TW"/>
        </w:rPr>
      </w:pPr>
    </w:p>
    <w:p w:rsidR="00DD60EB" w:rsidRPr="004339D9" w:rsidRDefault="00DD60EB" w:rsidP="00917473">
      <w:pPr>
        <w:spacing w:after="0" w:line="240" w:lineRule="auto"/>
        <w:jc w:val="both"/>
        <w:rPr>
          <w:rFonts w:ascii="Arial" w:eastAsia="Times New Roman" w:hAnsi="Arial" w:cs="Arial"/>
          <w:i/>
          <w:color w:val="000000"/>
          <w:lang w:eastAsia="zh-TW"/>
        </w:rPr>
      </w:pPr>
      <w:r w:rsidRPr="004339D9">
        <w:rPr>
          <w:rFonts w:ascii="Arial" w:eastAsia="Times New Roman" w:hAnsi="Arial" w:cs="Arial"/>
          <w:i/>
          <w:color w:val="000000"/>
          <w:lang w:eastAsia="zh-TW"/>
        </w:rPr>
        <w:lastRenderedPageBreak/>
        <w:t>IDMEC to be held on 14/11/2014</w:t>
      </w:r>
    </w:p>
    <w:p w:rsidR="00DD60EB" w:rsidRDefault="00DD60EB"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 xml:space="preserve">It is not planned to </w:t>
      </w:r>
      <w:r w:rsidR="0073327E">
        <w:rPr>
          <w:rFonts w:ascii="Arial" w:eastAsia="Times New Roman" w:hAnsi="Arial" w:cs="Arial"/>
          <w:color w:val="000000"/>
          <w:lang w:eastAsia="zh-TW"/>
        </w:rPr>
        <w:t>analyse the data by randomised group for this meeting.  However, recruitment and adverse events since the last meeting will be reviewed.</w:t>
      </w:r>
    </w:p>
    <w:p w:rsidR="00DD60EB" w:rsidRPr="00917473" w:rsidRDefault="00DD60EB"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Data analysis will be carried out using Stata version </w:t>
      </w:r>
      <w:r w:rsidR="00D73857" w:rsidRPr="00917473">
        <w:rPr>
          <w:rFonts w:ascii="Arial" w:eastAsia="Times New Roman" w:hAnsi="Arial" w:cs="Arial"/>
          <w:color w:val="000000"/>
          <w:lang w:eastAsia="zh-TW"/>
        </w:rPr>
        <w:t>1</w:t>
      </w:r>
      <w:r w:rsidR="00D73857">
        <w:rPr>
          <w:rFonts w:ascii="Arial" w:eastAsia="Times New Roman" w:hAnsi="Arial" w:cs="Arial"/>
          <w:color w:val="000000"/>
          <w:lang w:eastAsia="zh-TW"/>
        </w:rPr>
        <w:t>3</w:t>
      </w:r>
      <w:r w:rsidR="00D73857" w:rsidRPr="00917473">
        <w:rPr>
          <w:rFonts w:ascii="Arial" w:eastAsia="Times New Roman" w:hAnsi="Arial" w:cs="Arial"/>
          <w:color w:val="000000"/>
          <w:vertAlign w:val="superscript"/>
          <w:lang w:eastAsia="zh-TW"/>
        </w:rPr>
        <w:t>17</w:t>
      </w:r>
      <w:r w:rsidRPr="00917473">
        <w:rPr>
          <w:rFonts w:ascii="Arial" w:eastAsia="Times New Roman" w:hAnsi="Arial" w:cs="Arial"/>
          <w:color w:val="000000"/>
          <w:lang w:eastAsia="zh-TW"/>
        </w:rPr>
        <w:t>.</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Analysis population</w:t>
      </w:r>
    </w:p>
    <w:p w:rsidR="006E7365" w:rsidRPr="00917473" w:rsidRDefault="006E7365" w:rsidP="00917473">
      <w:pPr>
        <w:spacing w:after="0" w:line="240" w:lineRule="auto"/>
        <w:jc w:val="both"/>
        <w:rPr>
          <w:rFonts w:ascii="Arial" w:eastAsia="Times New Roman" w:hAnsi="Arial" w:cs="Arial"/>
          <w:b/>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Data will be included in the analysis for the </w:t>
      </w:r>
      <w:r w:rsidR="00D73857">
        <w:rPr>
          <w:rFonts w:ascii="Arial" w:eastAsia="Times New Roman" w:hAnsi="Arial" w:cs="Arial"/>
          <w:color w:val="000000"/>
          <w:lang w:eastAsia="zh-TW"/>
        </w:rPr>
        <w:t>I</w:t>
      </w:r>
      <w:r w:rsidRPr="00917473">
        <w:rPr>
          <w:rFonts w:ascii="Arial" w:eastAsia="Times New Roman" w:hAnsi="Arial" w:cs="Arial"/>
          <w:color w:val="000000"/>
          <w:lang w:eastAsia="zh-TW"/>
        </w:rPr>
        <w:t xml:space="preserve">DMEC if the participant has had their 12 week assessment (for the primary outcome) and at any time for adverse events and their data have been entered into PROSPECT (this will not include everyone who has some data entered into PROSPECT).  </w:t>
      </w: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b/>
          <w:color w:val="000000"/>
          <w:lang w:eastAsia="zh-TW"/>
        </w:rPr>
      </w:pPr>
      <w:r w:rsidRPr="00917473">
        <w:rPr>
          <w:rFonts w:ascii="Arial" w:eastAsia="Times New Roman" w:hAnsi="Arial" w:cs="Arial"/>
          <w:b/>
          <w:color w:val="000000"/>
          <w:lang w:eastAsia="zh-TW"/>
        </w:rPr>
        <w:t>Stopping rules and type I error</w:t>
      </w:r>
    </w:p>
    <w:p w:rsidR="006E7365" w:rsidRPr="00917473" w:rsidRDefault="006E7365" w:rsidP="00917473">
      <w:pPr>
        <w:spacing w:after="0" w:line="240" w:lineRule="auto"/>
        <w:jc w:val="both"/>
        <w:rPr>
          <w:rFonts w:ascii="Arial" w:eastAsia="Times New Roman" w:hAnsi="Arial" w:cs="Arial"/>
          <w:b/>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r w:rsidRPr="00917473">
        <w:rPr>
          <w:rFonts w:ascii="Arial" w:eastAsia="Times New Roman" w:hAnsi="Arial" w:cs="Arial"/>
          <w:color w:val="000000"/>
          <w:lang w:eastAsia="zh-TW"/>
        </w:rPr>
        <w:t xml:space="preserve">Using an overall p-value to indicate statistical significance of &lt;0.05, and assuming there are three </w:t>
      </w:r>
      <w:r w:rsidR="00D73857">
        <w:rPr>
          <w:rFonts w:ascii="Arial" w:eastAsia="Times New Roman" w:hAnsi="Arial" w:cs="Arial"/>
          <w:color w:val="000000"/>
          <w:lang w:eastAsia="zh-TW"/>
        </w:rPr>
        <w:t>I</w:t>
      </w:r>
      <w:r w:rsidRPr="00917473">
        <w:rPr>
          <w:rFonts w:ascii="Arial" w:eastAsia="Times New Roman" w:hAnsi="Arial" w:cs="Arial"/>
          <w:color w:val="000000"/>
          <w:lang w:eastAsia="zh-TW"/>
        </w:rPr>
        <w:t>DMEC meetings which require interim analyses in addition to the final analysis at the end of the study, then using the program ld98 (DOS version)</w:t>
      </w:r>
      <w:r w:rsidRPr="00917473">
        <w:rPr>
          <w:rFonts w:ascii="Arial" w:eastAsia="Times New Roman" w:hAnsi="Arial" w:cs="Arial"/>
          <w:color w:val="000000"/>
          <w:vertAlign w:val="superscript"/>
          <w:lang w:eastAsia="zh-TW"/>
        </w:rPr>
        <w:t>20</w:t>
      </w:r>
      <w:r w:rsidRPr="00917473">
        <w:rPr>
          <w:rFonts w:ascii="Arial" w:eastAsia="Times New Roman" w:hAnsi="Arial" w:cs="Arial"/>
          <w:color w:val="000000"/>
          <w:lang w:eastAsia="zh-TW"/>
        </w:rPr>
        <w:t>, two stopping rules are to be established.  The first, for efficacy (the primary outcome) uses the O’Brien Fleming</w:t>
      </w:r>
      <w:r w:rsidRPr="00917473">
        <w:rPr>
          <w:rFonts w:ascii="Arial" w:eastAsia="Times New Roman" w:hAnsi="Arial" w:cs="Arial"/>
          <w:color w:val="000000"/>
          <w:vertAlign w:val="superscript"/>
          <w:lang w:eastAsia="zh-TW"/>
        </w:rPr>
        <w:t>21</w:t>
      </w:r>
      <w:r w:rsidRPr="00917473">
        <w:rPr>
          <w:rFonts w:ascii="Arial" w:eastAsia="Times New Roman" w:hAnsi="Arial" w:cs="Arial"/>
          <w:color w:val="000000"/>
          <w:lang w:eastAsia="zh-TW"/>
        </w:rPr>
        <w:t xml:space="preserve"> type rule while for safety (adverse events) a power family with an exponent of 1.5 is used.  These give different p-values at each time point, set out in Table 1.</w:t>
      </w:r>
    </w:p>
    <w:p w:rsidR="00917473" w:rsidRDefault="00917473" w:rsidP="00917473">
      <w:pPr>
        <w:spacing w:after="0" w:line="240" w:lineRule="auto"/>
        <w:jc w:val="both"/>
        <w:rPr>
          <w:rFonts w:ascii="Arial" w:eastAsia="Times New Roman" w:hAnsi="Arial" w:cs="Arial"/>
          <w:color w:val="000000"/>
          <w:lang w:eastAsia="zh-TW"/>
        </w:rPr>
      </w:pPr>
    </w:p>
    <w:p w:rsidR="00DE2544" w:rsidRDefault="00DE2544" w:rsidP="00917473">
      <w:pPr>
        <w:spacing w:after="0" w:line="240" w:lineRule="auto"/>
        <w:jc w:val="both"/>
        <w:rPr>
          <w:rFonts w:ascii="Arial" w:eastAsia="Times New Roman" w:hAnsi="Arial" w:cs="Arial"/>
          <w:color w:val="000000"/>
          <w:lang w:eastAsia="zh-TW"/>
        </w:rPr>
      </w:pPr>
      <w:r>
        <w:rPr>
          <w:rFonts w:ascii="Arial" w:eastAsia="Times New Roman" w:hAnsi="Arial" w:cs="Arial"/>
          <w:color w:val="000000"/>
          <w:lang w:eastAsia="zh-TW"/>
        </w:rPr>
        <w:t xml:space="preserve">As recruitment was </w:t>
      </w:r>
      <w:r w:rsidR="004339D9">
        <w:rPr>
          <w:rFonts w:ascii="Arial" w:eastAsia="Times New Roman" w:hAnsi="Arial" w:cs="Arial"/>
          <w:color w:val="000000"/>
          <w:lang w:eastAsia="zh-TW"/>
        </w:rPr>
        <w:t>more difficult than</w:t>
      </w:r>
      <w:r>
        <w:rPr>
          <w:rFonts w:ascii="Arial" w:eastAsia="Times New Roman" w:hAnsi="Arial" w:cs="Arial"/>
          <w:color w:val="000000"/>
          <w:lang w:eastAsia="zh-TW"/>
        </w:rPr>
        <w:t xml:space="preserve"> expected, the p-value for the end of the trial will now revert to 0.05 for the primary outcome, although p-values will not be reported</w:t>
      </w:r>
      <w:r w:rsidR="004339D9">
        <w:rPr>
          <w:rFonts w:ascii="Arial" w:eastAsia="Times New Roman" w:hAnsi="Arial" w:cs="Arial"/>
          <w:color w:val="000000"/>
          <w:lang w:eastAsia="zh-TW"/>
        </w:rPr>
        <w:t xml:space="preserve"> (coefficients and 95% confidence intervals only)</w:t>
      </w:r>
      <w:r>
        <w:rPr>
          <w:rFonts w:ascii="Arial" w:eastAsia="Times New Roman" w:hAnsi="Arial" w:cs="Arial"/>
          <w:color w:val="000000"/>
          <w:lang w:eastAsia="zh-TW"/>
        </w:rPr>
        <w:t>.</w:t>
      </w:r>
    </w:p>
    <w:p w:rsidR="00DE2544" w:rsidRPr="00917473" w:rsidRDefault="00DE2544" w:rsidP="00917473">
      <w:pPr>
        <w:spacing w:after="0" w:line="240" w:lineRule="auto"/>
        <w:jc w:val="both"/>
        <w:rPr>
          <w:rFonts w:ascii="Arial" w:eastAsia="Times New Roman" w:hAnsi="Arial" w:cs="Arial"/>
          <w:color w:val="000000"/>
          <w:lang w:eastAsia="zh-TW"/>
        </w:rPr>
      </w:pPr>
    </w:p>
    <w:p w:rsidR="00917473" w:rsidRDefault="00917473" w:rsidP="00917473">
      <w:pPr>
        <w:spacing w:after="0" w:line="240" w:lineRule="auto"/>
        <w:jc w:val="both"/>
        <w:rPr>
          <w:rFonts w:ascii="Arial" w:eastAsia="Times New Roman" w:hAnsi="Arial" w:cs="Arial"/>
          <w:color w:val="000000"/>
          <w:lang w:eastAsia="zh-TW"/>
        </w:rPr>
      </w:pPr>
      <w:proofErr w:type="gramStart"/>
      <w:r w:rsidRPr="00917473">
        <w:rPr>
          <w:rFonts w:ascii="Arial" w:eastAsia="Times New Roman" w:hAnsi="Arial" w:cs="Arial"/>
          <w:color w:val="000000"/>
          <w:lang w:eastAsia="zh-TW"/>
        </w:rPr>
        <w:t>Table 1: Timing of interim analyses and p-values to be used to indicate efficacy and safety.</w:t>
      </w:r>
      <w:proofErr w:type="gramEnd"/>
    </w:p>
    <w:p w:rsidR="006E7365" w:rsidRPr="00917473" w:rsidRDefault="006E7365" w:rsidP="00917473">
      <w:pPr>
        <w:spacing w:after="0" w:line="240" w:lineRule="auto"/>
        <w:jc w:val="both"/>
        <w:rPr>
          <w:rFonts w:ascii="Arial" w:eastAsia="Times New Roman" w:hAnsi="Arial" w:cs="Arial"/>
          <w:color w:val="000000"/>
          <w:lang w:eastAsia="zh-TW"/>
        </w:rPr>
      </w:pPr>
    </w:p>
    <w:tbl>
      <w:tblPr>
        <w:tblStyle w:val="TableGrid1"/>
        <w:tblW w:w="0" w:type="auto"/>
        <w:tblBorders>
          <w:insideH w:val="none" w:sz="0" w:space="0" w:color="auto"/>
        </w:tblBorders>
        <w:tblLook w:val="04A0" w:firstRow="1" w:lastRow="0" w:firstColumn="1" w:lastColumn="0" w:noHBand="0" w:noVBand="1"/>
      </w:tblPr>
      <w:tblGrid>
        <w:gridCol w:w="2268"/>
        <w:gridCol w:w="1418"/>
        <w:gridCol w:w="1418"/>
      </w:tblGrid>
      <w:tr w:rsidR="00917473" w:rsidRPr="00917473" w:rsidTr="00060EE4">
        <w:tc>
          <w:tcPr>
            <w:tcW w:w="2268" w:type="dxa"/>
          </w:tcPr>
          <w:p w:rsidR="00917473" w:rsidRPr="007C290B" w:rsidRDefault="00917473" w:rsidP="00917473">
            <w:pPr>
              <w:jc w:val="both"/>
              <w:rPr>
                <w:rFonts w:ascii="Arial" w:hAnsi="Arial" w:cs="Arial"/>
                <w:color w:val="000000"/>
                <w:sz w:val="22"/>
                <w:szCs w:val="22"/>
                <w:lang w:eastAsia="zh-TW"/>
              </w:rPr>
            </w:pPr>
          </w:p>
        </w:tc>
        <w:tc>
          <w:tcPr>
            <w:tcW w:w="1418" w:type="dxa"/>
          </w:tcPr>
          <w:p w:rsidR="00917473" w:rsidRPr="007C290B" w:rsidRDefault="00917473" w:rsidP="00917473">
            <w:pPr>
              <w:jc w:val="center"/>
              <w:rPr>
                <w:rFonts w:ascii="Arial" w:hAnsi="Arial" w:cs="Arial"/>
                <w:color w:val="000000"/>
                <w:sz w:val="22"/>
                <w:szCs w:val="22"/>
                <w:lang w:eastAsia="zh-TW"/>
              </w:rPr>
            </w:pPr>
            <w:r w:rsidRPr="007C290B">
              <w:rPr>
                <w:rFonts w:ascii="Arial" w:hAnsi="Arial" w:cs="Arial"/>
                <w:color w:val="000000"/>
                <w:sz w:val="22"/>
                <w:szCs w:val="22"/>
                <w:lang w:eastAsia="zh-TW"/>
              </w:rPr>
              <w:t>Efficacy</w:t>
            </w:r>
          </w:p>
        </w:tc>
        <w:tc>
          <w:tcPr>
            <w:tcW w:w="1418" w:type="dxa"/>
          </w:tcPr>
          <w:p w:rsidR="00917473" w:rsidRPr="007C290B" w:rsidRDefault="00917473" w:rsidP="00917473">
            <w:pPr>
              <w:jc w:val="center"/>
              <w:rPr>
                <w:rFonts w:ascii="Arial" w:hAnsi="Arial" w:cs="Arial"/>
                <w:color w:val="000000"/>
                <w:sz w:val="22"/>
                <w:szCs w:val="22"/>
                <w:lang w:eastAsia="zh-TW"/>
              </w:rPr>
            </w:pPr>
            <w:r w:rsidRPr="007C290B">
              <w:rPr>
                <w:rFonts w:ascii="Arial" w:hAnsi="Arial" w:cs="Arial"/>
                <w:color w:val="000000"/>
                <w:sz w:val="22"/>
                <w:szCs w:val="22"/>
                <w:lang w:eastAsia="zh-TW"/>
              </w:rPr>
              <w:t>Safety</w:t>
            </w:r>
          </w:p>
        </w:tc>
      </w:tr>
      <w:tr w:rsidR="00917473" w:rsidRPr="00917473" w:rsidTr="00060EE4">
        <w:tc>
          <w:tcPr>
            <w:tcW w:w="2268" w:type="dxa"/>
            <w:tcBorders>
              <w:bottom w:val="single" w:sz="4" w:space="0" w:color="auto"/>
            </w:tcBorders>
          </w:tcPr>
          <w:p w:rsidR="00917473" w:rsidRPr="007C290B" w:rsidRDefault="00917473" w:rsidP="00917473">
            <w:pPr>
              <w:jc w:val="both"/>
              <w:rPr>
                <w:rFonts w:ascii="Arial" w:hAnsi="Arial" w:cs="Arial"/>
                <w:color w:val="000000"/>
                <w:sz w:val="22"/>
                <w:szCs w:val="22"/>
                <w:lang w:eastAsia="zh-TW"/>
              </w:rPr>
            </w:pPr>
            <w:r w:rsidRPr="007C290B">
              <w:rPr>
                <w:rFonts w:ascii="Arial" w:hAnsi="Arial" w:cs="Arial"/>
                <w:color w:val="000000"/>
                <w:sz w:val="22"/>
                <w:szCs w:val="22"/>
                <w:lang w:eastAsia="zh-TW"/>
              </w:rPr>
              <w:t>Time</w:t>
            </w:r>
          </w:p>
        </w:tc>
        <w:tc>
          <w:tcPr>
            <w:tcW w:w="1418" w:type="dxa"/>
            <w:tcBorders>
              <w:bottom w:val="single" w:sz="4" w:space="0" w:color="auto"/>
            </w:tcBorders>
          </w:tcPr>
          <w:p w:rsidR="00917473" w:rsidRPr="007C290B" w:rsidRDefault="00917473" w:rsidP="00917473">
            <w:pPr>
              <w:jc w:val="center"/>
              <w:rPr>
                <w:rFonts w:ascii="Arial" w:hAnsi="Arial" w:cs="Arial"/>
                <w:color w:val="000000"/>
                <w:sz w:val="22"/>
                <w:szCs w:val="22"/>
                <w:lang w:eastAsia="zh-TW"/>
              </w:rPr>
            </w:pPr>
            <w:r w:rsidRPr="007C290B">
              <w:rPr>
                <w:rFonts w:ascii="Arial" w:hAnsi="Arial" w:cs="Arial"/>
                <w:color w:val="000000"/>
                <w:sz w:val="22"/>
                <w:szCs w:val="22"/>
                <w:lang w:eastAsia="zh-TW"/>
              </w:rPr>
              <w:t>p-value</w:t>
            </w:r>
          </w:p>
        </w:tc>
        <w:tc>
          <w:tcPr>
            <w:tcW w:w="1418" w:type="dxa"/>
            <w:tcBorders>
              <w:bottom w:val="single" w:sz="4" w:space="0" w:color="auto"/>
            </w:tcBorders>
          </w:tcPr>
          <w:p w:rsidR="00917473" w:rsidRPr="007C290B" w:rsidRDefault="00917473" w:rsidP="00917473">
            <w:pPr>
              <w:jc w:val="center"/>
              <w:rPr>
                <w:rFonts w:ascii="Arial" w:hAnsi="Arial" w:cs="Arial"/>
                <w:color w:val="000000"/>
                <w:sz w:val="22"/>
                <w:szCs w:val="22"/>
                <w:lang w:eastAsia="zh-TW"/>
              </w:rPr>
            </w:pPr>
            <w:r w:rsidRPr="007C290B">
              <w:rPr>
                <w:rFonts w:ascii="Arial" w:hAnsi="Arial" w:cs="Arial"/>
                <w:color w:val="000000"/>
                <w:sz w:val="22"/>
                <w:szCs w:val="22"/>
                <w:lang w:eastAsia="zh-TW"/>
              </w:rPr>
              <w:t>p-value</w:t>
            </w:r>
          </w:p>
        </w:tc>
      </w:tr>
      <w:tr w:rsidR="00917473" w:rsidRPr="00917473" w:rsidTr="00060EE4">
        <w:tc>
          <w:tcPr>
            <w:tcW w:w="2268" w:type="dxa"/>
            <w:tcBorders>
              <w:top w:val="single" w:sz="4" w:space="0" w:color="auto"/>
              <w:bottom w:val="nil"/>
            </w:tcBorders>
          </w:tcPr>
          <w:p w:rsidR="00917473" w:rsidRPr="007C290B" w:rsidRDefault="00917473" w:rsidP="00917473">
            <w:pPr>
              <w:jc w:val="both"/>
              <w:rPr>
                <w:rFonts w:ascii="Arial" w:hAnsi="Arial" w:cs="Arial"/>
                <w:color w:val="000000"/>
                <w:sz w:val="22"/>
                <w:szCs w:val="22"/>
                <w:lang w:eastAsia="zh-TW"/>
              </w:rPr>
            </w:pPr>
            <w:r w:rsidRPr="007C290B">
              <w:rPr>
                <w:rFonts w:ascii="Arial" w:hAnsi="Arial" w:cs="Arial"/>
                <w:color w:val="000000"/>
                <w:sz w:val="22"/>
                <w:szCs w:val="22"/>
                <w:lang w:eastAsia="zh-TW"/>
              </w:rPr>
              <w:t>0.25</w:t>
            </w:r>
          </w:p>
        </w:tc>
        <w:tc>
          <w:tcPr>
            <w:tcW w:w="1418" w:type="dxa"/>
            <w:tcBorders>
              <w:top w:val="single" w:sz="4" w:space="0" w:color="auto"/>
              <w:bottom w:val="nil"/>
            </w:tcBorders>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0.00001</w:t>
            </w:r>
          </w:p>
        </w:tc>
        <w:tc>
          <w:tcPr>
            <w:tcW w:w="1418" w:type="dxa"/>
            <w:tcBorders>
              <w:top w:val="single" w:sz="4" w:space="0" w:color="auto"/>
              <w:bottom w:val="nil"/>
            </w:tcBorders>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0.00313</w:t>
            </w:r>
          </w:p>
        </w:tc>
      </w:tr>
      <w:tr w:rsidR="00917473" w:rsidRPr="00917473" w:rsidTr="00060EE4">
        <w:tc>
          <w:tcPr>
            <w:tcW w:w="2268" w:type="dxa"/>
            <w:tcBorders>
              <w:top w:val="nil"/>
            </w:tcBorders>
          </w:tcPr>
          <w:p w:rsidR="00917473" w:rsidRPr="007C290B" w:rsidRDefault="00917473" w:rsidP="00917473">
            <w:pPr>
              <w:jc w:val="both"/>
              <w:rPr>
                <w:rFonts w:ascii="Arial" w:hAnsi="Arial" w:cs="Arial"/>
                <w:color w:val="000000"/>
                <w:sz w:val="22"/>
                <w:szCs w:val="22"/>
                <w:lang w:eastAsia="zh-TW"/>
              </w:rPr>
            </w:pPr>
            <w:r w:rsidRPr="007C290B">
              <w:rPr>
                <w:rFonts w:ascii="Arial" w:hAnsi="Arial" w:cs="Arial"/>
                <w:color w:val="000000"/>
                <w:sz w:val="22"/>
                <w:szCs w:val="22"/>
                <w:lang w:eastAsia="zh-TW"/>
              </w:rPr>
              <w:t>0.50</w:t>
            </w:r>
          </w:p>
        </w:tc>
        <w:tc>
          <w:tcPr>
            <w:tcW w:w="1418" w:type="dxa"/>
            <w:tcBorders>
              <w:top w:val="nil"/>
            </w:tcBorders>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0.00152</w:t>
            </w:r>
          </w:p>
        </w:tc>
        <w:tc>
          <w:tcPr>
            <w:tcW w:w="1418" w:type="dxa"/>
            <w:tcBorders>
              <w:top w:val="nil"/>
            </w:tcBorders>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0.00571</w:t>
            </w:r>
          </w:p>
        </w:tc>
      </w:tr>
      <w:tr w:rsidR="00917473" w:rsidRPr="00917473" w:rsidTr="00060EE4">
        <w:tc>
          <w:tcPr>
            <w:tcW w:w="2268" w:type="dxa"/>
          </w:tcPr>
          <w:p w:rsidR="00917473" w:rsidRPr="007C290B" w:rsidRDefault="00917473" w:rsidP="00917473">
            <w:pPr>
              <w:jc w:val="both"/>
              <w:rPr>
                <w:rFonts w:ascii="Arial" w:hAnsi="Arial" w:cs="Arial"/>
                <w:color w:val="000000"/>
                <w:sz w:val="22"/>
                <w:szCs w:val="22"/>
                <w:lang w:eastAsia="zh-TW"/>
              </w:rPr>
            </w:pPr>
            <w:r w:rsidRPr="007C290B">
              <w:rPr>
                <w:rFonts w:ascii="Arial" w:hAnsi="Arial" w:cs="Arial"/>
                <w:color w:val="000000"/>
                <w:sz w:val="22"/>
                <w:szCs w:val="22"/>
                <w:lang w:eastAsia="zh-TW"/>
              </w:rPr>
              <w:t>0.75</w:t>
            </w:r>
          </w:p>
        </w:tc>
        <w:tc>
          <w:tcPr>
            <w:tcW w:w="1418" w:type="dxa"/>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0.00812</w:t>
            </w:r>
          </w:p>
        </w:tc>
        <w:tc>
          <w:tcPr>
            <w:tcW w:w="1418" w:type="dxa"/>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0.00740</w:t>
            </w:r>
          </w:p>
        </w:tc>
      </w:tr>
      <w:tr w:rsidR="00917473" w:rsidRPr="00917473" w:rsidTr="00060EE4">
        <w:tc>
          <w:tcPr>
            <w:tcW w:w="2268" w:type="dxa"/>
          </w:tcPr>
          <w:p w:rsidR="00917473" w:rsidRPr="007C290B" w:rsidRDefault="00917473" w:rsidP="00917473">
            <w:pPr>
              <w:jc w:val="both"/>
              <w:rPr>
                <w:rFonts w:ascii="Arial" w:hAnsi="Arial" w:cs="Arial"/>
                <w:color w:val="000000"/>
                <w:sz w:val="22"/>
                <w:szCs w:val="22"/>
                <w:lang w:eastAsia="zh-TW"/>
              </w:rPr>
            </w:pPr>
            <w:r w:rsidRPr="007C290B">
              <w:rPr>
                <w:rFonts w:ascii="Arial" w:hAnsi="Arial" w:cs="Arial"/>
                <w:color w:val="000000"/>
                <w:sz w:val="22"/>
                <w:szCs w:val="22"/>
                <w:lang w:eastAsia="zh-TW"/>
              </w:rPr>
              <w:t>1.00 (end of the trial)</w:t>
            </w:r>
          </w:p>
        </w:tc>
        <w:tc>
          <w:tcPr>
            <w:tcW w:w="1418" w:type="dxa"/>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0.01535</w:t>
            </w:r>
          </w:p>
        </w:tc>
        <w:tc>
          <w:tcPr>
            <w:tcW w:w="1418" w:type="dxa"/>
          </w:tcPr>
          <w:p w:rsidR="00917473" w:rsidRPr="007C290B" w:rsidRDefault="00917473" w:rsidP="00917473">
            <w:pPr>
              <w:jc w:val="right"/>
              <w:rPr>
                <w:rFonts w:ascii="Arial" w:hAnsi="Arial" w:cs="Arial"/>
                <w:color w:val="000000"/>
                <w:sz w:val="22"/>
                <w:szCs w:val="22"/>
                <w:lang w:eastAsia="zh-TW"/>
              </w:rPr>
            </w:pPr>
            <w:r w:rsidRPr="007C290B">
              <w:rPr>
                <w:rFonts w:ascii="Arial" w:hAnsi="Arial" w:cs="Arial"/>
                <w:color w:val="000000"/>
                <w:sz w:val="22"/>
                <w:szCs w:val="22"/>
                <w:lang w:eastAsia="zh-TW"/>
              </w:rPr>
              <w:t>0.00876</w:t>
            </w:r>
          </w:p>
        </w:tc>
      </w:tr>
    </w:tbl>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color w:val="000000"/>
          <w:lang w:eastAsia="zh-TW"/>
        </w:rPr>
      </w:pPr>
    </w:p>
    <w:p w:rsidR="00917473" w:rsidRPr="00917473" w:rsidRDefault="00917473" w:rsidP="00917473">
      <w:pPr>
        <w:spacing w:after="0" w:line="240" w:lineRule="auto"/>
        <w:jc w:val="both"/>
        <w:rPr>
          <w:rFonts w:ascii="Arial" w:eastAsia="Times New Roman" w:hAnsi="Arial" w:cs="Arial"/>
          <w:b/>
        </w:rPr>
      </w:pPr>
      <w:r w:rsidRPr="00917473">
        <w:rPr>
          <w:rFonts w:ascii="Arial" w:eastAsia="Times New Roman" w:hAnsi="Arial" w:cs="Arial"/>
          <w:b/>
        </w:rPr>
        <w:t>References</w:t>
      </w:r>
    </w:p>
    <w:p w:rsidR="00917473" w:rsidRPr="00917473" w:rsidRDefault="00917473" w:rsidP="00917473">
      <w:pPr>
        <w:spacing w:after="0" w:line="240" w:lineRule="auto"/>
        <w:jc w:val="both"/>
        <w:rPr>
          <w:rFonts w:ascii="Arial" w:eastAsia="Times New Roman" w:hAnsi="Arial" w:cs="Arial"/>
        </w:rPr>
      </w:pPr>
      <w:r w:rsidRPr="00917473">
        <w:rPr>
          <w:rFonts w:ascii="Times New Roman" w:eastAsia="Times New Roman" w:hAnsi="Times New Roman" w:cs="Times New Roman"/>
          <w:sz w:val="24"/>
          <w:szCs w:val="24"/>
        </w:rPr>
        <w:t>1</w:t>
      </w:r>
      <w:r w:rsidRPr="00917473">
        <w:rPr>
          <w:rFonts w:ascii="Times New Roman" w:eastAsia="Times New Roman" w:hAnsi="Times New Roman" w:cs="Times New Roman"/>
          <w:sz w:val="24"/>
          <w:szCs w:val="24"/>
        </w:rPr>
        <w:tab/>
      </w:r>
      <w:hyperlink r:id="rId12" w:history="1">
        <w:r w:rsidRPr="00917473">
          <w:rPr>
            <w:rFonts w:ascii="Arial" w:eastAsia="Times New Roman" w:hAnsi="Arial" w:cs="Arial"/>
            <w:bCs/>
          </w:rPr>
          <w:t>Kay SR</w:t>
        </w:r>
      </w:hyperlink>
      <w:r w:rsidRPr="00917473">
        <w:rPr>
          <w:rFonts w:ascii="Arial" w:eastAsia="Times New Roman" w:hAnsi="Arial" w:cs="Arial"/>
        </w:rPr>
        <w:t xml:space="preserve">, </w:t>
      </w:r>
      <w:hyperlink r:id="rId13" w:history="1">
        <w:proofErr w:type="spellStart"/>
        <w:r w:rsidRPr="00917473">
          <w:rPr>
            <w:rFonts w:ascii="Arial" w:eastAsia="Times New Roman" w:hAnsi="Arial" w:cs="Arial"/>
            <w:bCs/>
          </w:rPr>
          <w:t>Fiszbein</w:t>
        </w:r>
        <w:proofErr w:type="spellEnd"/>
        <w:r w:rsidRPr="00917473">
          <w:rPr>
            <w:rFonts w:ascii="Arial" w:eastAsia="Times New Roman" w:hAnsi="Arial" w:cs="Arial"/>
            <w:bCs/>
          </w:rPr>
          <w:t xml:space="preserve"> A</w:t>
        </w:r>
      </w:hyperlink>
      <w:r w:rsidRPr="00917473">
        <w:rPr>
          <w:rFonts w:ascii="Arial" w:eastAsia="Times New Roman" w:hAnsi="Arial" w:cs="Arial"/>
        </w:rPr>
        <w:t xml:space="preserve">, </w:t>
      </w:r>
      <w:hyperlink r:id="rId14" w:history="1">
        <w:proofErr w:type="spellStart"/>
        <w:r w:rsidRPr="00917473">
          <w:rPr>
            <w:rFonts w:ascii="Arial" w:eastAsia="Times New Roman" w:hAnsi="Arial" w:cs="Arial"/>
            <w:bCs/>
          </w:rPr>
          <w:t>Opler</w:t>
        </w:r>
        <w:proofErr w:type="spellEnd"/>
        <w:r w:rsidRPr="00917473">
          <w:rPr>
            <w:rFonts w:ascii="Arial" w:eastAsia="Times New Roman" w:hAnsi="Arial" w:cs="Arial"/>
            <w:bCs/>
          </w:rPr>
          <w:t xml:space="preserve"> LA</w:t>
        </w:r>
      </w:hyperlink>
      <w:r w:rsidRPr="00917473">
        <w:rPr>
          <w:rFonts w:ascii="Arial" w:eastAsia="Times New Roman" w:hAnsi="Arial" w:cs="Arial"/>
        </w:rPr>
        <w:t xml:space="preserve"> </w:t>
      </w:r>
      <w:r w:rsidRPr="00917473">
        <w:rPr>
          <w:rFonts w:ascii="Arial" w:eastAsia="Times New Roman" w:hAnsi="Arial" w:cs="Arial"/>
          <w:bCs/>
        </w:rPr>
        <w:t>The positive and negative syndrome scale (PANSS) for schizophrenia.</w:t>
      </w:r>
      <w:r w:rsidRPr="00917473">
        <w:rPr>
          <w:rFonts w:ascii="Arial" w:eastAsia="Times New Roman" w:hAnsi="Arial" w:cs="Arial"/>
        </w:rPr>
        <w:t xml:space="preserve"> </w:t>
      </w:r>
      <w:hyperlink r:id="rId15" w:history="1">
        <w:proofErr w:type="spellStart"/>
        <w:r w:rsidRPr="00917473">
          <w:rPr>
            <w:rFonts w:ascii="Arial" w:eastAsia="Times New Roman" w:hAnsi="Arial" w:cs="Arial"/>
            <w:i/>
          </w:rPr>
          <w:t>Schiz</w:t>
        </w:r>
        <w:proofErr w:type="spellEnd"/>
        <w:r w:rsidRPr="00917473">
          <w:rPr>
            <w:rFonts w:ascii="Arial" w:eastAsia="Times New Roman" w:hAnsi="Arial" w:cs="Arial"/>
            <w:i/>
          </w:rPr>
          <w:t xml:space="preserve"> Bul</w:t>
        </w:r>
      </w:hyperlink>
      <w:r w:rsidRPr="00917473">
        <w:rPr>
          <w:rFonts w:ascii="Arial" w:eastAsia="Times New Roman" w:hAnsi="Arial" w:cs="Arial"/>
          <w:i/>
        </w:rPr>
        <w:t>l</w:t>
      </w:r>
      <w:r w:rsidRPr="00917473">
        <w:rPr>
          <w:rFonts w:ascii="Arial" w:eastAsia="Times New Roman" w:hAnsi="Arial" w:cs="Arial"/>
        </w:rPr>
        <w:t xml:space="preserve"> 1987</w:t>
      </w:r>
      <w:proofErr w:type="gramStart"/>
      <w:r w:rsidRPr="00917473">
        <w:rPr>
          <w:rFonts w:ascii="Arial" w:eastAsia="Times New Roman" w:hAnsi="Arial" w:cs="Arial"/>
        </w:rPr>
        <w:t>;13:261</w:t>
      </w:r>
      <w:proofErr w:type="gramEnd"/>
      <w:r w:rsidRPr="00917473">
        <w:rPr>
          <w:rFonts w:ascii="Arial" w:eastAsia="Times New Roman" w:hAnsi="Arial" w:cs="Arial"/>
        </w:rPr>
        <w:t>-276.</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2</w:t>
      </w:r>
      <w:r w:rsidRPr="00917473">
        <w:rPr>
          <w:rFonts w:ascii="Arial" w:eastAsia="Times New Roman" w:hAnsi="Arial" w:cs="Arial"/>
        </w:rPr>
        <w:tab/>
        <w:t xml:space="preserve">Guy W </w:t>
      </w:r>
      <w:r w:rsidRPr="00917473">
        <w:rPr>
          <w:rFonts w:ascii="Arial" w:eastAsia="Times New Roman" w:hAnsi="Arial" w:cs="Arial"/>
          <w:i/>
          <w:iCs/>
        </w:rPr>
        <w:t>ECDEU Assessment Manual for Psychopharmacology</w:t>
      </w:r>
      <w:r w:rsidRPr="00917473">
        <w:rPr>
          <w:rFonts w:ascii="Arial" w:eastAsia="Times New Roman" w:hAnsi="Arial" w:cs="Arial"/>
        </w:rPr>
        <w:t>. Rockville, MD: U.S. Department of Health, Education, and Welfare; 1976</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autoSpaceDE w:val="0"/>
        <w:autoSpaceDN w:val="0"/>
        <w:adjustRightInd w:val="0"/>
        <w:spacing w:after="0" w:line="240" w:lineRule="auto"/>
        <w:jc w:val="both"/>
        <w:rPr>
          <w:rFonts w:ascii="Arial" w:eastAsia="Times New Roman" w:hAnsi="Arial" w:cs="Arial"/>
        </w:rPr>
      </w:pPr>
      <w:r w:rsidRPr="00917473">
        <w:rPr>
          <w:rFonts w:ascii="Arial" w:eastAsia="Times New Roman" w:hAnsi="Arial" w:cs="Arial"/>
        </w:rPr>
        <w:t>3</w:t>
      </w:r>
      <w:r w:rsidRPr="00917473">
        <w:rPr>
          <w:rFonts w:ascii="Arial" w:eastAsia="Times New Roman" w:hAnsi="Arial" w:cs="Arial"/>
        </w:rPr>
        <w:tab/>
        <w:t xml:space="preserve">Goldman HH, </w:t>
      </w:r>
      <w:proofErr w:type="spellStart"/>
      <w:r w:rsidRPr="00917473">
        <w:rPr>
          <w:rFonts w:ascii="Arial" w:eastAsia="Times New Roman" w:hAnsi="Arial" w:cs="Arial"/>
        </w:rPr>
        <w:t>Skodol</w:t>
      </w:r>
      <w:proofErr w:type="spellEnd"/>
      <w:r w:rsidRPr="00917473">
        <w:rPr>
          <w:rFonts w:ascii="Arial" w:eastAsia="Times New Roman" w:hAnsi="Arial" w:cs="Arial"/>
        </w:rPr>
        <w:t xml:space="preserve"> AE, Lave TR Revising Axis V for DSM-IV: A Review of Measures of Social Functioning </w:t>
      </w:r>
      <w:r w:rsidRPr="00917473">
        <w:rPr>
          <w:rFonts w:ascii="Arial" w:eastAsia="Times New Roman" w:hAnsi="Arial" w:cs="Arial"/>
          <w:i/>
        </w:rPr>
        <w:t xml:space="preserve">Am J </w:t>
      </w:r>
      <w:proofErr w:type="spellStart"/>
      <w:r w:rsidRPr="00917473">
        <w:rPr>
          <w:rFonts w:ascii="Arial" w:eastAsia="Times New Roman" w:hAnsi="Arial" w:cs="Arial"/>
          <w:i/>
        </w:rPr>
        <w:t>Psychiat</w:t>
      </w:r>
      <w:proofErr w:type="spellEnd"/>
      <w:r w:rsidRPr="00917473">
        <w:rPr>
          <w:rFonts w:ascii="Arial" w:eastAsia="Times New Roman" w:hAnsi="Arial" w:cs="Arial"/>
          <w:i/>
          <w:iCs/>
        </w:rPr>
        <w:t xml:space="preserve"> 1992</w:t>
      </w:r>
      <w:proofErr w:type="gramStart"/>
      <w:r w:rsidRPr="00917473">
        <w:rPr>
          <w:rFonts w:ascii="Arial" w:eastAsia="Times New Roman" w:hAnsi="Arial" w:cs="Arial"/>
          <w:i/>
          <w:iCs/>
        </w:rPr>
        <w:t>;</w:t>
      </w:r>
      <w:r w:rsidRPr="00917473">
        <w:rPr>
          <w:rFonts w:ascii="Arial" w:eastAsia="Times New Roman" w:hAnsi="Arial" w:cs="Arial"/>
        </w:rPr>
        <w:t>149:1148</w:t>
      </w:r>
      <w:proofErr w:type="gramEnd"/>
      <w:r w:rsidRPr="00917473">
        <w:rPr>
          <w:rFonts w:ascii="Arial" w:eastAsia="Times New Roman" w:hAnsi="Arial" w:cs="Arial"/>
        </w:rPr>
        <w:t>–1156</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4</w:t>
      </w:r>
      <w:r w:rsidRPr="00917473">
        <w:rPr>
          <w:rFonts w:ascii="Arial" w:eastAsia="Times New Roman" w:hAnsi="Arial" w:cs="Arial"/>
        </w:rPr>
        <w:tab/>
        <w:t xml:space="preserve">MRC Social, Genetic and Developmental Psychiatry Centre OPCRIT homepage </w:t>
      </w:r>
      <w:r w:rsidRPr="006E7365">
        <w:rPr>
          <w:rFonts w:ascii="Arial" w:eastAsia="Times New Roman" w:hAnsi="Arial" w:cs="Arial"/>
          <w:u w:val="single"/>
        </w:rPr>
        <w:t>http://sgdp.iop.kcl.ac.uk/opcrit/</w:t>
      </w:r>
      <w:r w:rsidRPr="00917473">
        <w:rPr>
          <w:rFonts w:ascii="Arial" w:eastAsia="Times New Roman" w:hAnsi="Arial" w:cs="Arial"/>
        </w:rPr>
        <w:t xml:space="preserve"> accessed March 2012</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5</w:t>
      </w:r>
      <w:r w:rsidRPr="00917473">
        <w:rPr>
          <w:rFonts w:ascii="Arial" w:eastAsia="Times New Roman" w:hAnsi="Arial" w:cs="Arial"/>
        </w:rPr>
        <w:tab/>
      </w:r>
      <w:proofErr w:type="spellStart"/>
      <w:r w:rsidRPr="00917473">
        <w:rPr>
          <w:rFonts w:ascii="Arial" w:eastAsia="Times New Roman" w:hAnsi="Arial" w:cs="Arial"/>
        </w:rPr>
        <w:t>Ohlsen</w:t>
      </w:r>
      <w:proofErr w:type="spellEnd"/>
      <w:r w:rsidRPr="00917473">
        <w:rPr>
          <w:rFonts w:ascii="Arial" w:eastAsia="Times New Roman" w:hAnsi="Arial" w:cs="Arial"/>
        </w:rPr>
        <w:t xml:space="preserve"> RI, Williamson RJ, </w:t>
      </w:r>
      <w:proofErr w:type="spellStart"/>
      <w:r w:rsidRPr="00917473">
        <w:rPr>
          <w:rFonts w:ascii="Arial" w:eastAsia="Times New Roman" w:hAnsi="Arial" w:cs="Arial"/>
        </w:rPr>
        <w:t>Yusufi</w:t>
      </w:r>
      <w:proofErr w:type="spellEnd"/>
      <w:r w:rsidRPr="00917473">
        <w:rPr>
          <w:rFonts w:ascii="Arial" w:eastAsia="Times New Roman" w:hAnsi="Arial" w:cs="Arial"/>
        </w:rPr>
        <w:t xml:space="preserve"> B, </w:t>
      </w:r>
      <w:proofErr w:type="spellStart"/>
      <w:r w:rsidRPr="00917473">
        <w:rPr>
          <w:rFonts w:ascii="Arial" w:eastAsia="Times New Roman" w:hAnsi="Arial" w:cs="Arial"/>
        </w:rPr>
        <w:t>Mullan</w:t>
      </w:r>
      <w:proofErr w:type="spellEnd"/>
      <w:r w:rsidRPr="00917473">
        <w:rPr>
          <w:rFonts w:ascii="Arial" w:eastAsia="Times New Roman" w:hAnsi="Arial" w:cs="Arial"/>
        </w:rPr>
        <w:t xml:space="preserve"> J, Irving D, Mukherjee S, Page E, Aitchison KJ Barnes TRE </w:t>
      </w:r>
      <w:proofErr w:type="spellStart"/>
      <w:r w:rsidRPr="00917473">
        <w:rPr>
          <w:rFonts w:ascii="Arial" w:eastAsia="Times New Roman" w:hAnsi="Arial" w:cs="Arial"/>
        </w:rPr>
        <w:t>Interrater</w:t>
      </w:r>
      <w:proofErr w:type="spellEnd"/>
      <w:r w:rsidRPr="00917473">
        <w:rPr>
          <w:rFonts w:ascii="Arial" w:eastAsia="Times New Roman" w:hAnsi="Arial" w:cs="Arial"/>
        </w:rPr>
        <w:t xml:space="preserve"> reliability of the Antipsychotic Non-Neurological Side-Effects Rating Scale (ANNSERS). </w:t>
      </w:r>
      <w:r w:rsidRPr="00917473">
        <w:rPr>
          <w:rFonts w:ascii="Arial" w:eastAsia="Times New Roman" w:hAnsi="Arial" w:cs="Arial"/>
          <w:i/>
        </w:rPr>
        <w:t xml:space="preserve">J </w:t>
      </w:r>
      <w:proofErr w:type="spellStart"/>
      <w:r w:rsidRPr="00917473">
        <w:rPr>
          <w:rFonts w:ascii="Arial" w:eastAsia="Times New Roman" w:hAnsi="Arial" w:cs="Arial"/>
          <w:i/>
        </w:rPr>
        <w:t>Psychopharmacol</w:t>
      </w:r>
      <w:proofErr w:type="spellEnd"/>
      <w:r w:rsidRPr="00917473">
        <w:rPr>
          <w:rFonts w:ascii="Arial" w:eastAsia="Times New Roman" w:hAnsi="Arial" w:cs="Arial"/>
        </w:rPr>
        <w:t xml:space="preserve"> 2008</w:t>
      </w:r>
      <w:proofErr w:type="gramStart"/>
      <w:r w:rsidRPr="00917473">
        <w:rPr>
          <w:rFonts w:ascii="Arial" w:eastAsia="Times New Roman" w:hAnsi="Arial" w:cs="Arial"/>
        </w:rPr>
        <w:t>;22:323</w:t>
      </w:r>
      <w:proofErr w:type="gramEnd"/>
      <w:r w:rsidRPr="00917473">
        <w:rPr>
          <w:rFonts w:ascii="Arial" w:eastAsia="Times New Roman" w:hAnsi="Arial" w:cs="Arial"/>
        </w:rPr>
        <w:t>-329.</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bCs/>
        </w:rPr>
        <w:t>6</w:t>
      </w:r>
      <w:r w:rsidRPr="00917473">
        <w:rPr>
          <w:rFonts w:ascii="Arial" w:eastAsia="Times New Roman" w:hAnsi="Arial" w:cs="Arial"/>
          <w:bCs/>
        </w:rPr>
        <w:tab/>
      </w:r>
      <w:proofErr w:type="spellStart"/>
      <w:r w:rsidRPr="00917473">
        <w:rPr>
          <w:rFonts w:ascii="Arial" w:eastAsia="Times New Roman" w:hAnsi="Arial" w:cs="Arial"/>
          <w:bCs/>
        </w:rPr>
        <w:t>Tait</w:t>
      </w:r>
      <w:proofErr w:type="spellEnd"/>
      <w:r w:rsidRPr="00917473">
        <w:rPr>
          <w:rFonts w:ascii="Arial" w:eastAsia="Times New Roman" w:hAnsi="Arial" w:cs="Arial"/>
          <w:bCs/>
        </w:rPr>
        <w:t xml:space="preserve"> L, Birchwood M, </w:t>
      </w:r>
      <w:proofErr w:type="spellStart"/>
      <w:r w:rsidRPr="00917473">
        <w:rPr>
          <w:rFonts w:ascii="Arial" w:eastAsia="Times New Roman" w:hAnsi="Arial" w:cs="Arial"/>
          <w:bCs/>
        </w:rPr>
        <w:t>Trower</w:t>
      </w:r>
      <w:proofErr w:type="spellEnd"/>
      <w:r w:rsidRPr="00917473">
        <w:rPr>
          <w:rFonts w:ascii="Arial" w:eastAsia="Times New Roman" w:hAnsi="Arial" w:cs="Arial"/>
          <w:bCs/>
        </w:rPr>
        <w:t xml:space="preserve"> P</w:t>
      </w:r>
      <w:r w:rsidRPr="00917473">
        <w:rPr>
          <w:rFonts w:ascii="Arial" w:eastAsia="Times New Roman" w:hAnsi="Arial" w:cs="Arial"/>
        </w:rPr>
        <w:t xml:space="preserve"> A new scale (SES) to measure engagement with community mental health services. </w:t>
      </w:r>
      <w:r w:rsidRPr="00917473">
        <w:rPr>
          <w:rFonts w:ascii="Arial" w:eastAsia="Times New Roman" w:hAnsi="Arial" w:cs="Arial"/>
          <w:i/>
          <w:iCs/>
          <w:lang w:val="da-DK"/>
        </w:rPr>
        <w:t xml:space="preserve">J Mental Health </w:t>
      </w:r>
      <w:r w:rsidRPr="00917473">
        <w:rPr>
          <w:rFonts w:ascii="Arial" w:eastAsia="Times New Roman" w:hAnsi="Arial" w:cs="Arial"/>
          <w:iCs/>
          <w:lang w:val="da-DK"/>
        </w:rPr>
        <w:t>2002;</w:t>
      </w:r>
      <w:r w:rsidRPr="00917473">
        <w:rPr>
          <w:rFonts w:ascii="Arial" w:eastAsia="Times New Roman" w:hAnsi="Arial" w:cs="Arial"/>
          <w:bCs/>
          <w:lang w:val="da-DK"/>
        </w:rPr>
        <w:t>11:</w:t>
      </w:r>
      <w:r w:rsidRPr="00917473">
        <w:rPr>
          <w:rFonts w:ascii="Arial" w:eastAsia="Times New Roman" w:hAnsi="Arial" w:cs="Arial"/>
          <w:lang w:val="da-DK"/>
        </w:rPr>
        <w:t>191-198.</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autoSpaceDE w:val="0"/>
        <w:autoSpaceDN w:val="0"/>
        <w:adjustRightInd w:val="0"/>
        <w:spacing w:after="0" w:line="240" w:lineRule="auto"/>
        <w:rPr>
          <w:rFonts w:ascii="Arial" w:eastAsia="Times New Roman" w:hAnsi="Arial" w:cs="Arial"/>
        </w:rPr>
      </w:pPr>
      <w:r w:rsidRPr="00917473">
        <w:rPr>
          <w:rFonts w:ascii="Arial" w:eastAsia="Times New Roman" w:hAnsi="Arial" w:cs="Arial"/>
        </w:rPr>
        <w:t>7</w:t>
      </w:r>
      <w:r w:rsidRPr="00917473">
        <w:rPr>
          <w:rFonts w:ascii="Arial" w:eastAsia="Times New Roman" w:hAnsi="Arial" w:cs="Arial"/>
        </w:rPr>
        <w:tab/>
        <w:t xml:space="preserve">David AS Insight and psychosis. </w:t>
      </w:r>
      <w:r w:rsidRPr="00917473">
        <w:rPr>
          <w:rFonts w:ascii="Arial" w:eastAsia="Times New Roman" w:hAnsi="Arial" w:cs="Arial"/>
          <w:i/>
        </w:rPr>
        <w:t xml:space="preserve">Br J </w:t>
      </w:r>
      <w:proofErr w:type="spellStart"/>
      <w:r w:rsidRPr="00917473">
        <w:rPr>
          <w:rFonts w:ascii="Arial" w:eastAsia="Times New Roman" w:hAnsi="Arial" w:cs="Arial"/>
          <w:i/>
        </w:rPr>
        <w:t>Psychiatr</w:t>
      </w:r>
      <w:proofErr w:type="spellEnd"/>
      <w:r w:rsidRPr="00917473">
        <w:rPr>
          <w:rFonts w:ascii="Arial" w:eastAsia="Times New Roman" w:hAnsi="Arial" w:cs="Arial"/>
        </w:rPr>
        <w:t xml:space="preserve"> 1990</w:t>
      </w:r>
      <w:proofErr w:type="gramStart"/>
      <w:r w:rsidRPr="00917473">
        <w:rPr>
          <w:rFonts w:ascii="Arial" w:eastAsia="Times New Roman" w:hAnsi="Arial" w:cs="Arial"/>
        </w:rPr>
        <w:t>;156:798</w:t>
      </w:r>
      <w:proofErr w:type="gramEnd"/>
      <w:r w:rsidRPr="00917473">
        <w:rPr>
          <w:rFonts w:ascii="Arial" w:eastAsia="Times New Roman" w:hAnsi="Arial" w:cs="Arial"/>
        </w:rPr>
        <w:t>–808.</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Calibri" w:hAnsi="Arial" w:cs="Arial"/>
          <w:lang w:eastAsia="en-US"/>
        </w:rPr>
      </w:pPr>
      <w:r w:rsidRPr="00917473">
        <w:rPr>
          <w:rFonts w:ascii="Arial" w:eastAsia="Calibri" w:hAnsi="Arial" w:cs="Arial"/>
          <w:lang w:eastAsia="en-US"/>
        </w:rPr>
        <w:t>8</w:t>
      </w:r>
      <w:r w:rsidRPr="00917473">
        <w:rPr>
          <w:rFonts w:ascii="Arial" w:eastAsia="Calibri" w:hAnsi="Arial" w:cs="Arial"/>
          <w:lang w:eastAsia="en-US"/>
        </w:rPr>
        <w:tab/>
      </w:r>
      <w:proofErr w:type="spellStart"/>
      <w:r w:rsidRPr="00917473">
        <w:rPr>
          <w:rFonts w:ascii="Arial" w:eastAsia="Calibri" w:hAnsi="Arial" w:cs="Arial"/>
          <w:lang w:eastAsia="en-US"/>
        </w:rPr>
        <w:t>Saravanan</w:t>
      </w:r>
      <w:proofErr w:type="spellEnd"/>
      <w:r w:rsidRPr="00917473">
        <w:rPr>
          <w:rFonts w:ascii="Arial" w:eastAsia="Calibri" w:hAnsi="Arial" w:cs="Arial"/>
          <w:lang w:eastAsia="en-US"/>
        </w:rPr>
        <w:t xml:space="preserve"> B, Jacob KS, Johnson S, Prince M, </w:t>
      </w:r>
      <w:proofErr w:type="spellStart"/>
      <w:r w:rsidRPr="00917473">
        <w:rPr>
          <w:rFonts w:ascii="Arial" w:eastAsia="Calibri" w:hAnsi="Arial" w:cs="Arial"/>
          <w:lang w:eastAsia="en-US"/>
        </w:rPr>
        <w:t>Bhugra</w:t>
      </w:r>
      <w:proofErr w:type="spellEnd"/>
      <w:r w:rsidRPr="00917473">
        <w:rPr>
          <w:rFonts w:ascii="Arial" w:eastAsia="Calibri" w:hAnsi="Arial" w:cs="Arial"/>
          <w:lang w:eastAsia="en-US"/>
        </w:rPr>
        <w:t xml:space="preserve"> D, David AS Outcome of first-episode schizophrenia in India: longitudinal study of effect of insight and psychopathology. </w:t>
      </w:r>
      <w:r w:rsidRPr="00917473">
        <w:rPr>
          <w:rFonts w:ascii="Arial" w:eastAsia="Calibri" w:hAnsi="Arial" w:cs="Arial"/>
          <w:i/>
          <w:lang w:eastAsia="en-US"/>
        </w:rPr>
        <w:t>Br J Psychiatry</w:t>
      </w:r>
      <w:r w:rsidRPr="00917473">
        <w:rPr>
          <w:rFonts w:ascii="Arial" w:eastAsia="Calibri" w:hAnsi="Arial" w:cs="Arial"/>
          <w:lang w:eastAsia="en-US"/>
        </w:rPr>
        <w:t xml:space="preserve"> 2010</w:t>
      </w:r>
      <w:proofErr w:type="gramStart"/>
      <w:r w:rsidRPr="00917473">
        <w:rPr>
          <w:rFonts w:ascii="Arial" w:eastAsia="Calibri" w:hAnsi="Arial" w:cs="Arial"/>
          <w:lang w:eastAsia="en-US"/>
        </w:rPr>
        <w:t>;196</w:t>
      </w:r>
      <w:proofErr w:type="gramEnd"/>
      <w:r w:rsidRPr="00917473">
        <w:rPr>
          <w:rFonts w:ascii="Arial" w:eastAsia="Calibri" w:hAnsi="Arial" w:cs="Arial"/>
          <w:lang w:eastAsia="en-US"/>
        </w:rPr>
        <w:t>(6):454-459.</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SimSun" w:hAnsi="Arial" w:cs="Arial"/>
          <w:lang w:val="de-DE" w:eastAsia="zh-CN"/>
        </w:rPr>
      </w:pPr>
      <w:r w:rsidRPr="00917473">
        <w:rPr>
          <w:rFonts w:ascii="Arial" w:eastAsia="SimSun" w:hAnsi="Arial" w:cs="Arial"/>
          <w:lang w:val="da-DK" w:eastAsia="zh-CN"/>
        </w:rPr>
        <w:t>9</w:t>
      </w:r>
      <w:r w:rsidRPr="00917473">
        <w:rPr>
          <w:rFonts w:ascii="Arial" w:eastAsia="SimSun" w:hAnsi="Arial" w:cs="Arial"/>
          <w:lang w:val="da-DK" w:eastAsia="zh-CN"/>
        </w:rPr>
        <w:tab/>
        <w:t xml:space="preserve">Barnes TRE </w:t>
      </w:r>
      <w:r w:rsidRPr="00917473">
        <w:rPr>
          <w:rFonts w:ascii="Arial" w:eastAsia="SimSun" w:hAnsi="Arial" w:cs="Arial"/>
          <w:lang w:eastAsia="zh-CN"/>
        </w:rPr>
        <w:t xml:space="preserve">A rating scale for drug-induced </w:t>
      </w:r>
      <w:proofErr w:type="spellStart"/>
      <w:r w:rsidRPr="00917473">
        <w:rPr>
          <w:rFonts w:ascii="Arial" w:eastAsia="SimSun" w:hAnsi="Arial" w:cs="Arial"/>
          <w:lang w:eastAsia="zh-CN"/>
        </w:rPr>
        <w:t>akathisia</w:t>
      </w:r>
      <w:proofErr w:type="spellEnd"/>
      <w:r w:rsidRPr="00917473">
        <w:rPr>
          <w:rFonts w:ascii="Arial" w:eastAsia="SimSun" w:hAnsi="Arial" w:cs="Arial"/>
          <w:i/>
          <w:iCs/>
          <w:lang w:eastAsia="zh-CN"/>
        </w:rPr>
        <w:t xml:space="preserve">. </w:t>
      </w:r>
      <w:r w:rsidRPr="00917473">
        <w:rPr>
          <w:rFonts w:ascii="Arial" w:eastAsia="SimSun" w:hAnsi="Arial" w:cs="Arial"/>
          <w:i/>
          <w:iCs/>
          <w:lang w:val="de-DE" w:eastAsia="zh-CN"/>
        </w:rPr>
        <w:t xml:space="preserve">Br J Psychiatry </w:t>
      </w:r>
      <w:r w:rsidRPr="00917473">
        <w:rPr>
          <w:rFonts w:ascii="Arial" w:eastAsia="SimSun" w:hAnsi="Arial" w:cs="Arial"/>
          <w:lang w:val="de-DE" w:eastAsia="zh-CN"/>
        </w:rPr>
        <w:t>1989;</w:t>
      </w:r>
      <w:r w:rsidRPr="00917473">
        <w:rPr>
          <w:rFonts w:ascii="Arial" w:eastAsia="SimSun" w:hAnsi="Arial" w:cs="Arial"/>
          <w:bCs/>
          <w:lang w:val="de-DE" w:eastAsia="zh-CN"/>
        </w:rPr>
        <w:t>154</w:t>
      </w:r>
      <w:r w:rsidRPr="00917473">
        <w:rPr>
          <w:rFonts w:ascii="Arial" w:eastAsia="SimSun" w:hAnsi="Arial" w:cs="Arial"/>
          <w:lang w:val="de-DE" w:eastAsia="zh-CN"/>
        </w:rPr>
        <w:t>:672–676.</w:t>
      </w:r>
    </w:p>
    <w:p w:rsidR="00917473" w:rsidRPr="00917473" w:rsidRDefault="00917473" w:rsidP="00917473">
      <w:pPr>
        <w:autoSpaceDE w:val="0"/>
        <w:autoSpaceDN w:val="0"/>
        <w:adjustRightInd w:val="0"/>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Calibri" w:hAnsi="Arial" w:cs="Arial"/>
          <w:lang w:eastAsia="en-US"/>
        </w:rPr>
      </w:pPr>
      <w:r w:rsidRPr="00917473">
        <w:rPr>
          <w:rFonts w:ascii="Arial" w:eastAsia="Calibri" w:hAnsi="Arial" w:cs="Arial"/>
          <w:lang w:eastAsia="en-US"/>
        </w:rPr>
        <w:t>10</w:t>
      </w:r>
      <w:r w:rsidRPr="00917473">
        <w:rPr>
          <w:rFonts w:ascii="Arial" w:eastAsia="Calibri" w:hAnsi="Arial" w:cs="Arial"/>
          <w:lang w:eastAsia="en-US"/>
        </w:rPr>
        <w:tab/>
        <w:t xml:space="preserve">Barnes TRE The Barnes </w:t>
      </w:r>
      <w:proofErr w:type="spellStart"/>
      <w:r w:rsidRPr="00917473">
        <w:rPr>
          <w:rFonts w:ascii="Arial" w:eastAsia="Calibri" w:hAnsi="Arial" w:cs="Arial"/>
          <w:lang w:eastAsia="en-US"/>
        </w:rPr>
        <w:t>Akathisia</w:t>
      </w:r>
      <w:proofErr w:type="spellEnd"/>
      <w:r w:rsidRPr="00917473">
        <w:rPr>
          <w:rFonts w:ascii="Arial" w:eastAsia="Calibri" w:hAnsi="Arial" w:cs="Arial"/>
          <w:lang w:eastAsia="en-US"/>
        </w:rPr>
        <w:t xml:space="preserve"> Rating Scale – revisited. </w:t>
      </w:r>
      <w:r w:rsidRPr="00917473">
        <w:rPr>
          <w:rFonts w:ascii="Arial" w:eastAsia="Calibri" w:hAnsi="Arial" w:cs="Arial"/>
          <w:i/>
          <w:lang w:eastAsia="en-US"/>
        </w:rPr>
        <w:t xml:space="preserve">J </w:t>
      </w:r>
      <w:proofErr w:type="spellStart"/>
      <w:r w:rsidRPr="00917473">
        <w:rPr>
          <w:rFonts w:ascii="Arial" w:eastAsia="Calibri" w:hAnsi="Arial" w:cs="Arial"/>
          <w:i/>
          <w:lang w:eastAsia="en-US"/>
        </w:rPr>
        <w:t>Psychopharmacol</w:t>
      </w:r>
      <w:proofErr w:type="spellEnd"/>
      <w:r w:rsidRPr="00917473">
        <w:rPr>
          <w:rFonts w:ascii="Arial" w:eastAsia="Calibri" w:hAnsi="Arial" w:cs="Arial"/>
          <w:lang w:eastAsia="en-US"/>
        </w:rPr>
        <w:t xml:space="preserve"> 2003</w:t>
      </w:r>
      <w:proofErr w:type="gramStart"/>
      <w:r w:rsidRPr="00917473">
        <w:rPr>
          <w:rFonts w:ascii="Arial" w:eastAsia="Calibri" w:hAnsi="Arial" w:cs="Arial"/>
          <w:lang w:eastAsia="en-US"/>
        </w:rPr>
        <w:t>;17:355</w:t>
      </w:r>
      <w:proofErr w:type="gramEnd"/>
      <w:r w:rsidRPr="00917473">
        <w:rPr>
          <w:rFonts w:ascii="Arial" w:eastAsia="Calibri" w:hAnsi="Arial" w:cs="Arial"/>
          <w:lang w:eastAsia="en-US"/>
        </w:rPr>
        <w:t>-360.</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SimSun" w:hAnsi="Arial" w:cs="Arial"/>
          <w:lang w:eastAsia="zh-CN"/>
        </w:rPr>
      </w:pPr>
      <w:r w:rsidRPr="00917473">
        <w:rPr>
          <w:rFonts w:ascii="Arial" w:eastAsia="SimSun" w:hAnsi="Arial" w:cs="Arial"/>
          <w:lang w:eastAsia="zh-CN"/>
        </w:rPr>
        <w:t>11</w:t>
      </w:r>
      <w:r w:rsidRPr="00917473">
        <w:rPr>
          <w:rFonts w:ascii="Arial" w:eastAsia="SimSun" w:hAnsi="Arial" w:cs="Arial"/>
          <w:lang w:eastAsia="zh-CN"/>
        </w:rPr>
        <w:tab/>
        <w:t xml:space="preserve">Simpson GM, Angus JWS A rating scale for extrapyramidal side-effects. </w:t>
      </w:r>
      <w:proofErr w:type="spellStart"/>
      <w:r w:rsidRPr="00917473">
        <w:rPr>
          <w:rFonts w:ascii="Arial" w:eastAsia="SimSun" w:hAnsi="Arial" w:cs="Arial"/>
          <w:i/>
          <w:iCs/>
          <w:lang w:eastAsia="zh-CN"/>
        </w:rPr>
        <w:t>Acta</w:t>
      </w:r>
      <w:proofErr w:type="spellEnd"/>
      <w:r w:rsidRPr="00917473">
        <w:rPr>
          <w:rFonts w:ascii="Arial" w:eastAsia="SimSun" w:hAnsi="Arial" w:cs="Arial"/>
          <w:i/>
          <w:iCs/>
          <w:lang w:eastAsia="zh-CN"/>
        </w:rPr>
        <w:t xml:space="preserve"> </w:t>
      </w:r>
      <w:proofErr w:type="spellStart"/>
      <w:r w:rsidRPr="00917473">
        <w:rPr>
          <w:rFonts w:ascii="Arial" w:eastAsia="SimSun" w:hAnsi="Arial" w:cs="Arial"/>
          <w:i/>
          <w:iCs/>
          <w:lang w:eastAsia="zh-CN"/>
        </w:rPr>
        <w:t>Psychiatrica</w:t>
      </w:r>
      <w:proofErr w:type="spellEnd"/>
      <w:r w:rsidRPr="00917473">
        <w:rPr>
          <w:rFonts w:ascii="Arial" w:eastAsia="SimSun" w:hAnsi="Arial" w:cs="Arial"/>
          <w:i/>
          <w:iCs/>
          <w:lang w:eastAsia="zh-CN"/>
        </w:rPr>
        <w:t xml:space="preserve"> </w:t>
      </w:r>
      <w:proofErr w:type="spellStart"/>
      <w:r w:rsidRPr="00917473">
        <w:rPr>
          <w:rFonts w:ascii="Arial" w:eastAsia="SimSun" w:hAnsi="Arial" w:cs="Arial"/>
          <w:i/>
          <w:iCs/>
          <w:lang w:eastAsia="zh-CN"/>
        </w:rPr>
        <w:t>Scand</w:t>
      </w:r>
      <w:proofErr w:type="spellEnd"/>
      <w:r w:rsidRPr="00917473">
        <w:rPr>
          <w:rFonts w:ascii="Arial" w:eastAsia="SimSun" w:hAnsi="Arial" w:cs="Arial"/>
          <w:i/>
          <w:iCs/>
          <w:lang w:eastAsia="zh-CN"/>
        </w:rPr>
        <w:t xml:space="preserve"> </w:t>
      </w:r>
      <w:r w:rsidRPr="00917473">
        <w:rPr>
          <w:rFonts w:ascii="Arial" w:eastAsia="SimSun" w:hAnsi="Arial" w:cs="Arial"/>
          <w:iCs/>
          <w:lang w:eastAsia="zh-CN"/>
        </w:rPr>
        <w:t>1</w:t>
      </w:r>
      <w:r w:rsidRPr="00917473">
        <w:rPr>
          <w:rFonts w:ascii="Arial" w:eastAsia="SimSun" w:hAnsi="Arial" w:cs="Arial"/>
          <w:lang w:eastAsia="zh-CN"/>
        </w:rPr>
        <w:t>970</w:t>
      </w:r>
      <w:proofErr w:type="gramStart"/>
      <w:r w:rsidRPr="00917473">
        <w:rPr>
          <w:rFonts w:ascii="Arial" w:eastAsia="SimSun" w:hAnsi="Arial" w:cs="Arial"/>
          <w:lang w:eastAsia="zh-CN"/>
        </w:rPr>
        <w:t>;</w:t>
      </w:r>
      <w:r w:rsidRPr="00917473">
        <w:rPr>
          <w:rFonts w:ascii="Arial" w:eastAsia="SimSun" w:hAnsi="Arial" w:cs="Arial"/>
          <w:bCs/>
          <w:lang w:eastAsia="zh-CN"/>
        </w:rPr>
        <w:t>212</w:t>
      </w:r>
      <w:proofErr w:type="gramEnd"/>
      <w:r w:rsidRPr="00917473">
        <w:rPr>
          <w:rFonts w:ascii="Arial" w:eastAsia="SimSun" w:hAnsi="Arial" w:cs="Arial"/>
          <w:lang w:eastAsia="zh-CN"/>
        </w:rPr>
        <w:t xml:space="preserve"> suppl. 44:11–19.</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hd w:val="clear" w:color="auto" w:fill="FBFBFB"/>
        <w:spacing w:after="0" w:line="240" w:lineRule="auto"/>
        <w:jc w:val="both"/>
        <w:rPr>
          <w:rFonts w:ascii="Arial" w:eastAsia="Times New Roman" w:hAnsi="Arial" w:cs="Arial"/>
        </w:rPr>
      </w:pPr>
      <w:r w:rsidRPr="00917473">
        <w:rPr>
          <w:rFonts w:ascii="Arial" w:eastAsia="Times New Roman" w:hAnsi="Arial" w:cs="Arial"/>
          <w:lang w:val="da-DK"/>
        </w:rPr>
        <w:t>12</w:t>
      </w:r>
      <w:r w:rsidRPr="00917473">
        <w:rPr>
          <w:rFonts w:ascii="Arial" w:eastAsia="Times New Roman" w:hAnsi="Arial" w:cs="Arial"/>
          <w:lang w:val="da-DK"/>
        </w:rPr>
        <w:tab/>
        <w:t xml:space="preserve">Janno S, Holi MM, Tuisku K, </w:t>
      </w:r>
      <w:proofErr w:type="spellStart"/>
      <w:r w:rsidRPr="007C290B">
        <w:rPr>
          <w:rFonts w:ascii="Arial" w:eastAsia="Times New Roman" w:hAnsi="Arial" w:cs="Arial"/>
          <w:bCs/>
        </w:rPr>
        <w:t>Wahlbeck</w:t>
      </w:r>
      <w:proofErr w:type="spellEnd"/>
      <w:r w:rsidRPr="007C290B">
        <w:rPr>
          <w:rFonts w:ascii="Arial" w:eastAsia="Times New Roman" w:hAnsi="Arial" w:cs="Arial"/>
          <w:bCs/>
        </w:rPr>
        <w:t xml:space="preserve"> K</w:t>
      </w:r>
      <w:r w:rsidRPr="00917473">
        <w:rPr>
          <w:rFonts w:ascii="Arial" w:eastAsia="Times New Roman" w:hAnsi="Arial" w:cs="Arial"/>
          <w:lang w:val="da-DK"/>
        </w:rPr>
        <w:t xml:space="preserve"> </w:t>
      </w:r>
      <w:r w:rsidRPr="00917473">
        <w:rPr>
          <w:rFonts w:ascii="Arial" w:eastAsia="Times New Roman" w:hAnsi="Arial" w:cs="Arial"/>
        </w:rPr>
        <w:t xml:space="preserve">Validity of Simpson-Angus Scale (SAS) in a naturalistic schizophrenia population. </w:t>
      </w:r>
      <w:r w:rsidRPr="00917473">
        <w:rPr>
          <w:rFonts w:ascii="Arial" w:eastAsia="Times New Roman" w:hAnsi="Arial" w:cs="Arial"/>
          <w:i/>
          <w:iCs/>
        </w:rPr>
        <w:t xml:space="preserve">BMC </w:t>
      </w:r>
      <w:proofErr w:type="spellStart"/>
      <w:r w:rsidRPr="00917473">
        <w:rPr>
          <w:rFonts w:ascii="Arial" w:eastAsia="Times New Roman" w:hAnsi="Arial" w:cs="Arial"/>
          <w:i/>
          <w:iCs/>
        </w:rPr>
        <w:t>Neurol</w:t>
      </w:r>
      <w:proofErr w:type="spellEnd"/>
      <w:r w:rsidRPr="00917473">
        <w:rPr>
          <w:rFonts w:ascii="Arial" w:eastAsia="Times New Roman" w:hAnsi="Arial" w:cs="Arial"/>
        </w:rPr>
        <w:t xml:space="preserve"> 2005</w:t>
      </w:r>
      <w:proofErr w:type="gramStart"/>
      <w:r w:rsidRPr="00917473">
        <w:rPr>
          <w:rFonts w:ascii="Arial" w:eastAsia="Times New Roman" w:hAnsi="Arial" w:cs="Arial"/>
        </w:rPr>
        <w:t>;</w:t>
      </w:r>
      <w:r w:rsidRPr="00917473">
        <w:rPr>
          <w:rFonts w:ascii="Arial" w:eastAsia="Times New Roman" w:hAnsi="Arial" w:cs="Arial"/>
          <w:bCs/>
        </w:rPr>
        <w:t>5:</w:t>
      </w:r>
      <w:r w:rsidRPr="00917473">
        <w:rPr>
          <w:rFonts w:ascii="Arial" w:eastAsia="Times New Roman" w:hAnsi="Arial" w:cs="Arial"/>
        </w:rPr>
        <w:t>5</w:t>
      </w:r>
      <w:proofErr w:type="gramEnd"/>
      <w:r w:rsidRPr="00917473">
        <w:rPr>
          <w:rFonts w:ascii="Arial" w:eastAsia="Times New Roman" w:hAnsi="Arial" w:cs="Arial"/>
        </w:rPr>
        <w:t>.</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13</w:t>
      </w:r>
      <w:r w:rsidRPr="00917473">
        <w:rPr>
          <w:rFonts w:ascii="Arial" w:eastAsia="Times New Roman" w:hAnsi="Arial" w:cs="Arial"/>
        </w:rPr>
        <w:tab/>
      </w:r>
      <w:proofErr w:type="spellStart"/>
      <w:r w:rsidRPr="00917473">
        <w:rPr>
          <w:rFonts w:ascii="Arial" w:eastAsia="Times New Roman" w:hAnsi="Arial" w:cs="Arial"/>
        </w:rPr>
        <w:t>Addington</w:t>
      </w:r>
      <w:proofErr w:type="spellEnd"/>
      <w:r w:rsidRPr="00917473">
        <w:rPr>
          <w:rFonts w:ascii="Arial" w:eastAsia="Times New Roman" w:hAnsi="Arial" w:cs="Arial"/>
        </w:rPr>
        <w:t xml:space="preserve"> D, </w:t>
      </w:r>
      <w:proofErr w:type="spellStart"/>
      <w:r w:rsidRPr="00917473">
        <w:rPr>
          <w:rFonts w:ascii="Arial" w:eastAsia="Times New Roman" w:hAnsi="Arial" w:cs="Arial"/>
        </w:rPr>
        <w:t>Addington</w:t>
      </w:r>
      <w:proofErr w:type="spellEnd"/>
      <w:r w:rsidRPr="00917473">
        <w:rPr>
          <w:rFonts w:ascii="Arial" w:eastAsia="Times New Roman" w:hAnsi="Arial" w:cs="Arial"/>
        </w:rPr>
        <w:t xml:space="preserve"> J, </w:t>
      </w:r>
      <w:proofErr w:type="spellStart"/>
      <w:r w:rsidRPr="00917473">
        <w:rPr>
          <w:rFonts w:ascii="Arial" w:eastAsia="Times New Roman" w:hAnsi="Arial" w:cs="Arial"/>
        </w:rPr>
        <w:t>Maticka</w:t>
      </w:r>
      <w:proofErr w:type="spellEnd"/>
      <w:r w:rsidRPr="00917473">
        <w:rPr>
          <w:rFonts w:ascii="Arial" w:eastAsia="Times New Roman" w:hAnsi="Arial" w:cs="Arial"/>
        </w:rPr>
        <w:t xml:space="preserve">-Tyndale E Assessing depression in schizophrenia: the Calgary Depression Scale. </w:t>
      </w:r>
      <w:r w:rsidRPr="00917473">
        <w:rPr>
          <w:rFonts w:ascii="Arial" w:eastAsia="Times New Roman" w:hAnsi="Arial" w:cs="Arial"/>
          <w:i/>
        </w:rPr>
        <w:t>Br J Psychiatry</w:t>
      </w:r>
      <w:r w:rsidRPr="00917473">
        <w:rPr>
          <w:rFonts w:ascii="Arial" w:eastAsia="Times New Roman" w:hAnsi="Arial" w:cs="Arial"/>
        </w:rPr>
        <w:t xml:space="preserve"> 1993; Suppl. 22:39-44.</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Calibri" w:hAnsi="Arial" w:cs="Arial"/>
          <w:lang w:eastAsia="en-US"/>
        </w:rPr>
      </w:pPr>
      <w:r w:rsidRPr="00917473">
        <w:rPr>
          <w:rFonts w:ascii="Arial" w:eastAsia="Calibri" w:hAnsi="Arial" w:cs="Arial"/>
          <w:lang w:eastAsia="en-US"/>
        </w:rPr>
        <w:t>14</w:t>
      </w:r>
      <w:r w:rsidRPr="00917473">
        <w:rPr>
          <w:rFonts w:ascii="Arial" w:eastAsia="Calibri" w:hAnsi="Arial" w:cs="Arial"/>
          <w:lang w:eastAsia="en-US"/>
        </w:rPr>
        <w:tab/>
      </w:r>
      <w:proofErr w:type="spellStart"/>
      <w:r w:rsidRPr="00917473">
        <w:rPr>
          <w:rFonts w:ascii="Arial" w:eastAsia="Calibri" w:hAnsi="Arial" w:cs="Arial"/>
          <w:lang w:eastAsia="en-US"/>
        </w:rPr>
        <w:t>Marder</w:t>
      </w:r>
      <w:proofErr w:type="spellEnd"/>
      <w:r w:rsidRPr="00917473">
        <w:rPr>
          <w:rFonts w:ascii="Arial" w:eastAsia="Calibri" w:hAnsi="Arial" w:cs="Arial"/>
          <w:lang w:eastAsia="en-US"/>
        </w:rPr>
        <w:t xml:space="preserve"> SR, Davis JM, </w:t>
      </w:r>
      <w:proofErr w:type="spellStart"/>
      <w:r w:rsidRPr="00917473">
        <w:rPr>
          <w:rFonts w:ascii="Arial" w:eastAsia="Calibri" w:hAnsi="Arial" w:cs="Arial"/>
          <w:lang w:eastAsia="en-US"/>
        </w:rPr>
        <w:t>Chouinard</w:t>
      </w:r>
      <w:proofErr w:type="spellEnd"/>
      <w:r w:rsidRPr="00917473">
        <w:rPr>
          <w:rFonts w:ascii="Arial" w:eastAsia="Calibri" w:hAnsi="Arial" w:cs="Arial"/>
          <w:lang w:eastAsia="en-US"/>
        </w:rPr>
        <w:t xml:space="preserve"> G </w:t>
      </w:r>
      <w:proofErr w:type="gramStart"/>
      <w:r w:rsidRPr="00917473">
        <w:rPr>
          <w:rFonts w:ascii="Arial" w:eastAsia="Calibri" w:hAnsi="Arial" w:cs="Arial"/>
          <w:lang w:eastAsia="en-US"/>
        </w:rPr>
        <w:t>The</w:t>
      </w:r>
      <w:proofErr w:type="gramEnd"/>
      <w:r w:rsidRPr="00917473">
        <w:rPr>
          <w:rFonts w:ascii="Arial" w:eastAsia="Calibri" w:hAnsi="Arial" w:cs="Arial"/>
          <w:lang w:eastAsia="en-US"/>
        </w:rPr>
        <w:t xml:space="preserve"> effects of </w:t>
      </w:r>
      <w:proofErr w:type="spellStart"/>
      <w:r w:rsidRPr="00917473">
        <w:rPr>
          <w:rFonts w:ascii="Arial" w:eastAsia="Calibri" w:hAnsi="Arial" w:cs="Arial"/>
          <w:lang w:eastAsia="en-US"/>
        </w:rPr>
        <w:t>risperidone</w:t>
      </w:r>
      <w:proofErr w:type="spellEnd"/>
      <w:r w:rsidRPr="00917473">
        <w:rPr>
          <w:rFonts w:ascii="Arial" w:eastAsia="Calibri" w:hAnsi="Arial" w:cs="Arial"/>
          <w:lang w:eastAsia="en-US"/>
        </w:rPr>
        <w:t xml:space="preserve"> on the five dimensions of schizophrenia derived by factor analysis: Combined results of the North American trials. </w:t>
      </w:r>
      <w:r w:rsidRPr="00917473">
        <w:rPr>
          <w:rFonts w:ascii="Arial" w:eastAsia="Calibri" w:hAnsi="Arial" w:cs="Arial"/>
          <w:i/>
          <w:lang w:eastAsia="en-US"/>
        </w:rPr>
        <w:t xml:space="preserve">J </w:t>
      </w:r>
      <w:proofErr w:type="spellStart"/>
      <w:r w:rsidRPr="00917473">
        <w:rPr>
          <w:rFonts w:ascii="Arial" w:eastAsia="Calibri" w:hAnsi="Arial" w:cs="Arial"/>
          <w:i/>
          <w:lang w:eastAsia="en-US"/>
        </w:rPr>
        <w:t>Clin</w:t>
      </w:r>
      <w:proofErr w:type="spellEnd"/>
      <w:r w:rsidRPr="00917473">
        <w:rPr>
          <w:rFonts w:ascii="Arial" w:eastAsia="Calibri" w:hAnsi="Arial" w:cs="Arial"/>
          <w:i/>
          <w:lang w:eastAsia="en-US"/>
        </w:rPr>
        <w:t xml:space="preserve"> Psychiatry</w:t>
      </w:r>
      <w:r w:rsidRPr="00917473">
        <w:rPr>
          <w:rFonts w:ascii="Arial" w:eastAsia="Calibri" w:hAnsi="Arial" w:cs="Arial"/>
          <w:lang w:eastAsia="en-US"/>
        </w:rPr>
        <w:t xml:space="preserve"> 1987</w:t>
      </w:r>
      <w:proofErr w:type="gramStart"/>
      <w:r w:rsidRPr="00917473">
        <w:rPr>
          <w:rFonts w:ascii="Arial" w:eastAsia="Calibri" w:hAnsi="Arial" w:cs="Arial"/>
          <w:lang w:eastAsia="en-US"/>
        </w:rPr>
        <w:t>;58</w:t>
      </w:r>
      <w:proofErr w:type="gramEnd"/>
      <w:r w:rsidRPr="00917473">
        <w:rPr>
          <w:rFonts w:ascii="Arial" w:eastAsia="Calibri" w:hAnsi="Arial" w:cs="Arial"/>
          <w:lang w:eastAsia="en-US"/>
        </w:rPr>
        <w:t>(12):538-546.</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15</w:t>
      </w:r>
      <w:r w:rsidRPr="00917473">
        <w:rPr>
          <w:rFonts w:ascii="Arial" w:eastAsia="Times New Roman" w:hAnsi="Arial" w:cs="Arial"/>
        </w:rPr>
        <w:tab/>
        <w:t xml:space="preserve">Schooler NR, Kane JM Research diagnosis for tardive dyskinesia. </w:t>
      </w:r>
      <w:r w:rsidRPr="00917473">
        <w:rPr>
          <w:rFonts w:ascii="Arial" w:eastAsia="Times New Roman" w:hAnsi="Arial" w:cs="Arial"/>
          <w:i/>
        </w:rPr>
        <w:t>Arch Gen Psychiatry</w:t>
      </w:r>
      <w:r w:rsidRPr="00917473">
        <w:rPr>
          <w:rFonts w:ascii="Arial" w:eastAsia="Times New Roman" w:hAnsi="Arial" w:cs="Arial"/>
        </w:rPr>
        <w:t xml:space="preserve"> 1982</w:t>
      </w:r>
      <w:proofErr w:type="gramStart"/>
      <w:r w:rsidRPr="00917473">
        <w:rPr>
          <w:rFonts w:ascii="Arial" w:eastAsia="Times New Roman" w:hAnsi="Arial" w:cs="Arial"/>
        </w:rPr>
        <w:t>;39:486</w:t>
      </w:r>
      <w:proofErr w:type="gramEnd"/>
      <w:r w:rsidRPr="00917473">
        <w:rPr>
          <w:rFonts w:ascii="Arial" w:eastAsia="Times New Roman" w:hAnsi="Arial" w:cs="Arial"/>
        </w:rPr>
        <w:t>–487</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16</w:t>
      </w:r>
      <w:r w:rsidRPr="00917473">
        <w:rPr>
          <w:rFonts w:ascii="Arial" w:eastAsia="Times New Roman" w:hAnsi="Arial" w:cs="Arial"/>
        </w:rPr>
        <w:tab/>
        <w:t xml:space="preserve">Clinical Trials Research Unit Prospect </w:t>
      </w:r>
      <w:hyperlink r:id="rId16" w:history="1">
        <w:r w:rsidRPr="006E7365">
          <w:rPr>
            <w:rFonts w:ascii="Arial" w:eastAsia="Times New Roman" w:hAnsi="Arial" w:cs="Arial"/>
            <w:u w:val="single"/>
          </w:rPr>
          <w:t>www.ctru-prospect.shef.ac.uk</w:t>
        </w:r>
      </w:hyperlink>
      <w:r w:rsidRPr="00917473">
        <w:rPr>
          <w:rFonts w:ascii="Arial" w:eastAsia="Times New Roman" w:hAnsi="Arial" w:cs="Arial"/>
        </w:rPr>
        <w:t xml:space="preserve"> accessed March 2012</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rPr>
      </w:pPr>
      <w:proofErr w:type="gramStart"/>
      <w:r w:rsidRPr="00917473">
        <w:rPr>
          <w:rFonts w:ascii="Arial" w:eastAsia="Times New Roman" w:hAnsi="Arial" w:cs="Arial"/>
        </w:rPr>
        <w:t>17</w:t>
      </w:r>
      <w:r w:rsidRPr="00917473">
        <w:rPr>
          <w:rFonts w:ascii="Arial" w:eastAsia="Times New Roman" w:hAnsi="Arial" w:cs="Arial"/>
        </w:rPr>
        <w:tab/>
      </w:r>
      <w:proofErr w:type="spellStart"/>
      <w:r w:rsidRPr="00917473">
        <w:rPr>
          <w:rFonts w:ascii="Arial" w:eastAsia="Times New Roman" w:hAnsi="Arial" w:cs="Arial"/>
        </w:rPr>
        <w:t>StataCorp</w:t>
      </w:r>
      <w:proofErr w:type="spellEnd"/>
      <w:r w:rsidRPr="00917473">
        <w:rPr>
          <w:rFonts w:ascii="Arial" w:eastAsia="Times New Roman" w:hAnsi="Arial" w:cs="Arial"/>
        </w:rPr>
        <w:t xml:space="preserve"> </w:t>
      </w:r>
      <w:r w:rsidRPr="00917473">
        <w:rPr>
          <w:rFonts w:ascii="Arial" w:eastAsia="Times New Roman" w:hAnsi="Arial" w:cs="Arial"/>
          <w:i/>
          <w:iCs/>
        </w:rPr>
        <w:t xml:space="preserve">Stata Statistical Software: Release </w:t>
      </w:r>
      <w:r w:rsidR="00D73857" w:rsidRPr="00917473">
        <w:rPr>
          <w:rFonts w:ascii="Arial" w:eastAsia="Times New Roman" w:hAnsi="Arial" w:cs="Arial"/>
          <w:i/>
          <w:iCs/>
        </w:rPr>
        <w:t>1</w:t>
      </w:r>
      <w:r w:rsidR="00D73857">
        <w:rPr>
          <w:rFonts w:ascii="Arial" w:eastAsia="Times New Roman" w:hAnsi="Arial" w:cs="Arial"/>
          <w:i/>
          <w:iCs/>
        </w:rPr>
        <w:t>3</w:t>
      </w:r>
      <w:r w:rsidRPr="00917473">
        <w:rPr>
          <w:rFonts w:ascii="Arial" w:eastAsia="Times New Roman" w:hAnsi="Arial" w:cs="Arial"/>
        </w:rPr>
        <w:t>.</w:t>
      </w:r>
      <w:proofErr w:type="gramEnd"/>
      <w:r w:rsidRPr="00917473">
        <w:rPr>
          <w:rFonts w:ascii="Arial" w:eastAsia="Times New Roman" w:hAnsi="Arial" w:cs="Arial"/>
        </w:rPr>
        <w:t xml:space="preserve"> College Station, TX: </w:t>
      </w:r>
      <w:proofErr w:type="spellStart"/>
      <w:r w:rsidRPr="00917473">
        <w:rPr>
          <w:rFonts w:ascii="Arial" w:eastAsia="Times New Roman" w:hAnsi="Arial" w:cs="Arial"/>
        </w:rPr>
        <w:t>StataCorp</w:t>
      </w:r>
      <w:proofErr w:type="spellEnd"/>
      <w:r w:rsidRPr="00917473">
        <w:rPr>
          <w:rFonts w:ascii="Arial" w:eastAsia="Times New Roman" w:hAnsi="Arial" w:cs="Arial"/>
        </w:rPr>
        <w:t xml:space="preserve"> LP </w:t>
      </w:r>
      <w:r w:rsidR="00D73857" w:rsidRPr="00917473">
        <w:rPr>
          <w:rFonts w:ascii="Arial" w:eastAsia="Times New Roman" w:hAnsi="Arial" w:cs="Arial"/>
        </w:rPr>
        <w:t>201</w:t>
      </w:r>
      <w:r w:rsidR="00D73857">
        <w:rPr>
          <w:rFonts w:ascii="Arial" w:eastAsia="Times New Roman" w:hAnsi="Arial" w:cs="Arial"/>
        </w:rPr>
        <w:t>3</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lang w:val="en-US" w:eastAsia="en-US"/>
        </w:rPr>
      </w:pPr>
      <w:r w:rsidRPr="00917473">
        <w:rPr>
          <w:rFonts w:ascii="Arial" w:eastAsia="Times New Roman" w:hAnsi="Arial" w:cs="Arial"/>
          <w:lang w:val="en-US" w:eastAsia="en-US"/>
        </w:rPr>
        <w:t>18</w:t>
      </w:r>
      <w:r w:rsidRPr="00917473">
        <w:rPr>
          <w:rFonts w:ascii="Arial" w:eastAsia="Times New Roman" w:hAnsi="Arial" w:cs="Arial"/>
          <w:lang w:val="en-US" w:eastAsia="en-US"/>
        </w:rPr>
        <w:tab/>
        <w:t xml:space="preserve">Royston, P Multiple imputation of missing values: Update of ice. </w:t>
      </w:r>
      <w:r w:rsidRPr="00917473">
        <w:rPr>
          <w:rFonts w:ascii="Arial" w:eastAsia="Times New Roman" w:hAnsi="Arial" w:cs="Arial"/>
          <w:i/>
          <w:lang w:val="en-US" w:eastAsia="en-US"/>
        </w:rPr>
        <w:t>Stata J</w:t>
      </w:r>
      <w:r w:rsidRPr="00917473">
        <w:rPr>
          <w:rFonts w:ascii="Arial" w:eastAsia="Times New Roman" w:hAnsi="Arial" w:cs="Arial"/>
          <w:lang w:val="en-US" w:eastAsia="en-US"/>
        </w:rPr>
        <w:t xml:space="preserve"> 2005</w:t>
      </w:r>
      <w:proofErr w:type="gramStart"/>
      <w:r w:rsidRPr="00917473">
        <w:rPr>
          <w:rFonts w:ascii="Arial" w:eastAsia="Times New Roman" w:hAnsi="Arial" w:cs="Arial"/>
          <w:lang w:val="en-US" w:eastAsia="en-US"/>
        </w:rPr>
        <w:t>;5:527</w:t>
      </w:r>
      <w:proofErr w:type="gramEnd"/>
      <w:r w:rsidRPr="00917473">
        <w:rPr>
          <w:rFonts w:ascii="Arial" w:eastAsia="Times New Roman" w:hAnsi="Arial" w:cs="Arial"/>
          <w:lang w:val="en-US" w:eastAsia="en-US"/>
        </w:rPr>
        <w:t>-536</w:t>
      </w:r>
    </w:p>
    <w:p w:rsidR="00917473" w:rsidRPr="00917473" w:rsidRDefault="00917473" w:rsidP="00917473">
      <w:pPr>
        <w:spacing w:after="0" w:line="240" w:lineRule="auto"/>
        <w:jc w:val="both"/>
        <w:rPr>
          <w:rFonts w:ascii="Arial" w:eastAsia="Times New Roman" w:hAnsi="Arial" w:cs="Arial"/>
          <w:lang w:val="en-US" w:eastAsia="en-US"/>
        </w:rPr>
      </w:pPr>
    </w:p>
    <w:p w:rsidR="00917473" w:rsidRPr="00917473" w:rsidRDefault="00917473" w:rsidP="00917473">
      <w:pPr>
        <w:spacing w:after="0" w:line="240" w:lineRule="auto"/>
        <w:jc w:val="both"/>
        <w:rPr>
          <w:rFonts w:ascii="Arial" w:eastAsia="Times New Roman" w:hAnsi="Arial" w:cs="Arial"/>
        </w:rPr>
      </w:pPr>
      <w:r w:rsidRPr="00917473">
        <w:rPr>
          <w:rFonts w:ascii="Arial" w:eastAsia="Times New Roman" w:hAnsi="Arial" w:cs="Arial"/>
        </w:rPr>
        <w:t>19</w:t>
      </w:r>
      <w:r w:rsidRPr="00917473">
        <w:rPr>
          <w:rFonts w:ascii="Arial" w:eastAsia="Times New Roman" w:hAnsi="Arial" w:cs="Arial"/>
        </w:rPr>
        <w:tab/>
        <w:t xml:space="preserve">Rubin, DB </w:t>
      </w:r>
      <w:r w:rsidRPr="00917473">
        <w:rPr>
          <w:rFonts w:ascii="Arial" w:eastAsia="Times New Roman" w:hAnsi="Arial" w:cs="Arial"/>
          <w:i/>
        </w:rPr>
        <w:t>Multiple imputation for non-response in surveys</w:t>
      </w:r>
      <w:r w:rsidRPr="00917473">
        <w:rPr>
          <w:rFonts w:ascii="Arial" w:eastAsia="Times New Roman" w:hAnsi="Arial" w:cs="Arial"/>
        </w:rPr>
        <w:t>. New York: John Wiley and Sons; 1987.</w:t>
      </w:r>
    </w:p>
    <w:p w:rsidR="00917473" w:rsidRPr="00917473" w:rsidRDefault="00917473" w:rsidP="00917473">
      <w:pPr>
        <w:spacing w:after="0" w:line="240" w:lineRule="auto"/>
        <w:jc w:val="both"/>
        <w:rPr>
          <w:rFonts w:ascii="Arial" w:eastAsia="Times New Roman" w:hAnsi="Arial" w:cs="Arial"/>
        </w:rPr>
      </w:pP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bCs/>
          <w:lang w:val="en"/>
        </w:rPr>
        <w:t>20</w:t>
      </w:r>
      <w:r w:rsidRPr="00917473">
        <w:rPr>
          <w:rFonts w:ascii="Arial" w:eastAsia="Times New Roman" w:hAnsi="Arial" w:cs="Arial"/>
          <w:bCs/>
          <w:lang w:val="en"/>
        </w:rPr>
        <w:tab/>
      </w:r>
      <w:proofErr w:type="spellStart"/>
      <w:r w:rsidRPr="00917473">
        <w:rPr>
          <w:rFonts w:ascii="Arial" w:eastAsia="Times New Roman" w:hAnsi="Arial" w:cs="Arial"/>
          <w:bCs/>
          <w:lang w:val="en"/>
        </w:rPr>
        <w:t>Reboussin</w:t>
      </w:r>
      <w:proofErr w:type="spellEnd"/>
      <w:r w:rsidRPr="00917473">
        <w:rPr>
          <w:rFonts w:ascii="Arial" w:eastAsia="Times New Roman" w:hAnsi="Arial" w:cs="Arial"/>
          <w:bCs/>
          <w:lang w:val="en"/>
        </w:rPr>
        <w:t xml:space="preserve"> DM, </w:t>
      </w:r>
      <w:proofErr w:type="spellStart"/>
      <w:r w:rsidRPr="00917473">
        <w:rPr>
          <w:rFonts w:ascii="Arial" w:eastAsia="Times New Roman" w:hAnsi="Arial" w:cs="Arial"/>
          <w:bCs/>
          <w:lang w:val="en"/>
        </w:rPr>
        <w:t>DeMets</w:t>
      </w:r>
      <w:proofErr w:type="spellEnd"/>
      <w:r w:rsidRPr="00917473">
        <w:rPr>
          <w:rFonts w:ascii="Arial" w:eastAsia="Times New Roman" w:hAnsi="Arial" w:cs="Arial"/>
          <w:bCs/>
          <w:lang w:val="en"/>
        </w:rPr>
        <w:t xml:space="preserve"> DL, Kim KM, </w:t>
      </w:r>
      <w:proofErr w:type="spellStart"/>
      <w:r w:rsidRPr="00917473">
        <w:rPr>
          <w:rFonts w:ascii="Arial" w:eastAsia="Times New Roman" w:hAnsi="Arial" w:cs="Arial"/>
          <w:bCs/>
          <w:lang w:val="en"/>
        </w:rPr>
        <w:t>Lan</w:t>
      </w:r>
      <w:proofErr w:type="spellEnd"/>
      <w:r w:rsidRPr="00917473">
        <w:rPr>
          <w:rFonts w:ascii="Arial" w:eastAsia="Times New Roman" w:hAnsi="Arial" w:cs="Arial"/>
          <w:bCs/>
          <w:lang w:val="en"/>
        </w:rPr>
        <w:t xml:space="preserve"> KKG Programs for Computing Group Sequential Boundaries Using the </w:t>
      </w:r>
      <w:proofErr w:type="spellStart"/>
      <w:r w:rsidRPr="00917473">
        <w:rPr>
          <w:rFonts w:ascii="Arial" w:eastAsia="Times New Roman" w:hAnsi="Arial" w:cs="Arial"/>
          <w:bCs/>
          <w:lang w:val="en"/>
        </w:rPr>
        <w:t>Lan-DeMets</w:t>
      </w:r>
      <w:proofErr w:type="spellEnd"/>
      <w:r w:rsidRPr="00917473">
        <w:rPr>
          <w:rFonts w:ascii="Arial" w:eastAsia="Times New Roman" w:hAnsi="Arial" w:cs="Arial"/>
          <w:bCs/>
          <w:lang w:val="en"/>
        </w:rPr>
        <w:t xml:space="preserve"> Method</w:t>
      </w:r>
      <w:r w:rsidRPr="00917473">
        <w:rPr>
          <w:rFonts w:ascii="Arial" w:eastAsia="Times New Roman" w:hAnsi="Arial" w:cs="Arial"/>
          <w:lang w:val="en"/>
        </w:rPr>
        <w:t xml:space="preserve"> Version 2 1996 Available from: </w:t>
      </w:r>
      <w:hyperlink r:id="rId17" w:history="1">
        <w:r w:rsidRPr="006E7365">
          <w:rPr>
            <w:rFonts w:ascii="Arial" w:eastAsia="Times New Roman" w:hAnsi="Arial" w:cs="Arial"/>
            <w:u w:val="single"/>
            <w:lang w:val="en"/>
          </w:rPr>
          <w:t>http://www.biostat.wisc.edu/landemets/</w:t>
        </w:r>
      </w:hyperlink>
      <w:r w:rsidRPr="00917473">
        <w:rPr>
          <w:rFonts w:ascii="Arial" w:eastAsia="Times New Roman" w:hAnsi="Arial" w:cs="Arial"/>
          <w:lang w:val="en"/>
        </w:rPr>
        <w:t xml:space="preserve"> accessed June 2012</w:t>
      </w:r>
    </w:p>
    <w:p w:rsidR="00917473" w:rsidRPr="00917473" w:rsidRDefault="00917473" w:rsidP="00917473">
      <w:pPr>
        <w:spacing w:after="0" w:line="240" w:lineRule="auto"/>
        <w:jc w:val="both"/>
        <w:rPr>
          <w:rFonts w:ascii="Arial" w:eastAsia="Times New Roman" w:hAnsi="Arial" w:cs="Arial"/>
          <w:lang w:val="en"/>
        </w:rPr>
      </w:pPr>
    </w:p>
    <w:p w:rsidR="00917473" w:rsidRPr="00917473" w:rsidRDefault="00917473" w:rsidP="00917473">
      <w:pPr>
        <w:spacing w:after="0" w:line="240" w:lineRule="auto"/>
        <w:jc w:val="both"/>
        <w:rPr>
          <w:rFonts w:ascii="Arial" w:eastAsia="Times New Roman" w:hAnsi="Arial" w:cs="Arial"/>
          <w:lang w:val="en"/>
        </w:rPr>
      </w:pPr>
      <w:r w:rsidRPr="00917473">
        <w:rPr>
          <w:rFonts w:ascii="Arial" w:eastAsia="Times New Roman" w:hAnsi="Arial" w:cs="Arial"/>
          <w:lang w:val="en"/>
        </w:rPr>
        <w:t>21</w:t>
      </w:r>
      <w:r w:rsidRPr="00917473">
        <w:rPr>
          <w:rFonts w:ascii="Arial" w:eastAsia="Times New Roman" w:hAnsi="Arial" w:cs="Arial"/>
          <w:lang w:val="en"/>
        </w:rPr>
        <w:tab/>
        <w:t xml:space="preserve">O'Brien PC, Fleming TR A multiple testing procedure for clinical trials </w:t>
      </w:r>
      <w:r w:rsidRPr="00917473">
        <w:rPr>
          <w:rFonts w:ascii="Arial" w:eastAsia="Times New Roman" w:hAnsi="Arial" w:cs="Arial"/>
          <w:i/>
          <w:iCs/>
          <w:lang w:val="en"/>
        </w:rPr>
        <w:t>Biometrics</w:t>
      </w:r>
      <w:r w:rsidRPr="00917473">
        <w:rPr>
          <w:rFonts w:ascii="Arial" w:eastAsia="Times New Roman" w:hAnsi="Arial" w:cs="Arial"/>
          <w:lang w:val="en"/>
        </w:rPr>
        <w:t xml:space="preserve"> 1979</w:t>
      </w:r>
      <w:proofErr w:type="gramStart"/>
      <w:r w:rsidRPr="00917473">
        <w:rPr>
          <w:rFonts w:ascii="Arial" w:eastAsia="Times New Roman" w:hAnsi="Arial" w:cs="Arial"/>
          <w:lang w:val="en"/>
        </w:rPr>
        <w:t>;</w:t>
      </w:r>
      <w:r w:rsidRPr="00917473">
        <w:rPr>
          <w:rFonts w:ascii="Arial" w:eastAsia="Times New Roman" w:hAnsi="Arial" w:cs="Arial"/>
          <w:bCs/>
          <w:lang w:val="en"/>
        </w:rPr>
        <w:t>35:</w:t>
      </w:r>
      <w:r w:rsidRPr="00917473">
        <w:rPr>
          <w:rFonts w:ascii="Arial" w:eastAsia="Times New Roman" w:hAnsi="Arial" w:cs="Arial"/>
          <w:lang w:val="en"/>
        </w:rPr>
        <w:t>549</w:t>
      </w:r>
      <w:proofErr w:type="gramEnd"/>
      <w:r w:rsidRPr="00917473">
        <w:rPr>
          <w:rFonts w:ascii="Arial" w:eastAsia="Times New Roman" w:hAnsi="Arial" w:cs="Arial"/>
          <w:lang w:val="en"/>
        </w:rPr>
        <w:t xml:space="preserve">-556. </w:t>
      </w:r>
    </w:p>
    <w:p w:rsidR="00917473" w:rsidRDefault="00917473" w:rsidP="00867CEA">
      <w:pPr>
        <w:jc w:val="both"/>
        <w:rPr>
          <w:rFonts w:ascii="Arial" w:hAnsi="Arial" w:cs="Arial"/>
          <w:b/>
          <w:sz w:val="20"/>
          <w:szCs w:val="20"/>
        </w:rPr>
      </w:pPr>
    </w:p>
    <w:sectPr w:rsidR="00917473" w:rsidSect="006D027D">
      <w:footerReference w:type="default" r:id="rId18"/>
      <w:pgSz w:w="11906" w:h="16838"/>
      <w:pgMar w:top="851" w:right="1440" w:bottom="1440" w:left="1440"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25" w:rsidRDefault="00C52B25" w:rsidP="00566F5E">
      <w:pPr>
        <w:spacing w:after="0" w:line="240" w:lineRule="auto"/>
      </w:pPr>
      <w:r>
        <w:separator/>
      </w:r>
    </w:p>
  </w:endnote>
  <w:endnote w:type="continuationSeparator" w:id="0">
    <w:p w:rsidR="00C52B25" w:rsidRDefault="00C52B25" w:rsidP="00566F5E">
      <w:pPr>
        <w:spacing w:after="0" w:line="240" w:lineRule="auto"/>
      </w:pPr>
      <w:r>
        <w:continuationSeparator/>
      </w:r>
    </w:p>
  </w:endnote>
  <w:endnote w:type="continuationNotice" w:id="1">
    <w:p w:rsidR="00C52B25" w:rsidRDefault="00C52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9" w:rsidRDefault="00917473">
    <w:r>
      <w:t>AMICUS/SAP/</w:t>
    </w:r>
    <w:r w:rsidR="00DD60EB">
      <w:t>003</w:t>
    </w:r>
    <w:r w:rsidR="00DD60EB">
      <w:ptab w:relativeTo="margin" w:alignment="center" w:leader="none"/>
    </w:r>
    <w:r w:rsidR="00DD60EB">
      <w:t xml:space="preserve">Version </w:t>
    </w:r>
    <w:r w:rsidR="00615637">
      <w:t>4</w:t>
    </w:r>
    <w:r w:rsidR="00EC2509">
      <w:t>.0</w:t>
    </w:r>
    <w:r w:rsidR="00EC2509">
      <w:ptab w:relativeTo="margin" w:alignment="right" w:leader="none"/>
    </w:r>
    <w:sdt>
      <w:sdtPr>
        <w:id w:val="250395305"/>
        <w:docPartObj>
          <w:docPartGallery w:val="Page Numbers (Top of Page)"/>
          <w:docPartUnique/>
        </w:docPartObj>
      </w:sdtPr>
      <w:sdtEndPr/>
      <w:sdtContent>
        <w:r w:rsidR="00EC2509">
          <w:t xml:space="preserve">Page </w:t>
        </w:r>
        <w:r w:rsidR="00EC2509">
          <w:fldChar w:fldCharType="begin"/>
        </w:r>
        <w:r w:rsidR="00EC2509">
          <w:instrText xml:space="preserve"> PAGE </w:instrText>
        </w:r>
        <w:r w:rsidR="00EC2509">
          <w:fldChar w:fldCharType="separate"/>
        </w:r>
        <w:r w:rsidR="00F23D43">
          <w:rPr>
            <w:noProof/>
          </w:rPr>
          <w:t>11</w:t>
        </w:r>
        <w:r w:rsidR="00EC2509">
          <w:rPr>
            <w:noProof/>
          </w:rPr>
          <w:fldChar w:fldCharType="end"/>
        </w:r>
        <w:r w:rsidR="00EC2509">
          <w:t xml:space="preserve"> of </w:t>
        </w:r>
        <w:fldSimple w:instr=" NUMPAGES  ">
          <w:r w:rsidR="00F23D43">
            <w:rPr>
              <w:noProof/>
            </w:rPr>
            <w:t>11</w:t>
          </w:r>
        </w:fldSimple>
      </w:sdtContent>
    </w:sdt>
  </w:p>
  <w:p w:rsidR="00EC2509" w:rsidRDefault="00EC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25" w:rsidRDefault="00C52B25" w:rsidP="00566F5E">
      <w:pPr>
        <w:spacing w:after="0" w:line="240" w:lineRule="auto"/>
      </w:pPr>
      <w:r>
        <w:separator/>
      </w:r>
    </w:p>
  </w:footnote>
  <w:footnote w:type="continuationSeparator" w:id="0">
    <w:p w:rsidR="00C52B25" w:rsidRDefault="00C52B25" w:rsidP="00566F5E">
      <w:pPr>
        <w:spacing w:after="0" w:line="240" w:lineRule="auto"/>
      </w:pPr>
      <w:r>
        <w:continuationSeparator/>
      </w:r>
    </w:p>
  </w:footnote>
  <w:footnote w:type="continuationNotice" w:id="1">
    <w:p w:rsidR="00C52B25" w:rsidRDefault="00C52B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6FF"/>
    <w:multiLevelType w:val="hybridMultilevel"/>
    <w:tmpl w:val="14A4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5A3"/>
    <w:multiLevelType w:val="hybridMultilevel"/>
    <w:tmpl w:val="F124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620E5"/>
    <w:multiLevelType w:val="multilevel"/>
    <w:tmpl w:val="75A80ED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1DC3ACF"/>
    <w:multiLevelType w:val="hybridMultilevel"/>
    <w:tmpl w:val="E656F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923FC"/>
    <w:multiLevelType w:val="multilevel"/>
    <w:tmpl w:val="420AF4E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14253C7"/>
    <w:multiLevelType w:val="multilevel"/>
    <w:tmpl w:val="675834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9834EA5"/>
    <w:multiLevelType w:val="multilevel"/>
    <w:tmpl w:val="420AF4E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A093473"/>
    <w:multiLevelType w:val="multilevel"/>
    <w:tmpl w:val="B24820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FB83B1E"/>
    <w:multiLevelType w:val="hybridMultilevel"/>
    <w:tmpl w:val="28B85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8C7198"/>
    <w:multiLevelType w:val="hybridMultilevel"/>
    <w:tmpl w:val="316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35217"/>
    <w:multiLevelType w:val="hybridMultilevel"/>
    <w:tmpl w:val="21D8B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9E2F89"/>
    <w:multiLevelType w:val="hybridMultilevel"/>
    <w:tmpl w:val="89C85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8"/>
  </w:num>
  <w:num w:numId="6">
    <w:abstractNumId w:val="5"/>
  </w:num>
  <w:num w:numId="7">
    <w:abstractNumId w:val="7"/>
  </w:num>
  <w:num w:numId="8">
    <w:abstractNumId w:val="6"/>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FE"/>
    <w:rsid w:val="00000574"/>
    <w:rsid w:val="0000487F"/>
    <w:rsid w:val="00007988"/>
    <w:rsid w:val="0002143C"/>
    <w:rsid w:val="0004370C"/>
    <w:rsid w:val="0004504C"/>
    <w:rsid w:val="000628E6"/>
    <w:rsid w:val="00072172"/>
    <w:rsid w:val="00085DF4"/>
    <w:rsid w:val="00092A49"/>
    <w:rsid w:val="000A1DCB"/>
    <w:rsid w:val="000B5DE8"/>
    <w:rsid w:val="000B7D9C"/>
    <w:rsid w:val="000D34EC"/>
    <w:rsid w:val="000D4718"/>
    <w:rsid w:val="000D5391"/>
    <w:rsid w:val="000D7867"/>
    <w:rsid w:val="000E42BC"/>
    <w:rsid w:val="000E7E8F"/>
    <w:rsid w:val="000F1BE0"/>
    <w:rsid w:val="000F4962"/>
    <w:rsid w:val="001019A7"/>
    <w:rsid w:val="001021D1"/>
    <w:rsid w:val="00122C15"/>
    <w:rsid w:val="001302FA"/>
    <w:rsid w:val="00137C4F"/>
    <w:rsid w:val="001543AA"/>
    <w:rsid w:val="0015450B"/>
    <w:rsid w:val="0017300C"/>
    <w:rsid w:val="001743FD"/>
    <w:rsid w:val="0018509C"/>
    <w:rsid w:val="00192D6D"/>
    <w:rsid w:val="00194A2B"/>
    <w:rsid w:val="001A70BF"/>
    <w:rsid w:val="001B1846"/>
    <w:rsid w:val="001B3090"/>
    <w:rsid w:val="001C36F1"/>
    <w:rsid w:val="001C3B13"/>
    <w:rsid w:val="001D1922"/>
    <w:rsid w:val="001F119B"/>
    <w:rsid w:val="001F4ECD"/>
    <w:rsid w:val="0020340A"/>
    <w:rsid w:val="002043EB"/>
    <w:rsid w:val="002045DC"/>
    <w:rsid w:val="00231118"/>
    <w:rsid w:val="00235896"/>
    <w:rsid w:val="00236692"/>
    <w:rsid w:val="0024037D"/>
    <w:rsid w:val="0024131D"/>
    <w:rsid w:val="00243B70"/>
    <w:rsid w:val="00252632"/>
    <w:rsid w:val="00254B06"/>
    <w:rsid w:val="00256885"/>
    <w:rsid w:val="002A5E77"/>
    <w:rsid w:val="002C590D"/>
    <w:rsid w:val="002C6612"/>
    <w:rsid w:val="002D0A44"/>
    <w:rsid w:val="002D1710"/>
    <w:rsid w:val="002F5CA1"/>
    <w:rsid w:val="00301D5F"/>
    <w:rsid w:val="00305634"/>
    <w:rsid w:val="003079D7"/>
    <w:rsid w:val="003128AF"/>
    <w:rsid w:val="00326B42"/>
    <w:rsid w:val="00326EDC"/>
    <w:rsid w:val="003272C8"/>
    <w:rsid w:val="00333CE2"/>
    <w:rsid w:val="00341EB9"/>
    <w:rsid w:val="003437DE"/>
    <w:rsid w:val="00346A3D"/>
    <w:rsid w:val="003501C4"/>
    <w:rsid w:val="00353D95"/>
    <w:rsid w:val="00354520"/>
    <w:rsid w:val="00354D5C"/>
    <w:rsid w:val="00357D7E"/>
    <w:rsid w:val="003615C8"/>
    <w:rsid w:val="00393FE5"/>
    <w:rsid w:val="00395366"/>
    <w:rsid w:val="003B252F"/>
    <w:rsid w:val="003B6E95"/>
    <w:rsid w:val="003C164D"/>
    <w:rsid w:val="003C3C26"/>
    <w:rsid w:val="003C7AF8"/>
    <w:rsid w:val="003D48FB"/>
    <w:rsid w:val="003D6505"/>
    <w:rsid w:val="003E2350"/>
    <w:rsid w:val="003E2B91"/>
    <w:rsid w:val="003E6186"/>
    <w:rsid w:val="003F1D51"/>
    <w:rsid w:val="003F5CF0"/>
    <w:rsid w:val="00413586"/>
    <w:rsid w:val="00422806"/>
    <w:rsid w:val="004339D9"/>
    <w:rsid w:val="00446C9A"/>
    <w:rsid w:val="004557A1"/>
    <w:rsid w:val="004606C4"/>
    <w:rsid w:val="00462528"/>
    <w:rsid w:val="00477980"/>
    <w:rsid w:val="004839A1"/>
    <w:rsid w:val="004860CF"/>
    <w:rsid w:val="00491445"/>
    <w:rsid w:val="004A369D"/>
    <w:rsid w:val="004B2C63"/>
    <w:rsid w:val="004B7584"/>
    <w:rsid w:val="004E296A"/>
    <w:rsid w:val="004F2F89"/>
    <w:rsid w:val="00500FD5"/>
    <w:rsid w:val="00502280"/>
    <w:rsid w:val="00506CA7"/>
    <w:rsid w:val="00517686"/>
    <w:rsid w:val="005249CD"/>
    <w:rsid w:val="0052568A"/>
    <w:rsid w:val="00525DF3"/>
    <w:rsid w:val="005368D2"/>
    <w:rsid w:val="00554EE1"/>
    <w:rsid w:val="00562AC8"/>
    <w:rsid w:val="00563470"/>
    <w:rsid w:val="00566F5E"/>
    <w:rsid w:val="005672D1"/>
    <w:rsid w:val="00570EC8"/>
    <w:rsid w:val="00572183"/>
    <w:rsid w:val="00580EC5"/>
    <w:rsid w:val="00584CF6"/>
    <w:rsid w:val="005C75AF"/>
    <w:rsid w:val="005F0159"/>
    <w:rsid w:val="00607B20"/>
    <w:rsid w:val="00615637"/>
    <w:rsid w:val="00615A92"/>
    <w:rsid w:val="006215B0"/>
    <w:rsid w:val="00634AAF"/>
    <w:rsid w:val="006405DC"/>
    <w:rsid w:val="00643C31"/>
    <w:rsid w:val="006504FE"/>
    <w:rsid w:val="00666920"/>
    <w:rsid w:val="00667816"/>
    <w:rsid w:val="006770C9"/>
    <w:rsid w:val="006B0A8E"/>
    <w:rsid w:val="006C37DB"/>
    <w:rsid w:val="006D027D"/>
    <w:rsid w:val="006D5708"/>
    <w:rsid w:val="006D5E63"/>
    <w:rsid w:val="006E17CD"/>
    <w:rsid w:val="006E7365"/>
    <w:rsid w:val="006F2780"/>
    <w:rsid w:val="006F4F47"/>
    <w:rsid w:val="007169BF"/>
    <w:rsid w:val="00727B2A"/>
    <w:rsid w:val="0073123C"/>
    <w:rsid w:val="0073327E"/>
    <w:rsid w:val="00733B0D"/>
    <w:rsid w:val="00741DED"/>
    <w:rsid w:val="00744E64"/>
    <w:rsid w:val="00765FB1"/>
    <w:rsid w:val="00767747"/>
    <w:rsid w:val="00767CDA"/>
    <w:rsid w:val="007702C2"/>
    <w:rsid w:val="007A0A9C"/>
    <w:rsid w:val="007A2493"/>
    <w:rsid w:val="007A554B"/>
    <w:rsid w:val="007B3A73"/>
    <w:rsid w:val="007C290B"/>
    <w:rsid w:val="007C3C29"/>
    <w:rsid w:val="007C4394"/>
    <w:rsid w:val="007C752E"/>
    <w:rsid w:val="007D14A4"/>
    <w:rsid w:val="007D5B40"/>
    <w:rsid w:val="007D79A4"/>
    <w:rsid w:val="008010B9"/>
    <w:rsid w:val="008144F2"/>
    <w:rsid w:val="00814B02"/>
    <w:rsid w:val="00820780"/>
    <w:rsid w:val="008219B5"/>
    <w:rsid w:val="008221DE"/>
    <w:rsid w:val="008263BA"/>
    <w:rsid w:val="0084450D"/>
    <w:rsid w:val="00844717"/>
    <w:rsid w:val="00867CEA"/>
    <w:rsid w:val="00873097"/>
    <w:rsid w:val="00877A3B"/>
    <w:rsid w:val="0088481E"/>
    <w:rsid w:val="008A6BA0"/>
    <w:rsid w:val="008B194C"/>
    <w:rsid w:val="008B6403"/>
    <w:rsid w:val="008C3514"/>
    <w:rsid w:val="008C77EA"/>
    <w:rsid w:val="008D0C02"/>
    <w:rsid w:val="008D26A4"/>
    <w:rsid w:val="008D4443"/>
    <w:rsid w:val="008D4A40"/>
    <w:rsid w:val="008D6550"/>
    <w:rsid w:val="008E4847"/>
    <w:rsid w:val="008E724B"/>
    <w:rsid w:val="008F6D09"/>
    <w:rsid w:val="00901068"/>
    <w:rsid w:val="00917473"/>
    <w:rsid w:val="00920B68"/>
    <w:rsid w:val="0092178E"/>
    <w:rsid w:val="00931333"/>
    <w:rsid w:val="009315D2"/>
    <w:rsid w:val="009473F6"/>
    <w:rsid w:val="009631A2"/>
    <w:rsid w:val="0096730A"/>
    <w:rsid w:val="00975D73"/>
    <w:rsid w:val="00984904"/>
    <w:rsid w:val="009850A7"/>
    <w:rsid w:val="009B1FB2"/>
    <w:rsid w:val="009B3C66"/>
    <w:rsid w:val="009C6EB9"/>
    <w:rsid w:val="009D7533"/>
    <w:rsid w:val="009D7688"/>
    <w:rsid w:val="009D7FB8"/>
    <w:rsid w:val="009E5FEB"/>
    <w:rsid w:val="009E7662"/>
    <w:rsid w:val="009F2A58"/>
    <w:rsid w:val="00A04B85"/>
    <w:rsid w:val="00A06BB2"/>
    <w:rsid w:val="00A22B96"/>
    <w:rsid w:val="00A22E43"/>
    <w:rsid w:val="00A3210D"/>
    <w:rsid w:val="00A37407"/>
    <w:rsid w:val="00A37FD6"/>
    <w:rsid w:val="00A70D94"/>
    <w:rsid w:val="00A753AD"/>
    <w:rsid w:val="00AA1DB1"/>
    <w:rsid w:val="00AA53C0"/>
    <w:rsid w:val="00AD0BA6"/>
    <w:rsid w:val="00AD1FD7"/>
    <w:rsid w:val="00AF2D4A"/>
    <w:rsid w:val="00B01940"/>
    <w:rsid w:val="00B16FF0"/>
    <w:rsid w:val="00B22851"/>
    <w:rsid w:val="00B22D54"/>
    <w:rsid w:val="00B25658"/>
    <w:rsid w:val="00B37A4F"/>
    <w:rsid w:val="00B462DD"/>
    <w:rsid w:val="00B56E27"/>
    <w:rsid w:val="00B60AF5"/>
    <w:rsid w:val="00B73BBE"/>
    <w:rsid w:val="00B761AF"/>
    <w:rsid w:val="00B841EE"/>
    <w:rsid w:val="00B85747"/>
    <w:rsid w:val="00B85D6B"/>
    <w:rsid w:val="00B87800"/>
    <w:rsid w:val="00B95178"/>
    <w:rsid w:val="00BA1D66"/>
    <w:rsid w:val="00BA7B4C"/>
    <w:rsid w:val="00BB5E5C"/>
    <w:rsid w:val="00BC5330"/>
    <w:rsid w:val="00BE6547"/>
    <w:rsid w:val="00C303F0"/>
    <w:rsid w:val="00C3192F"/>
    <w:rsid w:val="00C36E49"/>
    <w:rsid w:val="00C41498"/>
    <w:rsid w:val="00C52B25"/>
    <w:rsid w:val="00C53D99"/>
    <w:rsid w:val="00C604DB"/>
    <w:rsid w:val="00C62DF3"/>
    <w:rsid w:val="00C80CDA"/>
    <w:rsid w:val="00C830AC"/>
    <w:rsid w:val="00C9771E"/>
    <w:rsid w:val="00CA329E"/>
    <w:rsid w:val="00CA6C33"/>
    <w:rsid w:val="00CA7A7F"/>
    <w:rsid w:val="00CD04AD"/>
    <w:rsid w:val="00CF1BD1"/>
    <w:rsid w:val="00D04206"/>
    <w:rsid w:val="00D16C4F"/>
    <w:rsid w:val="00D20056"/>
    <w:rsid w:val="00D31E1B"/>
    <w:rsid w:val="00D3734B"/>
    <w:rsid w:val="00D407D6"/>
    <w:rsid w:val="00D40C6A"/>
    <w:rsid w:val="00D43BD2"/>
    <w:rsid w:val="00D469C8"/>
    <w:rsid w:val="00D5110C"/>
    <w:rsid w:val="00D55641"/>
    <w:rsid w:val="00D73857"/>
    <w:rsid w:val="00D83C04"/>
    <w:rsid w:val="00D874AC"/>
    <w:rsid w:val="00D9067D"/>
    <w:rsid w:val="00D90B49"/>
    <w:rsid w:val="00D9720A"/>
    <w:rsid w:val="00DA7BF2"/>
    <w:rsid w:val="00DB61A1"/>
    <w:rsid w:val="00DC5830"/>
    <w:rsid w:val="00DD0E5E"/>
    <w:rsid w:val="00DD4343"/>
    <w:rsid w:val="00DD60EB"/>
    <w:rsid w:val="00DE0852"/>
    <w:rsid w:val="00DE2544"/>
    <w:rsid w:val="00DE3331"/>
    <w:rsid w:val="00E0058A"/>
    <w:rsid w:val="00E076FC"/>
    <w:rsid w:val="00E20FE4"/>
    <w:rsid w:val="00E22FB2"/>
    <w:rsid w:val="00E30852"/>
    <w:rsid w:val="00E325D2"/>
    <w:rsid w:val="00E4002E"/>
    <w:rsid w:val="00E460A1"/>
    <w:rsid w:val="00E46CDE"/>
    <w:rsid w:val="00E47980"/>
    <w:rsid w:val="00E52745"/>
    <w:rsid w:val="00E52F24"/>
    <w:rsid w:val="00E53A9C"/>
    <w:rsid w:val="00E60F84"/>
    <w:rsid w:val="00E626CF"/>
    <w:rsid w:val="00E63740"/>
    <w:rsid w:val="00E67BC7"/>
    <w:rsid w:val="00E859AD"/>
    <w:rsid w:val="00E95C17"/>
    <w:rsid w:val="00EA2E66"/>
    <w:rsid w:val="00EB42D9"/>
    <w:rsid w:val="00EB7A78"/>
    <w:rsid w:val="00EC0D04"/>
    <w:rsid w:val="00EC1AF9"/>
    <w:rsid w:val="00EC2509"/>
    <w:rsid w:val="00ED206D"/>
    <w:rsid w:val="00EE1503"/>
    <w:rsid w:val="00EE5637"/>
    <w:rsid w:val="00F20511"/>
    <w:rsid w:val="00F22D2E"/>
    <w:rsid w:val="00F23D43"/>
    <w:rsid w:val="00F273BA"/>
    <w:rsid w:val="00F30B41"/>
    <w:rsid w:val="00F31F51"/>
    <w:rsid w:val="00F5020C"/>
    <w:rsid w:val="00F52A0A"/>
    <w:rsid w:val="00F5313E"/>
    <w:rsid w:val="00F73B81"/>
    <w:rsid w:val="00F831F9"/>
    <w:rsid w:val="00F92037"/>
    <w:rsid w:val="00F92A8E"/>
    <w:rsid w:val="00FB2707"/>
    <w:rsid w:val="00FC282F"/>
    <w:rsid w:val="00FF2456"/>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FE"/>
    <w:rPr>
      <w:rFonts w:ascii="Tahoma" w:hAnsi="Tahoma" w:cs="Tahoma"/>
      <w:sz w:val="16"/>
      <w:szCs w:val="16"/>
    </w:rPr>
  </w:style>
  <w:style w:type="table" w:styleId="TableGrid">
    <w:name w:val="Table Grid"/>
    <w:basedOn w:val="TableNormal"/>
    <w:uiPriority w:val="59"/>
    <w:rsid w:val="0004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5A92"/>
    <w:pPr>
      <w:tabs>
        <w:tab w:val="center" w:pos="4153"/>
        <w:tab w:val="right" w:pos="8306"/>
      </w:tabs>
      <w:autoSpaceDE w:val="0"/>
      <w:autoSpaceDN w:val="0"/>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615A92"/>
    <w:rPr>
      <w:rFonts w:ascii="Times New Roman" w:eastAsia="SimSun" w:hAnsi="Times New Roman" w:cs="Times New Roman"/>
      <w:sz w:val="20"/>
      <w:szCs w:val="20"/>
      <w:lang w:eastAsia="en-GB"/>
    </w:rPr>
  </w:style>
  <w:style w:type="paragraph" w:styleId="ListParagraph">
    <w:name w:val="List Paragraph"/>
    <w:basedOn w:val="Normal"/>
    <w:uiPriority w:val="34"/>
    <w:qFormat/>
    <w:rsid w:val="001019A7"/>
    <w:pPr>
      <w:ind w:left="720"/>
      <w:contextualSpacing/>
    </w:pPr>
  </w:style>
  <w:style w:type="paragraph" w:styleId="NormalIndent">
    <w:name w:val="Normal Indent"/>
    <w:basedOn w:val="Normal"/>
    <w:rsid w:val="00867CEA"/>
    <w:pPr>
      <w:spacing w:after="120" w:line="240" w:lineRule="auto"/>
      <w:ind w:left="720"/>
      <w:jc w:val="both"/>
    </w:pPr>
    <w:rPr>
      <w:rFonts w:ascii="Arial" w:eastAsia="Times New Roman" w:hAnsi="Arial" w:cs="Times New Roman"/>
      <w:szCs w:val="20"/>
      <w:lang w:eastAsia="en-US"/>
    </w:rPr>
  </w:style>
  <w:style w:type="paragraph" w:styleId="Footer">
    <w:name w:val="footer"/>
    <w:basedOn w:val="Normal"/>
    <w:link w:val="FooterChar"/>
    <w:uiPriority w:val="99"/>
    <w:unhideWhenUsed/>
    <w:rsid w:val="0056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F5E"/>
  </w:style>
  <w:style w:type="character" w:styleId="CommentReference">
    <w:name w:val="annotation reference"/>
    <w:basedOn w:val="DefaultParagraphFont"/>
    <w:rsid w:val="00917473"/>
    <w:rPr>
      <w:sz w:val="16"/>
      <w:szCs w:val="16"/>
    </w:rPr>
  </w:style>
  <w:style w:type="paragraph" w:styleId="CommentText">
    <w:name w:val="annotation text"/>
    <w:basedOn w:val="Normal"/>
    <w:link w:val="CommentTextChar"/>
    <w:rsid w:val="0091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17473"/>
    <w:rPr>
      <w:rFonts w:ascii="Times New Roman" w:eastAsia="Times New Roman" w:hAnsi="Times New Roman" w:cs="Times New Roman"/>
      <w:sz w:val="20"/>
      <w:szCs w:val="20"/>
    </w:rPr>
  </w:style>
  <w:style w:type="table" w:customStyle="1" w:styleId="TableGrid1">
    <w:name w:val="Table Grid1"/>
    <w:basedOn w:val="TableNormal"/>
    <w:next w:val="TableGrid"/>
    <w:rsid w:val="009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E1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273BA"/>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273B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FE"/>
    <w:rPr>
      <w:rFonts w:ascii="Tahoma" w:hAnsi="Tahoma" w:cs="Tahoma"/>
      <w:sz w:val="16"/>
      <w:szCs w:val="16"/>
    </w:rPr>
  </w:style>
  <w:style w:type="table" w:styleId="TableGrid">
    <w:name w:val="Table Grid"/>
    <w:basedOn w:val="TableNormal"/>
    <w:uiPriority w:val="59"/>
    <w:rsid w:val="0004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5A92"/>
    <w:pPr>
      <w:tabs>
        <w:tab w:val="center" w:pos="4153"/>
        <w:tab w:val="right" w:pos="8306"/>
      </w:tabs>
      <w:autoSpaceDE w:val="0"/>
      <w:autoSpaceDN w:val="0"/>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615A92"/>
    <w:rPr>
      <w:rFonts w:ascii="Times New Roman" w:eastAsia="SimSun" w:hAnsi="Times New Roman" w:cs="Times New Roman"/>
      <w:sz w:val="20"/>
      <w:szCs w:val="20"/>
      <w:lang w:eastAsia="en-GB"/>
    </w:rPr>
  </w:style>
  <w:style w:type="paragraph" w:styleId="ListParagraph">
    <w:name w:val="List Paragraph"/>
    <w:basedOn w:val="Normal"/>
    <w:uiPriority w:val="34"/>
    <w:qFormat/>
    <w:rsid w:val="001019A7"/>
    <w:pPr>
      <w:ind w:left="720"/>
      <w:contextualSpacing/>
    </w:pPr>
  </w:style>
  <w:style w:type="paragraph" w:styleId="NormalIndent">
    <w:name w:val="Normal Indent"/>
    <w:basedOn w:val="Normal"/>
    <w:rsid w:val="00867CEA"/>
    <w:pPr>
      <w:spacing w:after="120" w:line="240" w:lineRule="auto"/>
      <w:ind w:left="720"/>
      <w:jc w:val="both"/>
    </w:pPr>
    <w:rPr>
      <w:rFonts w:ascii="Arial" w:eastAsia="Times New Roman" w:hAnsi="Arial" w:cs="Times New Roman"/>
      <w:szCs w:val="20"/>
      <w:lang w:eastAsia="en-US"/>
    </w:rPr>
  </w:style>
  <w:style w:type="paragraph" w:styleId="Footer">
    <w:name w:val="footer"/>
    <w:basedOn w:val="Normal"/>
    <w:link w:val="FooterChar"/>
    <w:uiPriority w:val="99"/>
    <w:unhideWhenUsed/>
    <w:rsid w:val="0056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F5E"/>
  </w:style>
  <w:style w:type="character" w:styleId="CommentReference">
    <w:name w:val="annotation reference"/>
    <w:basedOn w:val="DefaultParagraphFont"/>
    <w:rsid w:val="00917473"/>
    <w:rPr>
      <w:sz w:val="16"/>
      <w:szCs w:val="16"/>
    </w:rPr>
  </w:style>
  <w:style w:type="paragraph" w:styleId="CommentText">
    <w:name w:val="annotation text"/>
    <w:basedOn w:val="Normal"/>
    <w:link w:val="CommentTextChar"/>
    <w:rsid w:val="0091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17473"/>
    <w:rPr>
      <w:rFonts w:ascii="Times New Roman" w:eastAsia="Times New Roman" w:hAnsi="Times New Roman" w:cs="Times New Roman"/>
      <w:sz w:val="20"/>
      <w:szCs w:val="20"/>
    </w:rPr>
  </w:style>
  <w:style w:type="table" w:customStyle="1" w:styleId="TableGrid1">
    <w:name w:val="Table Grid1"/>
    <w:basedOn w:val="TableNormal"/>
    <w:next w:val="TableGrid"/>
    <w:rsid w:val="009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E1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273BA"/>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273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9842">
      <w:bodyDiv w:val="1"/>
      <w:marLeft w:val="0"/>
      <w:marRight w:val="0"/>
      <w:marTop w:val="0"/>
      <w:marBottom w:val="0"/>
      <w:divBdr>
        <w:top w:val="none" w:sz="0" w:space="0" w:color="auto"/>
        <w:left w:val="none" w:sz="0" w:space="0" w:color="auto"/>
        <w:bottom w:val="none" w:sz="0" w:space="0" w:color="auto"/>
        <w:right w:val="none" w:sz="0" w:space="0" w:color="auto"/>
      </w:divBdr>
    </w:div>
    <w:div w:id="11619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sites/entrez?Db=pubmed&amp;Cmd=Search&amp;Term=%22Fiszbein%20A%22%5BAuthor%5D&amp;itool=EntrezSystem2.PEntrez.Pubmed.Pubmed_ResultsPanel.Pubmed_DiscoveryPanel.Pubmed_RVAbstractPlu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cbi.nlm.nih.gov/sites/entrez?Db=pubmed&amp;Cmd=Search&amp;Term=%22Kay%20SR%22%5BAuthor%5D&amp;itool=EntrezSystem2.PEntrez.Pubmed.Pubmed_ResultsPanel.Pubmed_DiscoveryPanel.Pubmed_RVAbstractPlus" TargetMode="External"/><Relationship Id="rId17" Type="http://schemas.openxmlformats.org/officeDocument/2006/relationships/hyperlink" Target="http://www.biostat.wisc.edu/landemets/" TargetMode="External"/><Relationship Id="rId2" Type="http://schemas.openxmlformats.org/officeDocument/2006/relationships/customXml" Target="../customXml/item2.xml"/><Relationship Id="rId16" Type="http://schemas.openxmlformats.org/officeDocument/2006/relationships/hyperlink" Target="http://www.ctru-prospect.shef.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javascript:AL_get(this,%20'jour',%20'Schizophr%20Bull.');"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cbi.nlm.nih.gov/sites/entrez?Db=pubmed&amp;Cmd=Search&amp;Term=%22Opler%20LA%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04AD-9FAC-4A3D-8E95-822A440AD93B}">
  <ds:schemaRefs>
    <ds:schemaRef ds:uri="http://schemas.openxmlformats.org/officeDocument/2006/bibliography"/>
  </ds:schemaRefs>
</ds:datastoreItem>
</file>

<file path=customXml/itemProps2.xml><?xml version="1.0" encoding="utf-8"?>
<ds:datastoreItem xmlns:ds="http://schemas.openxmlformats.org/officeDocument/2006/customXml" ds:itemID="{A0B1A1BF-DA11-43B2-8EDA-71FEC44B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vleeson</dc:creator>
  <cp:lastModifiedBy>Louise</cp:lastModifiedBy>
  <cp:revision>5</cp:revision>
  <cp:lastPrinted>2014-11-11T13:36:00Z</cp:lastPrinted>
  <dcterms:created xsi:type="dcterms:W3CDTF">2015-02-03T11:46:00Z</dcterms:created>
  <dcterms:modified xsi:type="dcterms:W3CDTF">2015-02-09T08:21:00Z</dcterms:modified>
</cp:coreProperties>
</file>