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14:paraId="786A47E7" w14:textId="77777777" w:rsidTr="0040652D">
        <w:trPr>
          <w:trHeight w:val="1192"/>
        </w:trPr>
        <w:tc>
          <w:tcPr>
            <w:tcW w:w="5634" w:type="dxa"/>
          </w:tcPr>
          <w:p w14:paraId="07FFEBCD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14:paraId="0005C52F" w14:textId="77777777" w:rsidR="00520F98" w:rsidRDefault="00520F98" w:rsidP="008105B7">
            <w:pPr>
              <w:pStyle w:val="Heading1"/>
            </w:pPr>
          </w:p>
        </w:tc>
      </w:tr>
      <w:tr w:rsidR="0040652D" w14:paraId="1D4CA49F" w14:textId="77777777" w:rsidTr="0040652D">
        <w:trPr>
          <w:trHeight w:val="469"/>
        </w:trPr>
        <w:tc>
          <w:tcPr>
            <w:tcW w:w="5634" w:type="dxa"/>
          </w:tcPr>
          <w:p w14:paraId="20557317" w14:textId="5B0135E8" w:rsidR="00520F98" w:rsidRDefault="00013FD8" w:rsidP="002A6CD4">
            <w:pPr>
              <w:pStyle w:val="Heading2"/>
            </w:pPr>
            <w:r>
              <w:t xml:space="preserve">Part Time </w:t>
            </w:r>
            <w:r w:rsidR="002F78C3" w:rsidRPr="001651B1">
              <w:t xml:space="preserve">Online Postgraduate </w:t>
            </w:r>
            <w:r w:rsidR="001651B1" w:rsidRPr="001651B1">
              <w:t>Teaching Assistant</w:t>
            </w:r>
            <w:r w:rsidR="002F78C3" w:rsidRPr="001651B1">
              <w:t xml:space="preserve"> (OPGT</w:t>
            </w:r>
            <w:r w:rsidR="001651B1" w:rsidRPr="001651B1">
              <w:t>A</w:t>
            </w:r>
            <w:r w:rsidR="002F78C3" w:rsidRPr="001651B1">
              <w:t>)</w:t>
            </w:r>
          </w:p>
        </w:tc>
        <w:tc>
          <w:tcPr>
            <w:tcW w:w="5166" w:type="dxa"/>
          </w:tcPr>
          <w:p w14:paraId="092CF8AC" w14:textId="0B5ECB02" w:rsidR="00520F98" w:rsidRDefault="00807790" w:rsidP="00EF5616">
            <w:pPr>
              <w:pStyle w:val="Heading3"/>
            </w:pPr>
            <w:r>
              <w:t xml:space="preserve">Grade: </w:t>
            </w:r>
            <w:r w:rsidR="00F73D8D">
              <w:t>Grade 6</w:t>
            </w:r>
            <w:r w:rsidR="003A1C0D">
              <w:br/>
              <w:t>HERA ref: 001736</w:t>
            </w:r>
          </w:p>
        </w:tc>
      </w:tr>
      <w:tr w:rsidR="0040652D" w14:paraId="45B047E5" w14:textId="77777777" w:rsidTr="0040652D">
        <w:trPr>
          <w:trHeight w:val="469"/>
        </w:trPr>
        <w:tc>
          <w:tcPr>
            <w:tcW w:w="5634" w:type="dxa"/>
          </w:tcPr>
          <w:p w14:paraId="20541BD7" w14:textId="68F11338"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  <w:r w:rsidR="005C3C55">
              <w:t>Physics and Astronomy</w:t>
            </w:r>
          </w:p>
        </w:tc>
        <w:tc>
          <w:tcPr>
            <w:tcW w:w="5166" w:type="dxa"/>
          </w:tcPr>
          <w:p w14:paraId="55BCC3CC" w14:textId="64C41917" w:rsidR="00520F98" w:rsidRDefault="00E15354" w:rsidP="00E15354">
            <w:pPr>
              <w:pStyle w:val="Heading3"/>
            </w:pPr>
            <w:r>
              <w:t>Location: London</w:t>
            </w:r>
            <w:r w:rsidR="005C3C55">
              <w:t>/Remote</w:t>
            </w:r>
          </w:p>
        </w:tc>
      </w:tr>
    </w:tbl>
    <w:p w14:paraId="16C2ED6B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818F" wp14:editId="360538CC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AAC26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E681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" filled="f" stroked="f">
                <v:textbox>
                  <w:txbxContent>
                    <w:p w14:paraId="23CAAC26" w14:textId="77777777"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14:paraId="4F1AD173" w14:textId="3712AC80" w:rsidR="007C7FF1" w:rsidRPr="005B0F27" w:rsidRDefault="00E15354" w:rsidP="007C7FF1">
      <w:r w:rsidRPr="00E15354">
        <w:t xml:space="preserve">Module </w:t>
      </w:r>
      <w:r w:rsidR="005D33DE">
        <w:t>L</w:t>
      </w:r>
      <w:r w:rsidR="00993DE1">
        <w:t>e</w:t>
      </w:r>
      <w:r w:rsidR="005D33DE">
        <w:t>cturer</w:t>
      </w:r>
      <w:r w:rsidRPr="00E15354">
        <w:t xml:space="preserve"> / D</w:t>
      </w:r>
      <w:r w:rsidR="00013FD8">
        <w:t xml:space="preserve">irector of Teaching </w:t>
      </w:r>
    </w:p>
    <w:p w14:paraId="52E20FBA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45824270" w14:textId="79975308"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The Department of </w:t>
      </w:r>
      <w:r w:rsidR="00097F4A">
        <w:rPr>
          <w:lang w:val="en-US" w:eastAsia="en-US"/>
        </w:rPr>
        <w:t>Physics and Astronomy</w:t>
      </w:r>
      <w:r w:rsidRPr="00E15354">
        <w:rPr>
          <w:lang w:val="en-US" w:eastAsia="en-US"/>
        </w:rPr>
        <w:t xml:space="preserve"> wishes to make up to </w:t>
      </w:r>
      <w:r w:rsidR="00167A39">
        <w:rPr>
          <w:lang w:val="en-US" w:eastAsia="en-US"/>
        </w:rPr>
        <w:t>66</w:t>
      </w:r>
      <w:r w:rsidRPr="00E15354">
        <w:rPr>
          <w:lang w:val="en-US" w:eastAsia="en-US"/>
        </w:rPr>
        <w:t xml:space="preserve"> appointments for </w:t>
      </w:r>
      <w:r w:rsidR="002F78C3" w:rsidRPr="001651B1">
        <w:rPr>
          <w:lang w:val="en-US" w:eastAsia="en-US"/>
        </w:rPr>
        <w:t>Online</w:t>
      </w:r>
      <w:r w:rsidR="000E1871" w:rsidRPr="001651B1">
        <w:rPr>
          <w:lang w:val="en-US" w:eastAsia="en-US"/>
        </w:rPr>
        <w:t xml:space="preserve"> </w:t>
      </w:r>
      <w:r w:rsidR="001651B1">
        <w:rPr>
          <w:lang w:val="en-US" w:eastAsia="en-US"/>
        </w:rPr>
        <w:t xml:space="preserve">PGTAs </w:t>
      </w:r>
      <w:r w:rsidR="000E1871">
        <w:rPr>
          <w:lang w:val="en-US" w:eastAsia="en-US"/>
        </w:rPr>
        <w:t xml:space="preserve">for the </w:t>
      </w:r>
      <w:r w:rsidR="00167A39">
        <w:rPr>
          <w:lang w:val="en-US" w:eastAsia="en-US"/>
        </w:rPr>
        <w:t>2020/21</w:t>
      </w:r>
      <w:r w:rsidRPr="00E15354">
        <w:rPr>
          <w:lang w:val="en-US" w:eastAsia="en-US"/>
        </w:rPr>
        <w:t xml:space="preserve"> academic year. </w:t>
      </w:r>
    </w:p>
    <w:p w14:paraId="3D5958FC" w14:textId="32B03FD2" w:rsidR="00013FD8" w:rsidRPr="00E15354" w:rsidRDefault="00013FD8" w:rsidP="00E15354">
      <w:pPr>
        <w:rPr>
          <w:lang w:val="en-US" w:eastAsia="en-US"/>
        </w:rPr>
      </w:pPr>
      <w:r>
        <w:rPr>
          <w:lang w:val="en-US" w:eastAsia="en-US"/>
        </w:rPr>
        <w:t xml:space="preserve">This will typically be 3 hours per week for 11 weeks. </w:t>
      </w:r>
    </w:p>
    <w:p w14:paraId="313BA3CC" w14:textId="77777777"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14:paraId="3C268A53" w14:textId="5AD0790F" w:rsidR="002F78C3" w:rsidRDefault="002F78C3" w:rsidP="002F78C3">
      <w:r>
        <w:t>O</w:t>
      </w:r>
      <w:r w:rsidRPr="00FB0A5A">
        <w:t>nline teaching involves a new relationship between students, lecturers and material</w:t>
      </w:r>
      <w:r>
        <w:t>. This presents an opportunity for a new role for postgraduate research students at UCL.</w:t>
      </w:r>
    </w:p>
    <w:p w14:paraId="3901C5D8" w14:textId="3038A2E0" w:rsidR="002F78C3" w:rsidRDefault="002F78C3" w:rsidP="002F78C3">
      <w:pPr>
        <w:rPr>
          <w:color w:val="auto"/>
          <w:lang w:val="en-US"/>
        </w:rPr>
      </w:pPr>
      <w:r w:rsidRPr="001651B1">
        <w:t xml:space="preserve">The Online Postgraduate </w:t>
      </w:r>
      <w:r w:rsidR="001651B1" w:rsidRPr="001651B1">
        <w:t xml:space="preserve">Teaching </w:t>
      </w:r>
      <w:proofErr w:type="spellStart"/>
      <w:r w:rsidR="001651B1" w:rsidRPr="001651B1">
        <w:t>Assitant</w:t>
      </w:r>
      <w:proofErr w:type="spellEnd"/>
      <w:r w:rsidR="001651B1" w:rsidRPr="001651B1">
        <w:t xml:space="preserve"> </w:t>
      </w:r>
      <w:r w:rsidRPr="001651B1">
        <w:t>(OPGT</w:t>
      </w:r>
      <w:r w:rsidR="001651B1" w:rsidRPr="001651B1">
        <w:t>A</w:t>
      </w:r>
      <w:r w:rsidRPr="001651B1">
        <w:t>)</w:t>
      </w:r>
      <w:r w:rsidRPr="00753839">
        <w:t xml:space="preserve"> </w:t>
      </w:r>
      <w:r>
        <w:t xml:space="preserve">will </w:t>
      </w:r>
      <w:r w:rsidRPr="00753839">
        <w:t xml:space="preserve">play a key academic support role </w:t>
      </w:r>
      <w:r>
        <w:t>for</w:t>
      </w:r>
      <w:r w:rsidRPr="00753839">
        <w:t xml:space="preserve"> </w:t>
      </w:r>
      <w:r>
        <w:t>students during online learning.</w:t>
      </w:r>
    </w:p>
    <w:p w14:paraId="58078C2B" w14:textId="1D08E834" w:rsidR="009A1E18" w:rsidRDefault="00E15354" w:rsidP="00E15354">
      <w:pPr>
        <w:rPr>
          <w:color w:val="auto"/>
          <w:lang w:val="en-US"/>
        </w:rPr>
      </w:pPr>
      <w:r w:rsidRPr="00E15354">
        <w:rPr>
          <w:color w:val="auto"/>
          <w:lang w:val="en-US"/>
        </w:rPr>
        <w:t xml:space="preserve">The purpose of this job is to </w:t>
      </w:r>
      <w:r w:rsidR="005D33DE">
        <w:rPr>
          <w:color w:val="auto"/>
          <w:lang w:val="en-US"/>
        </w:rPr>
        <w:t xml:space="preserve">support teaching and learning </w:t>
      </w:r>
      <w:r w:rsidR="005D33DE">
        <w:t xml:space="preserve">in our modules, working with academic module leads </w:t>
      </w:r>
      <w:r w:rsidR="002F78C3">
        <w:t>to support groups of 40 students, acting as a first point of contact, facilitating online learning and monitoring students’ engagement and progress</w:t>
      </w:r>
      <w:r w:rsidR="000218F5">
        <w:rPr>
          <w:color w:val="auto"/>
          <w:lang w:val="en-US"/>
        </w:rPr>
        <w:t>.</w:t>
      </w:r>
    </w:p>
    <w:p w14:paraId="099E6FDA" w14:textId="6CC3A604" w:rsidR="00BA46A1" w:rsidRDefault="002F78C3" w:rsidP="00E15354">
      <w:pPr>
        <w:rPr>
          <w:lang w:val="en-US" w:eastAsia="en-US"/>
        </w:rPr>
      </w:pPr>
      <w:r>
        <w:rPr>
          <w:lang w:val="en-US" w:eastAsia="en-US"/>
        </w:rPr>
        <w:t>The m</w:t>
      </w:r>
      <w:r w:rsidR="00E15354" w:rsidRPr="00E15354">
        <w:rPr>
          <w:lang w:val="en-US" w:eastAsia="en-US"/>
        </w:rPr>
        <w:t xml:space="preserve">ain duties of the post are </w:t>
      </w:r>
      <w:r w:rsidR="005C744E">
        <w:rPr>
          <w:lang w:val="en-US" w:eastAsia="en-US"/>
        </w:rPr>
        <w:t xml:space="preserve">monitoring and encouraging student engagement </w:t>
      </w:r>
      <w:r w:rsidR="009706D4">
        <w:rPr>
          <w:lang w:val="en-US" w:eastAsia="en-US"/>
        </w:rPr>
        <w:t xml:space="preserve">with online content and activities, liaising </w:t>
      </w:r>
      <w:r w:rsidR="00E15354" w:rsidRPr="00E15354">
        <w:rPr>
          <w:lang w:val="en-US" w:eastAsia="en-US"/>
        </w:rPr>
        <w:t xml:space="preserve">with the </w:t>
      </w:r>
      <w:r w:rsidR="00BA46A1">
        <w:rPr>
          <w:lang w:val="en-US" w:eastAsia="en-US"/>
        </w:rPr>
        <w:t>module lead</w:t>
      </w:r>
      <w:r w:rsidR="00E15354" w:rsidRPr="00E15354">
        <w:rPr>
          <w:lang w:val="en-US" w:eastAsia="en-US"/>
        </w:rPr>
        <w:t xml:space="preserve">, </w:t>
      </w:r>
      <w:r w:rsidR="009706D4">
        <w:rPr>
          <w:lang w:val="en-US" w:eastAsia="en-US"/>
        </w:rPr>
        <w:t xml:space="preserve">providing </w:t>
      </w:r>
      <w:r w:rsidR="00E15354" w:rsidRPr="00E15354">
        <w:rPr>
          <w:lang w:val="en-US" w:eastAsia="en-US"/>
        </w:rPr>
        <w:t xml:space="preserve"> </w:t>
      </w:r>
      <w:r>
        <w:rPr>
          <w:lang w:val="en-US" w:eastAsia="en-US"/>
        </w:rPr>
        <w:t>virtual</w:t>
      </w:r>
      <w:r w:rsidR="00E15354" w:rsidRPr="00E15354">
        <w:rPr>
          <w:lang w:val="en-US" w:eastAsia="en-US"/>
        </w:rPr>
        <w:t xml:space="preserve"> office hour</w:t>
      </w:r>
      <w:r w:rsidR="000218F5">
        <w:rPr>
          <w:lang w:val="en-US" w:eastAsia="en-US"/>
        </w:rPr>
        <w:t>s</w:t>
      </w:r>
      <w:r w:rsidR="00E15354" w:rsidRPr="00E15354">
        <w:rPr>
          <w:lang w:val="en-US" w:eastAsia="en-US"/>
        </w:rPr>
        <w:t xml:space="preserve">, </w:t>
      </w:r>
      <w:r>
        <w:rPr>
          <w:lang w:val="en-US" w:eastAsia="en-US"/>
        </w:rPr>
        <w:t>signposting support, and responding to student queries.</w:t>
      </w:r>
      <w:r w:rsidR="00E15354" w:rsidRPr="00E15354">
        <w:rPr>
          <w:lang w:val="en-US" w:eastAsia="en-US"/>
        </w:rPr>
        <w:t xml:space="preserve"> </w:t>
      </w:r>
    </w:p>
    <w:p w14:paraId="34993D44" w14:textId="7EC2936B" w:rsidR="000218F5" w:rsidRDefault="002F78C3" w:rsidP="00E15354">
      <w:pPr>
        <w:rPr>
          <w:lang w:val="en-US" w:eastAsia="en-US"/>
        </w:rPr>
      </w:pPr>
      <w:r>
        <w:rPr>
          <w:lang w:val="en-US" w:eastAsia="en-US"/>
        </w:rPr>
        <w:t xml:space="preserve">There may also be some facilitation of group tutorials and some </w:t>
      </w:r>
      <w:r w:rsidR="00E15354" w:rsidRPr="00E15354">
        <w:rPr>
          <w:lang w:val="en-US" w:eastAsia="en-US"/>
        </w:rPr>
        <w:t>coursework assessment</w:t>
      </w:r>
      <w:r>
        <w:rPr>
          <w:lang w:val="en-US" w:eastAsia="en-US"/>
        </w:rPr>
        <w:t xml:space="preserve">, </w:t>
      </w:r>
      <w:r w:rsidR="00E15354" w:rsidRPr="00E15354">
        <w:rPr>
          <w:lang w:val="en-US" w:eastAsia="en-US"/>
        </w:rPr>
        <w:t>examination marking</w:t>
      </w:r>
      <w:r>
        <w:rPr>
          <w:lang w:val="en-US" w:eastAsia="en-US"/>
        </w:rPr>
        <w:t xml:space="preserve"> and provision of formative and summative feedback, depending on departmental need.</w:t>
      </w:r>
    </w:p>
    <w:p w14:paraId="75D025E7" w14:textId="2DF7BE7E" w:rsidR="00E15354" w:rsidRDefault="002F78C3" w:rsidP="00E15354">
      <w:pPr>
        <w:rPr>
          <w:lang w:val="en-US" w:eastAsia="en-US"/>
        </w:rPr>
      </w:pPr>
      <w:r w:rsidRPr="001651B1">
        <w:rPr>
          <w:lang w:val="en-US" w:eastAsia="en-US"/>
        </w:rPr>
        <w:t xml:space="preserve">Online </w:t>
      </w:r>
      <w:r w:rsidR="001651B1">
        <w:rPr>
          <w:lang w:val="en-US" w:eastAsia="en-US"/>
        </w:rPr>
        <w:t>PGTAs</w:t>
      </w:r>
      <w:r w:rsidR="00E15354" w:rsidRPr="00E15354">
        <w:rPr>
          <w:lang w:val="en-US" w:eastAsia="en-US"/>
        </w:rPr>
        <w:t xml:space="preserve"> wil</w:t>
      </w:r>
      <w:r>
        <w:rPr>
          <w:lang w:val="en-US" w:eastAsia="en-US"/>
        </w:rPr>
        <w:t xml:space="preserve">l be </w:t>
      </w:r>
      <w:r w:rsidR="00E15354" w:rsidRPr="00E15354">
        <w:rPr>
          <w:lang w:val="en-US" w:eastAsia="en-US"/>
        </w:rPr>
        <w:t>given training in support of their roles</w:t>
      </w:r>
      <w:r>
        <w:rPr>
          <w:lang w:val="en-US" w:eastAsia="en-US"/>
        </w:rPr>
        <w:t xml:space="preserve"> through the Arena One </w:t>
      </w:r>
      <w:proofErr w:type="spellStart"/>
      <w:r>
        <w:rPr>
          <w:lang w:val="en-US" w:eastAsia="en-US"/>
        </w:rPr>
        <w:t>Programme</w:t>
      </w:r>
      <w:proofErr w:type="spellEnd"/>
      <w:r>
        <w:rPr>
          <w:lang w:val="en-US" w:eastAsia="en-US"/>
        </w:rPr>
        <w:t xml:space="preserve"> and departmental support.</w:t>
      </w:r>
    </w:p>
    <w:p w14:paraId="18893FDF" w14:textId="13E47F02" w:rsidR="00AF6AF6" w:rsidRDefault="001651B1" w:rsidP="00E15354">
      <w:pPr>
        <w:rPr>
          <w:lang w:val="en-US" w:eastAsia="en-US"/>
        </w:rPr>
      </w:pPr>
      <w:r>
        <w:rPr>
          <w:lang w:val="en-US" w:eastAsia="en-US"/>
        </w:rPr>
        <w:t>OPGTAs</w:t>
      </w:r>
      <w:r w:rsidR="00E15354" w:rsidRPr="00E15354">
        <w:rPr>
          <w:lang w:val="en-US" w:eastAsia="en-US"/>
        </w:rPr>
        <w:t xml:space="preserve"> are expected to be able to commit </w:t>
      </w:r>
      <w:r w:rsidR="00BC7B36">
        <w:rPr>
          <w:lang w:val="en-US" w:eastAsia="en-US"/>
        </w:rPr>
        <w:t xml:space="preserve">three hours a week, flexibly </w:t>
      </w:r>
      <w:r w:rsidR="00AF6AF6">
        <w:rPr>
          <w:lang w:val="en-US" w:eastAsia="en-US"/>
        </w:rPr>
        <w:t>delivered</w:t>
      </w:r>
      <w:r w:rsidR="00E15354">
        <w:rPr>
          <w:lang w:val="en-US" w:eastAsia="en-US"/>
        </w:rPr>
        <w:t>.</w:t>
      </w:r>
      <w:r w:rsidR="00AF6AF6">
        <w:rPr>
          <w:lang w:val="en-US" w:eastAsia="en-US"/>
        </w:rPr>
        <w:t xml:space="preserve"> </w:t>
      </w:r>
    </w:p>
    <w:p w14:paraId="1856AADA" w14:textId="77777777" w:rsidR="00D24D60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  <w:r w:rsidR="00D24D60">
        <w:rPr>
          <w:lang w:val="en-US" w:eastAsia="en-US"/>
        </w:rPr>
        <w:t xml:space="preserve"> </w:t>
      </w:r>
    </w:p>
    <w:p w14:paraId="52005BE9" w14:textId="2ABC640A" w:rsidR="008105B7" w:rsidRPr="001D2704" w:rsidRDefault="00D24D60" w:rsidP="008105B7">
      <w:pPr>
        <w:pStyle w:val="Heading4"/>
        <w:rPr>
          <w:b w:val="0"/>
          <w:sz w:val="20"/>
          <w:szCs w:val="20"/>
          <w:lang w:val="en-US" w:eastAsia="en-US"/>
        </w:rPr>
      </w:pPr>
      <w:r w:rsidRPr="001D2704">
        <w:rPr>
          <w:b w:val="0"/>
          <w:sz w:val="20"/>
          <w:szCs w:val="20"/>
          <w:lang w:val="en-US" w:eastAsia="en-US"/>
        </w:rPr>
        <w:t>[Departments to adjust as necessary]</w:t>
      </w:r>
    </w:p>
    <w:p w14:paraId="72D2D069" w14:textId="3E4153DB" w:rsidR="00E15354" w:rsidRDefault="00E15354" w:rsidP="00290382">
      <w:pPr>
        <w:pStyle w:val="ListParagraph"/>
      </w:pPr>
      <w:r>
        <w:t xml:space="preserve">Act as a </w:t>
      </w:r>
      <w:r w:rsidRPr="00E15354">
        <w:t xml:space="preserve">main point of contact for </w:t>
      </w:r>
      <w:r w:rsidR="0030462D">
        <w:t xml:space="preserve">a </w:t>
      </w:r>
      <w:r w:rsidR="0028589F">
        <w:t>sub-</w:t>
      </w:r>
      <w:r w:rsidR="00291FB7">
        <w:t>cohort of 40 students</w:t>
      </w:r>
      <w:r w:rsidR="0030462D">
        <w:t xml:space="preserve"> on a module</w:t>
      </w:r>
      <w:r>
        <w:t>;</w:t>
      </w:r>
    </w:p>
    <w:p w14:paraId="5618E546" w14:textId="2C95C18B" w:rsidR="00291FB7" w:rsidRDefault="00291FB7" w:rsidP="00291FB7">
      <w:pPr>
        <w:pStyle w:val="ListParagraph"/>
      </w:pPr>
      <w:r>
        <w:t>H</w:t>
      </w:r>
      <w:r w:rsidRPr="00753839">
        <w:t>elp students succeed in making</w:t>
      </w:r>
      <w:r>
        <w:t xml:space="preserve"> </w:t>
      </w:r>
      <w:r w:rsidRPr="00753839">
        <w:t>the most of</w:t>
      </w:r>
      <w:r>
        <w:t xml:space="preserve"> resources and teaching materials available to them</w:t>
      </w:r>
      <w:r w:rsidRPr="00753839">
        <w:t xml:space="preserve"> in their learning</w:t>
      </w:r>
      <w:r>
        <w:t>;</w:t>
      </w:r>
    </w:p>
    <w:p w14:paraId="0E85F1C7" w14:textId="0E525520" w:rsidR="00242DBE" w:rsidRDefault="00242DBE" w:rsidP="00242DBE">
      <w:pPr>
        <w:pStyle w:val="ListParagraph"/>
      </w:pPr>
      <w:r>
        <w:t xml:space="preserve">Be available weekly at dedicated virtual office hour(s) for student drop-ins and </w:t>
      </w:r>
      <w:r w:rsidR="00BA46A1">
        <w:t>o</w:t>
      </w:r>
      <w:r>
        <w:t>ne-to-one appointments;</w:t>
      </w:r>
    </w:p>
    <w:p w14:paraId="490ADBD5" w14:textId="0651A8B6" w:rsidR="00242DBE" w:rsidRDefault="00242DBE" w:rsidP="00242DBE">
      <w:pPr>
        <w:pStyle w:val="ListParagraph"/>
      </w:pPr>
      <w:r w:rsidRPr="004447D5">
        <w:t xml:space="preserve">Respond to queries </w:t>
      </w:r>
      <w:r>
        <w:t>via</w:t>
      </w:r>
      <w:r w:rsidRPr="004447D5">
        <w:t xml:space="preserve"> </w:t>
      </w:r>
      <w:r>
        <w:t xml:space="preserve">discussion </w:t>
      </w:r>
      <w:r w:rsidRPr="004447D5">
        <w:t>for</w:t>
      </w:r>
      <w:r w:rsidR="00BA46A1">
        <w:t>a</w:t>
      </w:r>
      <w:r w:rsidRPr="004447D5">
        <w:t xml:space="preserve"> and</w:t>
      </w:r>
      <w:r>
        <w:t xml:space="preserve">/or </w:t>
      </w:r>
      <w:r w:rsidRPr="004447D5">
        <w:t xml:space="preserve">email, referring to </w:t>
      </w:r>
      <w:r>
        <w:t>departmental tutors/</w:t>
      </w:r>
      <w:r w:rsidR="00BA46A1">
        <w:t>module</w:t>
      </w:r>
      <w:r>
        <w:t xml:space="preserve"> leads and/or central support services</w:t>
      </w:r>
      <w:r w:rsidRPr="004447D5">
        <w:t xml:space="preserve"> as appropriate</w:t>
      </w:r>
      <w:r>
        <w:t>;</w:t>
      </w:r>
    </w:p>
    <w:p w14:paraId="7024FD5E" w14:textId="330F7550" w:rsidR="00291FB7" w:rsidRDefault="00242DBE" w:rsidP="00242DBE">
      <w:pPr>
        <w:pStyle w:val="ListParagraph"/>
      </w:pPr>
      <w:r w:rsidRPr="004447D5">
        <w:t>Monito</w:t>
      </w:r>
      <w:r>
        <w:t>r</w:t>
      </w:r>
      <w:r w:rsidRPr="004447D5">
        <w:t xml:space="preserve"> </w:t>
      </w:r>
      <w:r w:rsidR="00BA46A1">
        <w:t xml:space="preserve">students’ </w:t>
      </w:r>
      <w:r w:rsidRPr="004447D5">
        <w:t xml:space="preserve">online </w:t>
      </w:r>
      <w:r w:rsidRPr="00753839">
        <w:t>presence</w:t>
      </w:r>
      <w:r w:rsidR="00BA46A1">
        <w:t xml:space="preserve">, </w:t>
      </w:r>
      <w:r>
        <w:t>engagement</w:t>
      </w:r>
      <w:r w:rsidRPr="004447D5">
        <w:t xml:space="preserve"> </w:t>
      </w:r>
      <w:r w:rsidR="00BA46A1">
        <w:t>with their learning and their progress, returning data to the administrative office in a timely manner</w:t>
      </w:r>
      <w:r w:rsidR="00BA46A1" w:rsidRPr="004447D5">
        <w:t xml:space="preserve"> </w:t>
      </w:r>
      <w:r w:rsidRPr="004447D5">
        <w:t>and follow</w:t>
      </w:r>
      <w:r w:rsidR="00BA46A1">
        <w:t>ing</w:t>
      </w:r>
      <w:r>
        <w:t xml:space="preserve"> </w:t>
      </w:r>
      <w:r w:rsidRPr="004447D5">
        <w:t xml:space="preserve">up </w:t>
      </w:r>
      <w:r>
        <w:t>where necessary by</w:t>
      </w:r>
      <w:r w:rsidRPr="004447D5">
        <w:t xml:space="preserve"> offering support and encouragement </w:t>
      </w:r>
      <w:r>
        <w:t>and/or raising with departmental tutors/</w:t>
      </w:r>
      <w:r w:rsidR="00BA46A1">
        <w:t>module</w:t>
      </w:r>
      <w:r>
        <w:t xml:space="preserve"> leads as appropriate;</w:t>
      </w:r>
    </w:p>
    <w:p w14:paraId="2FBC2FCB" w14:textId="5EC5D7B4" w:rsidR="00A169F8" w:rsidRPr="00B57CA8" w:rsidRDefault="00242DBE" w:rsidP="00A169F8">
      <w:pPr>
        <w:pStyle w:val="ListParagraph"/>
        <w:rPr>
          <w:lang w:eastAsia="en-GB"/>
        </w:rPr>
      </w:pPr>
      <w:r w:rsidRPr="00B57CA8">
        <w:rPr>
          <w:lang w:eastAsia="en-GB"/>
        </w:rPr>
        <w:t xml:space="preserve">Design and </w:t>
      </w:r>
      <w:r w:rsidR="00B57CA8">
        <w:rPr>
          <w:lang w:eastAsia="en-GB"/>
        </w:rPr>
        <w:t>facilitate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>tutorials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>that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>promote</w:t>
      </w:r>
      <w:r w:rsidRPr="00B57CA8">
        <w:rPr>
          <w:lang w:eastAsia="en-GB"/>
        </w:rPr>
        <w:t xml:space="preserve"> </w:t>
      </w:r>
      <w:r w:rsidR="00B57CA8">
        <w:rPr>
          <w:lang w:eastAsia="en-GB"/>
        </w:rPr>
        <w:t xml:space="preserve">belonging, </w:t>
      </w:r>
      <w:r w:rsidRPr="00B57CA8">
        <w:rPr>
          <w:lang w:eastAsia="en-GB"/>
        </w:rPr>
        <w:t>peer interaction</w:t>
      </w:r>
      <w:r w:rsidR="00B57CA8">
        <w:rPr>
          <w:lang w:eastAsia="en-GB"/>
        </w:rPr>
        <w:t xml:space="preserve"> and group work, aimed at clarifying module content</w:t>
      </w:r>
      <w:r w:rsidRPr="00B57CA8">
        <w:rPr>
          <w:lang w:eastAsia="en-GB"/>
        </w:rPr>
        <w:t>;</w:t>
      </w:r>
      <w:r w:rsidR="00A169F8" w:rsidRPr="00B57CA8">
        <w:rPr>
          <w:lang w:eastAsia="en-GB"/>
        </w:rPr>
        <w:t xml:space="preserve"> </w:t>
      </w:r>
    </w:p>
    <w:p w14:paraId="61824494" w14:textId="77777777" w:rsidR="00E15354" w:rsidRPr="00242DBE" w:rsidRDefault="001A0134" w:rsidP="00E15354">
      <w:pPr>
        <w:pStyle w:val="ListParagraph"/>
        <w:rPr>
          <w:i/>
        </w:rPr>
      </w:pPr>
      <w:r w:rsidRPr="00242DBE">
        <w:rPr>
          <w:i/>
        </w:rPr>
        <w:t>Marking student assessments, generating and providing detailed feedback for students</w:t>
      </w:r>
      <w:r w:rsidR="00DB1799" w:rsidRPr="00242DBE">
        <w:rPr>
          <w:i/>
        </w:rPr>
        <w:t xml:space="preserve">. Tailoring </w:t>
      </w:r>
      <w:r w:rsidR="00DB1799" w:rsidRPr="00242DBE">
        <w:rPr>
          <w:i/>
        </w:rPr>
        <w:lastRenderedPageBreak/>
        <w:t>feedback as needed to ensure students clearly understand what is required of them</w:t>
      </w:r>
      <w:r w:rsidR="00E15354" w:rsidRPr="00242DBE">
        <w:rPr>
          <w:i/>
        </w:rPr>
        <w:t>;</w:t>
      </w:r>
    </w:p>
    <w:p w14:paraId="230C67D8" w14:textId="1E8D37B8" w:rsidR="00E15354" w:rsidRPr="00242DBE" w:rsidRDefault="00E15354" w:rsidP="00E15354">
      <w:pPr>
        <w:pStyle w:val="ListParagraph"/>
        <w:rPr>
          <w:i/>
        </w:rPr>
      </w:pPr>
      <w:r w:rsidRPr="00242DBE">
        <w:rPr>
          <w:i/>
        </w:rPr>
        <w:t>To generate and deliver formative feedback directly to students</w:t>
      </w:r>
      <w:r w:rsidR="00242DBE" w:rsidRPr="00242DBE">
        <w:rPr>
          <w:i/>
        </w:rPr>
        <w:t>;</w:t>
      </w:r>
    </w:p>
    <w:p w14:paraId="48D125A7" w14:textId="77777777" w:rsidR="00E15354" w:rsidRDefault="00E15354" w:rsidP="00E15354">
      <w:pPr>
        <w:pStyle w:val="ListParagraph"/>
      </w:pPr>
      <w:r>
        <w:t>Participation in r</w:t>
      </w:r>
      <w:r w:rsidRPr="00CF4528">
        <w:t>egular meetings with the course lecturer to discuss arising issues and problems</w:t>
      </w:r>
      <w:r>
        <w:t>;</w:t>
      </w:r>
    </w:p>
    <w:p w14:paraId="1A9E613F" w14:textId="33A6BB7F" w:rsidR="001A0134" w:rsidRPr="00CF4528" w:rsidRDefault="001A0134" w:rsidP="00E15354">
      <w:pPr>
        <w:pStyle w:val="ListParagraph"/>
      </w:pPr>
      <w:r>
        <w:t>Participate in the module delivery team assisting the module lead in the collection and review of module feedback</w:t>
      </w:r>
      <w:r w:rsidR="00242DBE">
        <w:t>;</w:t>
      </w:r>
    </w:p>
    <w:p w14:paraId="49055EBD" w14:textId="77777777" w:rsidR="00E15354" w:rsidRDefault="00E15354" w:rsidP="00E15354">
      <w:pPr>
        <w:pStyle w:val="ListParagraph"/>
      </w:pPr>
      <w:r w:rsidRPr="00CF4528">
        <w:t>Involvement in ad hoc meetings organized by Lecturers or the PGTA Administrator/Representative</w:t>
      </w:r>
      <w:r>
        <w:t>;</w:t>
      </w:r>
    </w:p>
    <w:p w14:paraId="05B22DB9" w14:textId="77777777" w:rsidR="00E15354" w:rsidRPr="00CF4528" w:rsidRDefault="00E15354" w:rsidP="00E15354">
      <w:pPr>
        <w:pStyle w:val="ListParagraph"/>
      </w:pPr>
      <w:r w:rsidRPr="00CF4528">
        <w:t>To actively follow and promote UCL policies</w:t>
      </w:r>
      <w:r>
        <w:t>, including Equal Opportunities;</w:t>
      </w:r>
    </w:p>
    <w:p w14:paraId="1F90D379" w14:textId="77777777" w:rsidR="00E15354" w:rsidRDefault="00E15354" w:rsidP="00E15354">
      <w:pPr>
        <w:pStyle w:val="ListParagraph"/>
      </w:pPr>
      <w:r w:rsidRPr="00CF4528">
        <w:t>To uphold confidentiality in regard</w:t>
      </w:r>
      <w:r>
        <w:t>s to students records and marks;</w:t>
      </w:r>
    </w:p>
    <w:p w14:paraId="120D8474" w14:textId="77777777" w:rsidR="00320FEA" w:rsidRPr="00E15354" w:rsidRDefault="00E15354" w:rsidP="00E15354">
      <w:pPr>
        <w:pStyle w:val="ListParagraph"/>
        <w:rPr>
          <w:color w:val="auto"/>
          <w:lang w:val="en-US"/>
        </w:rPr>
      </w:pPr>
      <w:r>
        <w:t>To engage with all training required to support the role.</w:t>
      </w:r>
    </w:p>
    <w:p w14:paraId="2B9F1229" w14:textId="77777777" w:rsidR="00820FCA" w:rsidRPr="000E1871" w:rsidRDefault="00820FCA" w:rsidP="00320FEA">
      <w:pPr>
        <w:pStyle w:val="ListParagraph"/>
        <w:rPr>
          <w:color w:val="auto"/>
          <w:lang w:val="en-US"/>
        </w:rPr>
        <w:sectPr w:rsidR="00820FCA" w:rsidRPr="000E1871" w:rsidSect="005136DA">
          <w:headerReference w:type="first" r:id="rId8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10887555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2F3442" w14:paraId="0069A2C2" w14:textId="77777777" w:rsidTr="00CB629F">
        <w:trPr>
          <w:trHeight w:val="395"/>
          <w:tblHeader/>
        </w:trPr>
        <w:tc>
          <w:tcPr>
            <w:tcW w:w="8222" w:type="dxa"/>
          </w:tcPr>
          <w:p w14:paraId="5E09E776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14:paraId="3D0192CD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14:paraId="0BEEC911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6F95AF9C" w14:textId="77777777"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C7EEA49" w14:textId="77777777" w:rsidR="002F3442" w:rsidRDefault="002F3442" w:rsidP="0051405E"/>
        </w:tc>
      </w:tr>
      <w:tr w:rsidR="002F3442" w14:paraId="285D2593" w14:textId="77777777" w:rsidTr="00CB629F">
        <w:trPr>
          <w:trHeight w:val="377"/>
        </w:trPr>
        <w:tc>
          <w:tcPr>
            <w:tcW w:w="8222" w:type="dxa"/>
          </w:tcPr>
          <w:p w14:paraId="51BCB9EB" w14:textId="6B680481" w:rsidR="00CB629F" w:rsidRPr="00E15354" w:rsidRDefault="00E15354" w:rsidP="0014480D">
            <w:pPr>
              <w:spacing w:after="0" w:line="240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Educated to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Masters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degree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level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or hav</w:t>
            </w:r>
            <w:r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equivalent experience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8136C6">
              <w:rPr>
                <w:rFonts w:asciiTheme="majorHAnsi" w:hAnsiTheme="majorHAnsi" w:cs="Arial"/>
                <w:sz w:val="22"/>
                <w:szCs w:val="22"/>
              </w:rPr>
              <w:t>in a relevant scientific discipline (</w:t>
            </w:r>
            <w:r w:rsidR="00917CB7" w:rsidRPr="00917CB7">
              <w:rPr>
                <w:rFonts w:asciiTheme="majorHAnsi" w:hAnsiTheme="majorHAnsi" w:cs="Arial"/>
                <w:sz w:val="22"/>
                <w:szCs w:val="22"/>
                <w:lang w:bidi="en-GB"/>
              </w:rPr>
              <w:t>for example Physics, Astrophysics, Natural Sciences).</w:t>
            </w:r>
          </w:p>
        </w:tc>
        <w:tc>
          <w:tcPr>
            <w:tcW w:w="2551" w:type="dxa"/>
          </w:tcPr>
          <w:p w14:paraId="5035507A" w14:textId="77777777" w:rsidR="002F3442" w:rsidRDefault="005D33DE" w:rsidP="0051405E">
            <w:r>
              <w:t>E</w:t>
            </w:r>
          </w:p>
        </w:tc>
      </w:tr>
      <w:tr w:rsidR="00013FD8" w14:paraId="37DB091F" w14:textId="77777777" w:rsidTr="00CB629F">
        <w:trPr>
          <w:trHeight w:val="377"/>
        </w:trPr>
        <w:tc>
          <w:tcPr>
            <w:tcW w:w="8222" w:type="dxa"/>
          </w:tcPr>
          <w:p w14:paraId="624766AD" w14:textId="3973457A" w:rsidR="00013FD8" w:rsidRPr="00E15354" w:rsidRDefault="00013FD8" w:rsidP="0051405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t xml:space="preserve">Completion of the </w:t>
            </w:r>
            <w:hyperlink r:id="rId9">
              <w:r>
                <w:rPr>
                  <w:color w:val="0000FF"/>
                  <w:u w:val="single" w:color="0000FF"/>
                </w:rPr>
                <w:t>UCL Arena One</w:t>
              </w:r>
              <w:r>
                <w:rPr>
                  <w:color w:val="0000FF"/>
                </w:rPr>
                <w:t xml:space="preserve"> </w:t>
              </w:r>
            </w:hyperlink>
            <w:r>
              <w:t xml:space="preserve">scheme prior to the commencement of work </w:t>
            </w:r>
          </w:p>
        </w:tc>
        <w:tc>
          <w:tcPr>
            <w:tcW w:w="2551" w:type="dxa"/>
          </w:tcPr>
          <w:p w14:paraId="683AEE76" w14:textId="3E860580" w:rsidR="00013FD8" w:rsidRDefault="00013FD8" w:rsidP="0051405E">
            <w:r>
              <w:t>E</w:t>
            </w:r>
          </w:p>
        </w:tc>
      </w:tr>
      <w:tr w:rsidR="002F3442" w14:paraId="08E59C57" w14:textId="77777777" w:rsidTr="00CB629F">
        <w:trPr>
          <w:trHeight w:val="377"/>
        </w:trPr>
        <w:tc>
          <w:tcPr>
            <w:tcW w:w="8222" w:type="dxa"/>
          </w:tcPr>
          <w:p w14:paraId="1877364C" w14:textId="5EB6ED63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Working towards a </w:t>
            </w:r>
            <w:r w:rsidR="00AB7448">
              <w:rPr>
                <w:rFonts w:asciiTheme="majorHAnsi" w:hAnsiTheme="majorHAnsi" w:cs="Arial"/>
                <w:sz w:val="22"/>
                <w:szCs w:val="22"/>
              </w:rPr>
              <w:t>relevant</w:t>
            </w:r>
            <w:r w:rsidR="0066167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postgraduate degree (PhD)</w:t>
            </w:r>
          </w:p>
        </w:tc>
        <w:tc>
          <w:tcPr>
            <w:tcW w:w="2551" w:type="dxa"/>
          </w:tcPr>
          <w:p w14:paraId="306AB66F" w14:textId="77777777" w:rsidR="002F3442" w:rsidRDefault="001A0134" w:rsidP="0051405E">
            <w:r>
              <w:t>E</w:t>
            </w:r>
          </w:p>
        </w:tc>
      </w:tr>
      <w:tr w:rsidR="002F3442" w14:paraId="4B5D2473" w14:textId="77777777" w:rsidTr="00CB629F">
        <w:trPr>
          <w:trHeight w:val="377"/>
        </w:trPr>
        <w:tc>
          <w:tcPr>
            <w:tcW w:w="8222" w:type="dxa"/>
          </w:tcPr>
          <w:p w14:paraId="6BAB6B2D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2551" w:type="dxa"/>
          </w:tcPr>
          <w:p w14:paraId="2A3B98AE" w14:textId="77777777" w:rsidR="002F3442" w:rsidRDefault="001A0134" w:rsidP="0051405E">
            <w:r>
              <w:t>E</w:t>
            </w:r>
          </w:p>
        </w:tc>
      </w:tr>
      <w:tr w:rsidR="009A1E18" w14:paraId="1F459B3C" w14:textId="77777777" w:rsidTr="00CB629F">
        <w:trPr>
          <w:trHeight w:val="377"/>
        </w:trPr>
        <w:tc>
          <w:tcPr>
            <w:tcW w:w="8222" w:type="dxa"/>
          </w:tcPr>
          <w:p w14:paraId="4F4C366E" w14:textId="2F7F0539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working knowledge of</w:t>
            </w:r>
            <w:r w:rsidR="00826D21">
              <w:rPr>
                <w:rFonts w:asciiTheme="majorHAnsi" w:hAnsiTheme="majorHAnsi" w:cs="Arial"/>
                <w:sz w:val="22"/>
                <w:szCs w:val="22"/>
              </w:rPr>
              <w:t xml:space="preserve"> a range of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software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>including</w:t>
            </w:r>
            <w:r w:rsidR="00242DBE" w:rsidRPr="001D2704">
              <w:rPr>
                <w:rFonts w:asciiTheme="majorHAnsi" w:hAnsiTheme="majorHAnsi" w:cs="Arial"/>
                <w:sz w:val="22"/>
                <w:szCs w:val="22"/>
              </w:rPr>
              <w:t xml:space="preserve"> Moodle, Teams</w:t>
            </w:r>
            <w:r w:rsidR="00242DBE" w:rsidRPr="005414B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Word, Excel, email, and the internet</w:t>
            </w:r>
            <w:r w:rsidR="00D35A32">
              <w:rPr>
                <w:rFonts w:asciiTheme="majorHAnsi" w:hAnsiTheme="majorHAnsi" w:cs="Arial"/>
                <w:sz w:val="22"/>
                <w:szCs w:val="22"/>
              </w:rPr>
              <w:t xml:space="preserve">, in addition to </w:t>
            </w:r>
            <w:r w:rsidR="00B67743">
              <w:rPr>
                <w:rFonts w:asciiTheme="majorHAnsi" w:hAnsiTheme="majorHAnsi" w:cs="Arial"/>
                <w:sz w:val="22"/>
                <w:szCs w:val="22"/>
              </w:rPr>
              <w:t>module</w:t>
            </w:r>
            <w:r w:rsidR="00D35A32">
              <w:rPr>
                <w:rFonts w:asciiTheme="majorHAnsi" w:hAnsiTheme="majorHAnsi" w:cs="Arial"/>
                <w:sz w:val="22"/>
                <w:szCs w:val="22"/>
              </w:rPr>
              <w:t xml:space="preserve">-specific knowledge as outlined in Section 4 of the </w:t>
            </w:r>
            <w:r w:rsidR="00B67743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="00B67743" w:rsidRPr="00B6774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Teaching Opportunities in Physics and Astronomy 2020/21</w:t>
            </w:r>
            <w:r w:rsidR="00B67743">
              <w:rPr>
                <w:rFonts w:asciiTheme="majorHAnsi" w:hAnsiTheme="majorHAnsi" w:cs="Arial"/>
                <w:sz w:val="22"/>
                <w:szCs w:val="22"/>
              </w:rPr>
              <w:t>” booklet</w:t>
            </w:r>
          </w:p>
        </w:tc>
        <w:tc>
          <w:tcPr>
            <w:tcW w:w="2551" w:type="dxa"/>
          </w:tcPr>
          <w:p w14:paraId="39D0EDF5" w14:textId="2D3F4D80" w:rsidR="00AB7448" w:rsidRDefault="001A0134" w:rsidP="0051405E">
            <w:r>
              <w:t>E</w:t>
            </w:r>
          </w:p>
        </w:tc>
      </w:tr>
      <w:tr w:rsidR="002F3442" w14:paraId="7009C038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0A05D317" w14:textId="77777777"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7FDB38" w14:textId="77777777" w:rsidR="002F3442" w:rsidRDefault="002F3442" w:rsidP="0051405E"/>
        </w:tc>
      </w:tr>
      <w:tr w:rsidR="002F3442" w14:paraId="45D8A24F" w14:textId="77777777" w:rsidTr="00CB629F">
        <w:trPr>
          <w:trHeight w:val="377"/>
        </w:trPr>
        <w:tc>
          <w:tcPr>
            <w:tcW w:w="8222" w:type="dxa"/>
          </w:tcPr>
          <w:p w14:paraId="41200C1F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14:paraId="057DCAC5" w14:textId="77777777" w:rsidR="002F3442" w:rsidRDefault="001A0134" w:rsidP="0051405E">
            <w:r>
              <w:t>E</w:t>
            </w:r>
          </w:p>
        </w:tc>
      </w:tr>
      <w:tr w:rsidR="002F3442" w14:paraId="7A843E7B" w14:textId="77777777" w:rsidTr="00CB629F">
        <w:trPr>
          <w:trHeight w:val="377"/>
        </w:trPr>
        <w:tc>
          <w:tcPr>
            <w:tcW w:w="8222" w:type="dxa"/>
          </w:tcPr>
          <w:p w14:paraId="22D79A20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2551" w:type="dxa"/>
          </w:tcPr>
          <w:p w14:paraId="444086E8" w14:textId="77777777" w:rsidR="002F3442" w:rsidRDefault="001A0134" w:rsidP="0051405E">
            <w:r>
              <w:t>E</w:t>
            </w:r>
          </w:p>
        </w:tc>
      </w:tr>
      <w:tr w:rsidR="002F3442" w14:paraId="6F86EB4D" w14:textId="77777777" w:rsidTr="00CB629F">
        <w:trPr>
          <w:trHeight w:val="377"/>
        </w:trPr>
        <w:tc>
          <w:tcPr>
            <w:tcW w:w="8222" w:type="dxa"/>
          </w:tcPr>
          <w:p w14:paraId="3E5DEA79" w14:textId="3C82F1D6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1D2704">
              <w:rPr>
                <w:rFonts w:asciiTheme="majorHAnsi" w:hAnsiTheme="majorHAnsi" w:cs="Arial"/>
                <w:sz w:val="22"/>
                <w:szCs w:val="22"/>
              </w:rPr>
              <w:t>Ability to be flexible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, and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 xml:space="preserve">to respond 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proactively and in a timely manner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>to changing priorities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 and student needs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 xml:space="preserve"> in a busy environment</w:t>
            </w:r>
            <w:r w:rsidR="00BA46A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3F8EC1D" w14:textId="77777777" w:rsidR="002F3442" w:rsidRDefault="001A0134" w:rsidP="0051405E">
            <w:r>
              <w:t>E</w:t>
            </w:r>
          </w:p>
        </w:tc>
      </w:tr>
      <w:tr w:rsidR="009A1E18" w14:paraId="5FF4EB08" w14:textId="77777777" w:rsidTr="00CB629F">
        <w:trPr>
          <w:trHeight w:val="377"/>
        </w:trPr>
        <w:tc>
          <w:tcPr>
            <w:tcW w:w="8222" w:type="dxa"/>
          </w:tcPr>
          <w:p w14:paraId="25FDCFDA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14:paraId="151BA0CF" w14:textId="77777777" w:rsidR="009A1E18" w:rsidRDefault="001A0134" w:rsidP="0051405E">
            <w:r>
              <w:t>E</w:t>
            </w:r>
          </w:p>
        </w:tc>
      </w:tr>
      <w:tr w:rsidR="009A1E18" w14:paraId="59DC60A8" w14:textId="77777777" w:rsidTr="00CB629F">
        <w:trPr>
          <w:trHeight w:val="377"/>
        </w:trPr>
        <w:tc>
          <w:tcPr>
            <w:tcW w:w="8222" w:type="dxa"/>
          </w:tcPr>
          <w:p w14:paraId="51E976D5" w14:textId="77777777" w:rsidR="009A1E18" w:rsidRPr="005414B2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5414B2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2551" w:type="dxa"/>
          </w:tcPr>
          <w:p w14:paraId="0480BCEC" w14:textId="77777777" w:rsidR="009A1E18" w:rsidRDefault="001A0134" w:rsidP="0051405E">
            <w:r>
              <w:t>E</w:t>
            </w:r>
          </w:p>
        </w:tc>
      </w:tr>
      <w:tr w:rsidR="00E81948" w14:paraId="3385A70F" w14:textId="77777777" w:rsidTr="00CB629F">
        <w:trPr>
          <w:trHeight w:val="377"/>
        </w:trPr>
        <w:tc>
          <w:tcPr>
            <w:tcW w:w="8222" w:type="dxa"/>
          </w:tcPr>
          <w:p w14:paraId="7674EC56" w14:textId="416D4033" w:rsidR="00E81948" w:rsidRPr="005414B2" w:rsidRDefault="00E81948" w:rsidP="002A6CD4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1D2704">
              <w:rPr>
                <w:color w:val="000000"/>
                <w:lang w:val="es-ES"/>
              </w:rPr>
              <w:t>Ability</w:t>
            </w:r>
            <w:proofErr w:type="spellEnd"/>
            <w:r w:rsidRPr="001D2704">
              <w:rPr>
                <w:color w:val="000000"/>
                <w:lang w:val="es-ES"/>
              </w:rPr>
              <w:t xml:space="preserve"> to </w:t>
            </w:r>
            <w:proofErr w:type="spellStart"/>
            <w:r w:rsidR="00BA46A1" w:rsidRPr="001D2704">
              <w:rPr>
                <w:color w:val="000000"/>
                <w:lang w:val="es-ES"/>
              </w:rPr>
              <w:t>provide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</w:t>
            </w:r>
            <w:proofErr w:type="spellStart"/>
            <w:r w:rsidR="00BA46A1" w:rsidRPr="001D2704">
              <w:rPr>
                <w:color w:val="000000"/>
                <w:lang w:val="es-ES"/>
              </w:rPr>
              <w:t>clear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, </w:t>
            </w:r>
            <w:proofErr w:type="spellStart"/>
            <w:r w:rsidR="00BA46A1" w:rsidRPr="001D2704">
              <w:rPr>
                <w:color w:val="000000"/>
                <w:lang w:val="es-ES"/>
              </w:rPr>
              <w:t>well-informed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and </w:t>
            </w:r>
            <w:proofErr w:type="spellStart"/>
            <w:r w:rsidR="00BA46A1" w:rsidRPr="001D2704">
              <w:rPr>
                <w:color w:val="000000"/>
                <w:lang w:val="es-ES"/>
              </w:rPr>
              <w:t>empathetic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</w:t>
            </w:r>
            <w:proofErr w:type="spellStart"/>
            <w:r w:rsidR="00BA46A1" w:rsidRPr="001D2704">
              <w:rPr>
                <w:color w:val="000000"/>
                <w:lang w:val="es-ES"/>
              </w:rPr>
              <w:t>advice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and </w:t>
            </w:r>
            <w:proofErr w:type="spellStart"/>
            <w:r w:rsidR="00BA46A1" w:rsidRPr="001D2704">
              <w:rPr>
                <w:color w:val="000000"/>
                <w:lang w:val="es-ES"/>
              </w:rPr>
              <w:t>support</w:t>
            </w:r>
            <w:proofErr w:type="spellEnd"/>
            <w:r w:rsidR="00BA46A1" w:rsidRPr="001D2704">
              <w:rPr>
                <w:color w:val="000000"/>
                <w:lang w:val="es-ES"/>
              </w:rPr>
              <w:t xml:space="preserve"> to </w:t>
            </w:r>
            <w:proofErr w:type="spellStart"/>
            <w:r w:rsidR="00BA46A1" w:rsidRPr="001D2704">
              <w:rPr>
                <w:color w:val="000000"/>
                <w:lang w:val="es-ES"/>
              </w:rPr>
              <w:t>students</w:t>
            </w:r>
            <w:proofErr w:type="spellEnd"/>
          </w:p>
        </w:tc>
        <w:tc>
          <w:tcPr>
            <w:tcW w:w="2551" w:type="dxa"/>
          </w:tcPr>
          <w:p w14:paraId="7E9BA13D" w14:textId="2368F9EC" w:rsidR="00E81948" w:rsidRDefault="00BA46A1" w:rsidP="0051405E">
            <w:r>
              <w:t>E</w:t>
            </w:r>
          </w:p>
        </w:tc>
      </w:tr>
      <w:tr w:rsidR="001C52AA" w14:paraId="026F43B9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2966B4B4" w14:textId="77777777"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2F3774" w14:textId="77777777" w:rsidR="001C52AA" w:rsidRDefault="001C52AA" w:rsidP="00636EE2"/>
        </w:tc>
      </w:tr>
      <w:tr w:rsidR="009A1E18" w14:paraId="0ADBBFF9" w14:textId="77777777" w:rsidTr="00CB629F">
        <w:trPr>
          <w:trHeight w:val="377"/>
        </w:trPr>
        <w:tc>
          <w:tcPr>
            <w:tcW w:w="8222" w:type="dxa"/>
          </w:tcPr>
          <w:p w14:paraId="0185B6E0" w14:textId="0ACB8144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Excellent people skills and the ability to build good relationships with </w:t>
            </w:r>
            <w:r w:rsidR="00BA46A1">
              <w:rPr>
                <w:rFonts w:asciiTheme="majorHAnsi" w:hAnsiTheme="majorHAnsi" w:cs="Arial"/>
                <w:sz w:val="22"/>
                <w:szCs w:val="22"/>
              </w:rPr>
              <w:t xml:space="preserve">students,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colleagues and external partners</w:t>
            </w:r>
          </w:p>
        </w:tc>
        <w:tc>
          <w:tcPr>
            <w:tcW w:w="2551" w:type="dxa"/>
          </w:tcPr>
          <w:p w14:paraId="01C5585E" w14:textId="77777777" w:rsidR="009A1E18" w:rsidRDefault="001A0134" w:rsidP="0051405E">
            <w:r>
              <w:t>E</w:t>
            </w:r>
          </w:p>
        </w:tc>
      </w:tr>
      <w:tr w:rsidR="00923C93" w14:paraId="0CF75EF6" w14:textId="77777777" w:rsidTr="00CB629F">
        <w:trPr>
          <w:trHeight w:val="377"/>
        </w:trPr>
        <w:tc>
          <w:tcPr>
            <w:tcW w:w="8222" w:type="dxa"/>
          </w:tcPr>
          <w:p w14:paraId="2B607228" w14:textId="36D0AC23" w:rsidR="00923C93" w:rsidRDefault="001A0134" w:rsidP="0051405E">
            <w:r>
              <w:t>An enthusiasm for teaching</w:t>
            </w:r>
            <w:r w:rsidR="00BA46A1">
              <w:t xml:space="preserve"> and </w:t>
            </w:r>
            <w:r w:rsidR="00BA46A1" w:rsidRPr="001D2704">
              <w:t>supporting student learning.</w:t>
            </w:r>
          </w:p>
        </w:tc>
        <w:tc>
          <w:tcPr>
            <w:tcW w:w="2551" w:type="dxa"/>
          </w:tcPr>
          <w:p w14:paraId="2E083C20" w14:textId="77777777" w:rsidR="00923C93" w:rsidRDefault="001A0134" w:rsidP="0051405E">
            <w:r>
              <w:t>E</w:t>
            </w:r>
          </w:p>
        </w:tc>
      </w:tr>
    </w:tbl>
    <w:p w14:paraId="0902B3D9" w14:textId="77777777" w:rsidR="002F3442" w:rsidRPr="002F3442" w:rsidRDefault="00925A98" w:rsidP="002F3442">
      <w:r>
        <w:softHyphen/>
      </w:r>
    </w:p>
    <w:p w14:paraId="47BA5350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14:paraId="521B08D7" w14:textId="77777777"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14:paraId="24A33D09" w14:textId="77777777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14:paraId="722F05B5" w14:textId="425CABDF"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</w:t>
            </w:r>
            <w:r w:rsidR="00C373BF">
              <w:t>apply online</w:t>
            </w:r>
            <w:bookmarkStart w:id="3" w:name="_GoBack"/>
            <w:bookmarkEnd w:id="3"/>
            <w:r w:rsidR="001C43F0">
              <w:t>:</w:t>
            </w:r>
          </w:p>
          <w:p w14:paraId="10FAD649" w14:textId="77777777" w:rsidR="001C43F0" w:rsidRPr="001C43F0" w:rsidRDefault="001C43F0" w:rsidP="001C43F0"/>
          <w:p w14:paraId="482C45D4" w14:textId="45F41824" w:rsidR="005136DA" w:rsidRDefault="00C373BF" w:rsidP="005136DA">
            <w:pPr>
              <w:pStyle w:val="Heading3"/>
            </w:pPr>
            <w:hyperlink r:id="rId10" w:history="1">
              <w:r w:rsidRPr="009140D0">
                <w:rPr>
                  <w:rStyle w:val="Hyperlink"/>
                </w:rPr>
                <w:t>https://forms.office.com/Pages/DesignPage.aspx?origin=shell#FormId=_oivH5ipW0yTySEKEdmlwqo0kmF6fctFpeBzFuiosyRUODNPQkpRTFBVUkhKRVNBQlpXVDg0SjJFUS4u</w:t>
              </w:r>
            </w:hyperlink>
          </w:p>
          <w:p w14:paraId="01FB66CB" w14:textId="7A8129C4" w:rsidR="00C373BF" w:rsidRPr="00C373BF" w:rsidRDefault="00C373BF" w:rsidP="00C373BF"/>
        </w:tc>
      </w:tr>
    </w:tbl>
    <w:p w14:paraId="25693A18" w14:textId="77777777"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DD9D" w14:textId="77777777" w:rsidR="00167D3E" w:rsidRDefault="00167D3E" w:rsidP="00DA4ABB">
      <w:r>
        <w:separator/>
      </w:r>
    </w:p>
  </w:endnote>
  <w:endnote w:type="continuationSeparator" w:id="0">
    <w:p w14:paraId="170B550A" w14:textId="77777777" w:rsidR="00167D3E" w:rsidRDefault="00167D3E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T St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DC01" w14:textId="77777777" w:rsidR="00167D3E" w:rsidRDefault="00167D3E" w:rsidP="00DA4ABB">
      <w:r>
        <w:separator/>
      </w:r>
    </w:p>
  </w:footnote>
  <w:footnote w:type="continuationSeparator" w:id="0">
    <w:p w14:paraId="0339A207" w14:textId="77777777" w:rsidR="00167D3E" w:rsidRDefault="00167D3E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6AA1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E1EBB0" wp14:editId="511B6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0439330B"/>
    <w:multiLevelType w:val="hybridMultilevel"/>
    <w:tmpl w:val="BEB6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36B1197"/>
    <w:multiLevelType w:val="hybridMultilevel"/>
    <w:tmpl w:val="144C200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hideSpellingErrors/>
  <w:hideGrammaticalErrors/>
  <w:proofState w:spelling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13FD8"/>
    <w:rsid w:val="000204D6"/>
    <w:rsid w:val="000218F5"/>
    <w:rsid w:val="0005387E"/>
    <w:rsid w:val="00061E18"/>
    <w:rsid w:val="00093D36"/>
    <w:rsid w:val="00097F4A"/>
    <w:rsid w:val="000E1871"/>
    <w:rsid w:val="00100C01"/>
    <w:rsid w:val="001148C9"/>
    <w:rsid w:val="00130559"/>
    <w:rsid w:val="0014480D"/>
    <w:rsid w:val="00145658"/>
    <w:rsid w:val="00146228"/>
    <w:rsid w:val="00146C6D"/>
    <w:rsid w:val="001651B1"/>
    <w:rsid w:val="00167A39"/>
    <w:rsid w:val="00167D3E"/>
    <w:rsid w:val="00197F34"/>
    <w:rsid w:val="001A0134"/>
    <w:rsid w:val="001A3B52"/>
    <w:rsid w:val="001C43F0"/>
    <w:rsid w:val="001C52AA"/>
    <w:rsid w:val="001C7EDF"/>
    <w:rsid w:val="001D2704"/>
    <w:rsid w:val="001F16FA"/>
    <w:rsid w:val="00242DBE"/>
    <w:rsid w:val="00254AA1"/>
    <w:rsid w:val="00255201"/>
    <w:rsid w:val="0027653E"/>
    <w:rsid w:val="0028589F"/>
    <w:rsid w:val="00291FB7"/>
    <w:rsid w:val="002A6CD4"/>
    <w:rsid w:val="002C4645"/>
    <w:rsid w:val="002F3442"/>
    <w:rsid w:val="002F78C3"/>
    <w:rsid w:val="0030462D"/>
    <w:rsid w:val="00305A2F"/>
    <w:rsid w:val="00320FEA"/>
    <w:rsid w:val="003334E3"/>
    <w:rsid w:val="00342EBD"/>
    <w:rsid w:val="00363CD8"/>
    <w:rsid w:val="00371518"/>
    <w:rsid w:val="00375230"/>
    <w:rsid w:val="00377520"/>
    <w:rsid w:val="003A1C0D"/>
    <w:rsid w:val="0040652D"/>
    <w:rsid w:val="00415419"/>
    <w:rsid w:val="00437574"/>
    <w:rsid w:val="004961EE"/>
    <w:rsid w:val="004A7AE2"/>
    <w:rsid w:val="004C49A2"/>
    <w:rsid w:val="004E37B3"/>
    <w:rsid w:val="004E5D2F"/>
    <w:rsid w:val="005044DE"/>
    <w:rsid w:val="005136DA"/>
    <w:rsid w:val="00520F98"/>
    <w:rsid w:val="0053233C"/>
    <w:rsid w:val="005414B2"/>
    <w:rsid w:val="00542251"/>
    <w:rsid w:val="005617A1"/>
    <w:rsid w:val="00572A8E"/>
    <w:rsid w:val="005B050C"/>
    <w:rsid w:val="005B0F27"/>
    <w:rsid w:val="005B2794"/>
    <w:rsid w:val="005C3C55"/>
    <w:rsid w:val="005C744E"/>
    <w:rsid w:val="005D33DE"/>
    <w:rsid w:val="0062791E"/>
    <w:rsid w:val="00633C31"/>
    <w:rsid w:val="00636924"/>
    <w:rsid w:val="00647662"/>
    <w:rsid w:val="0065030A"/>
    <w:rsid w:val="0066167E"/>
    <w:rsid w:val="0067196D"/>
    <w:rsid w:val="00680DB2"/>
    <w:rsid w:val="006868F4"/>
    <w:rsid w:val="006A1644"/>
    <w:rsid w:val="006A3846"/>
    <w:rsid w:val="006C089E"/>
    <w:rsid w:val="006C2D37"/>
    <w:rsid w:val="006E77CA"/>
    <w:rsid w:val="006F49E0"/>
    <w:rsid w:val="007061CE"/>
    <w:rsid w:val="00717FC4"/>
    <w:rsid w:val="0072651B"/>
    <w:rsid w:val="007532F4"/>
    <w:rsid w:val="00790E2B"/>
    <w:rsid w:val="007C7FF1"/>
    <w:rsid w:val="008076B4"/>
    <w:rsid w:val="00807790"/>
    <w:rsid w:val="008105B7"/>
    <w:rsid w:val="008136C6"/>
    <w:rsid w:val="00820FCA"/>
    <w:rsid w:val="00826D21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B7612"/>
    <w:rsid w:val="008D36DF"/>
    <w:rsid w:val="008E480F"/>
    <w:rsid w:val="00917CB7"/>
    <w:rsid w:val="00923C93"/>
    <w:rsid w:val="00925A98"/>
    <w:rsid w:val="0095503C"/>
    <w:rsid w:val="00962EA4"/>
    <w:rsid w:val="00966478"/>
    <w:rsid w:val="009706D4"/>
    <w:rsid w:val="00993DE1"/>
    <w:rsid w:val="009A1E18"/>
    <w:rsid w:val="009B206C"/>
    <w:rsid w:val="009E6C59"/>
    <w:rsid w:val="00A169F8"/>
    <w:rsid w:val="00A250A9"/>
    <w:rsid w:val="00A31F54"/>
    <w:rsid w:val="00A50DE1"/>
    <w:rsid w:val="00A5402A"/>
    <w:rsid w:val="00A9282A"/>
    <w:rsid w:val="00A93D63"/>
    <w:rsid w:val="00AB7448"/>
    <w:rsid w:val="00AE02E5"/>
    <w:rsid w:val="00AF036D"/>
    <w:rsid w:val="00AF1492"/>
    <w:rsid w:val="00AF6AF6"/>
    <w:rsid w:val="00B330AD"/>
    <w:rsid w:val="00B57CA8"/>
    <w:rsid w:val="00B60D3C"/>
    <w:rsid w:val="00B67743"/>
    <w:rsid w:val="00B752CC"/>
    <w:rsid w:val="00B84D00"/>
    <w:rsid w:val="00B97EF6"/>
    <w:rsid w:val="00BA46A1"/>
    <w:rsid w:val="00BC7B36"/>
    <w:rsid w:val="00C373BF"/>
    <w:rsid w:val="00C64BA3"/>
    <w:rsid w:val="00C76701"/>
    <w:rsid w:val="00CA1282"/>
    <w:rsid w:val="00CB629F"/>
    <w:rsid w:val="00CB77E2"/>
    <w:rsid w:val="00CD4A09"/>
    <w:rsid w:val="00CF6054"/>
    <w:rsid w:val="00D24D60"/>
    <w:rsid w:val="00D35A32"/>
    <w:rsid w:val="00D36EA1"/>
    <w:rsid w:val="00D45E80"/>
    <w:rsid w:val="00D475E1"/>
    <w:rsid w:val="00D55061"/>
    <w:rsid w:val="00D70800"/>
    <w:rsid w:val="00D729C0"/>
    <w:rsid w:val="00DA4ABB"/>
    <w:rsid w:val="00DB1799"/>
    <w:rsid w:val="00DD6273"/>
    <w:rsid w:val="00DE7FA5"/>
    <w:rsid w:val="00E02A7A"/>
    <w:rsid w:val="00E10091"/>
    <w:rsid w:val="00E15354"/>
    <w:rsid w:val="00E23B24"/>
    <w:rsid w:val="00E3153F"/>
    <w:rsid w:val="00E73B03"/>
    <w:rsid w:val="00E81948"/>
    <w:rsid w:val="00E90885"/>
    <w:rsid w:val="00EF5616"/>
    <w:rsid w:val="00F31F90"/>
    <w:rsid w:val="00F46EC6"/>
    <w:rsid w:val="00F50D03"/>
    <w:rsid w:val="00F73D8D"/>
    <w:rsid w:val="00F74946"/>
    <w:rsid w:val="00F925CC"/>
    <w:rsid w:val="00F961B1"/>
    <w:rsid w:val="00FA21C1"/>
    <w:rsid w:val="00FA6B5E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B27F3E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BE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BE"/>
    <w:rPr>
      <w:rFonts w:ascii="Arial" w:hAnsi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DesignPage.aspx?origin=shell#FormId=_oivH5ipW0yTySEKEdmlwqo0kmF6fctFpeBzFuiosyRUODNPQkpRTFBVUkhKRVNBQlpXVDg0SjJFU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professional-development/arena-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8945B-EE53-8F45-B71E-48ED83FC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Coletti Campbell, Lori</cp:lastModifiedBy>
  <cp:revision>5</cp:revision>
  <cp:lastPrinted>2018-05-22T12:01:00Z</cp:lastPrinted>
  <dcterms:created xsi:type="dcterms:W3CDTF">2020-08-24T14:00:00Z</dcterms:created>
  <dcterms:modified xsi:type="dcterms:W3CDTF">2020-08-24T15:36:00Z</dcterms:modified>
</cp:coreProperties>
</file>