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4D8B" w14:textId="25E03F96" w:rsidR="00FC15C7" w:rsidRPr="00F21BE2" w:rsidRDefault="008C211A" w:rsidP="00FC15C7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Department of Space and Climate Physics, Equity, D</w:t>
      </w:r>
      <w:r w:rsidR="00FC15C7" w:rsidRPr="00F21BE2">
        <w:rPr>
          <w:rFonts w:ascii="Arial" w:hAnsi="Arial"/>
        </w:rPr>
        <w:t>iversity &amp; Inclusion Committee</w:t>
      </w:r>
    </w:p>
    <w:p w14:paraId="464C13BC" w14:textId="77777777" w:rsidR="006477B5" w:rsidRDefault="006477B5" w:rsidP="00FC15C7">
      <w:pPr>
        <w:jc w:val="center"/>
        <w:rPr>
          <w:rFonts w:ascii="Arial" w:hAnsi="Arial"/>
        </w:rPr>
      </w:pPr>
    </w:p>
    <w:p w14:paraId="18826AAF" w14:textId="77777777" w:rsidR="006477B5" w:rsidRDefault="006477B5" w:rsidP="00FC15C7">
      <w:pPr>
        <w:jc w:val="center"/>
        <w:rPr>
          <w:rFonts w:ascii="Arial" w:hAnsi="Arial"/>
        </w:rPr>
      </w:pPr>
    </w:p>
    <w:p w14:paraId="5C641341" w14:textId="77777777" w:rsidR="006477B5" w:rsidRDefault="006477B5" w:rsidP="00FC15C7">
      <w:pPr>
        <w:jc w:val="center"/>
        <w:rPr>
          <w:rFonts w:ascii="Arial" w:hAnsi="Arial"/>
        </w:rPr>
      </w:pPr>
    </w:p>
    <w:p w14:paraId="6932ABFA" w14:textId="5E437172" w:rsidR="00FC15C7" w:rsidRPr="008D017F" w:rsidRDefault="00FC15C7" w:rsidP="00FC15C7">
      <w:pPr>
        <w:jc w:val="center"/>
        <w:rPr>
          <w:rFonts w:ascii="Arial" w:hAnsi="Arial"/>
        </w:rPr>
      </w:pPr>
      <w:r w:rsidRPr="008D017F">
        <w:rPr>
          <w:rFonts w:ascii="Arial" w:hAnsi="Arial"/>
        </w:rPr>
        <w:t>Terms of Reference</w:t>
      </w:r>
    </w:p>
    <w:p w14:paraId="7DFF1775" w14:textId="77777777" w:rsidR="008C211A" w:rsidRDefault="008C211A" w:rsidP="00FC15C7">
      <w:pPr>
        <w:pStyle w:val="Default"/>
        <w:jc w:val="both"/>
        <w:outlineLvl w:val="0"/>
        <w:rPr>
          <w:b/>
          <w:bCs/>
          <w:sz w:val="22"/>
          <w:szCs w:val="22"/>
        </w:rPr>
      </w:pPr>
    </w:p>
    <w:p w14:paraId="57FC97E5" w14:textId="26F41CBC" w:rsidR="00FC15C7" w:rsidRPr="008D017F" w:rsidRDefault="008A21A7" w:rsidP="00FC15C7">
      <w:pPr>
        <w:pStyle w:val="Default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Objectives</w:t>
      </w:r>
      <w:r w:rsidR="00FC15C7" w:rsidRPr="008D017F">
        <w:rPr>
          <w:b/>
          <w:bCs/>
          <w:sz w:val="22"/>
          <w:szCs w:val="22"/>
        </w:rPr>
        <w:t>:</w:t>
      </w:r>
    </w:p>
    <w:p w14:paraId="6868806D" w14:textId="77777777" w:rsidR="008C211A" w:rsidRDefault="008C211A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105C129F" w14:textId="4FF4787A" w:rsidR="00FC15C7" w:rsidRPr="008D017F" w:rsidRDefault="008C211A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The Departmental</w:t>
      </w:r>
      <w:r w:rsidR="00FC15C7" w:rsidRPr="008D017F">
        <w:rPr>
          <w:sz w:val="22"/>
          <w:szCs w:val="22"/>
        </w:rPr>
        <w:t xml:space="preserve"> Equ</w:t>
      </w:r>
      <w:r w:rsidR="00FA7A14">
        <w:rPr>
          <w:sz w:val="22"/>
          <w:szCs w:val="22"/>
        </w:rPr>
        <w:t>it</w:t>
      </w:r>
      <w:r w:rsidR="00FC15C7" w:rsidRPr="008D017F">
        <w:rPr>
          <w:sz w:val="22"/>
          <w:szCs w:val="22"/>
        </w:rPr>
        <w:t>y, Diversity &amp; Inclusion Committee has as its goal the</w:t>
      </w:r>
      <w:r>
        <w:rPr>
          <w:sz w:val="22"/>
          <w:szCs w:val="22"/>
        </w:rPr>
        <w:t xml:space="preserve"> creation and maintenance of a D</w:t>
      </w:r>
      <w:r w:rsidR="008A21A7">
        <w:rPr>
          <w:sz w:val="22"/>
          <w:szCs w:val="22"/>
        </w:rPr>
        <w:t xml:space="preserve">epartmental culture that encourages and promotes equity, diversity and inclusion through the </w:t>
      </w:r>
      <w:r w:rsidR="00FC15C7" w:rsidRPr="008D017F">
        <w:rPr>
          <w:sz w:val="22"/>
          <w:szCs w:val="22"/>
        </w:rPr>
        <w:t xml:space="preserve">advancement </w:t>
      </w:r>
      <w:r>
        <w:rPr>
          <w:sz w:val="22"/>
          <w:szCs w:val="22"/>
        </w:rPr>
        <w:t>of good practice across the D</w:t>
      </w:r>
      <w:r w:rsidR="00FC15C7">
        <w:rPr>
          <w:sz w:val="22"/>
          <w:szCs w:val="22"/>
        </w:rPr>
        <w:t>epartment</w:t>
      </w:r>
      <w:r w:rsidR="008A21A7">
        <w:rPr>
          <w:sz w:val="22"/>
          <w:szCs w:val="22"/>
        </w:rPr>
        <w:t>.</w:t>
      </w:r>
      <w:r w:rsidR="00FC15C7" w:rsidRPr="008D017F">
        <w:rPr>
          <w:sz w:val="22"/>
          <w:szCs w:val="22"/>
        </w:rPr>
        <w:t xml:space="preserve"> It will </w:t>
      </w:r>
      <w:r w:rsidR="00FA7A14">
        <w:rPr>
          <w:sz w:val="22"/>
          <w:szCs w:val="22"/>
        </w:rPr>
        <w:t xml:space="preserve">agree and </w:t>
      </w:r>
      <w:r w:rsidR="00FC15C7" w:rsidRPr="008D017F">
        <w:rPr>
          <w:sz w:val="22"/>
          <w:szCs w:val="22"/>
        </w:rPr>
        <w:t xml:space="preserve">oversee the implementation of the current </w:t>
      </w:r>
      <w:r w:rsidR="008A21A7">
        <w:rPr>
          <w:sz w:val="22"/>
          <w:szCs w:val="22"/>
        </w:rPr>
        <w:t xml:space="preserve">and future </w:t>
      </w:r>
      <w:r>
        <w:rPr>
          <w:sz w:val="22"/>
          <w:szCs w:val="22"/>
        </w:rPr>
        <w:t>D</w:t>
      </w:r>
      <w:r w:rsidR="00FC15C7" w:rsidRPr="008D017F">
        <w:rPr>
          <w:sz w:val="22"/>
          <w:szCs w:val="22"/>
        </w:rPr>
        <w:t>epartmental Equ</w:t>
      </w:r>
      <w:r w:rsidR="00FA7A14">
        <w:rPr>
          <w:sz w:val="22"/>
          <w:szCs w:val="22"/>
        </w:rPr>
        <w:t>i</w:t>
      </w:r>
      <w:r w:rsidR="00FC15C7" w:rsidRPr="008D017F">
        <w:rPr>
          <w:sz w:val="22"/>
          <w:szCs w:val="22"/>
        </w:rPr>
        <w:t>ty &amp; Diversity action</w:t>
      </w:r>
      <w:r w:rsidR="008A21A7">
        <w:rPr>
          <w:sz w:val="22"/>
          <w:szCs w:val="22"/>
        </w:rPr>
        <w:t xml:space="preserve"> plans</w:t>
      </w:r>
      <w:r w:rsidR="00FC15C7" w:rsidRPr="008D017F">
        <w:rPr>
          <w:sz w:val="22"/>
          <w:szCs w:val="22"/>
        </w:rPr>
        <w:t>, including</w:t>
      </w:r>
      <w:r w:rsidR="00FA7A14">
        <w:rPr>
          <w:sz w:val="22"/>
          <w:szCs w:val="22"/>
        </w:rPr>
        <w:t xml:space="preserve"> </w:t>
      </w:r>
      <w:r w:rsidR="002737E6">
        <w:rPr>
          <w:sz w:val="22"/>
          <w:szCs w:val="22"/>
        </w:rPr>
        <w:t>JUNO</w:t>
      </w:r>
      <w:r w:rsidR="00FA7A14">
        <w:rPr>
          <w:sz w:val="22"/>
          <w:szCs w:val="22"/>
        </w:rPr>
        <w:t xml:space="preserve"> and/or Athena Swan</w:t>
      </w:r>
      <w:r w:rsidR="00FC15C7" w:rsidRPr="008D017F">
        <w:rPr>
          <w:sz w:val="22"/>
          <w:szCs w:val="22"/>
        </w:rPr>
        <w:t xml:space="preserve"> Action Plan. Additionally</w:t>
      </w:r>
      <w:r>
        <w:rPr>
          <w:sz w:val="22"/>
          <w:szCs w:val="22"/>
        </w:rPr>
        <w:t>,</w:t>
      </w:r>
      <w:r w:rsidR="00FC15C7" w:rsidRPr="008D017F">
        <w:rPr>
          <w:sz w:val="22"/>
          <w:szCs w:val="22"/>
        </w:rPr>
        <w:t xml:space="preserve"> the committee aims to act as a beacon of good practice for E&amp;D principles by sharing information and participating in discussi</w:t>
      </w:r>
      <w:r>
        <w:rPr>
          <w:sz w:val="22"/>
          <w:szCs w:val="22"/>
        </w:rPr>
        <w:t>on with other UCL and UK STEMM d</w:t>
      </w:r>
      <w:r w:rsidR="00FC15C7" w:rsidRPr="008D017F">
        <w:rPr>
          <w:sz w:val="22"/>
          <w:szCs w:val="22"/>
        </w:rPr>
        <w:t>epartments.</w:t>
      </w:r>
    </w:p>
    <w:p w14:paraId="37431CDA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24B6AECA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0F5C3BD3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outlineLvl w:val="0"/>
        <w:rPr>
          <w:sz w:val="22"/>
          <w:szCs w:val="22"/>
        </w:rPr>
      </w:pPr>
      <w:r w:rsidRPr="008D017F">
        <w:rPr>
          <w:b/>
          <w:bCs/>
          <w:sz w:val="22"/>
          <w:szCs w:val="22"/>
        </w:rPr>
        <w:t>Remit:</w:t>
      </w:r>
    </w:p>
    <w:p w14:paraId="606FC938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3B8752B2" w14:textId="1020149F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Take responsibility for driving forward the implementation of Equity, Diversity &amp; Inclusion principles, including the Athena SWAN Char</w:t>
      </w:r>
      <w:r w:rsidR="008C211A">
        <w:rPr>
          <w:sz w:val="22"/>
          <w:szCs w:val="22"/>
        </w:rPr>
        <w:t>ter, or equivalent, within the D</w:t>
      </w:r>
      <w:r w:rsidRPr="008D017F">
        <w:rPr>
          <w:sz w:val="22"/>
          <w:szCs w:val="22"/>
        </w:rPr>
        <w:t>epartment.</w:t>
      </w:r>
    </w:p>
    <w:p w14:paraId="517C38FA" w14:textId="4EEF8384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Take responsibility for </w:t>
      </w:r>
      <w:r w:rsidR="008C211A">
        <w:rPr>
          <w:sz w:val="22"/>
          <w:szCs w:val="22"/>
        </w:rPr>
        <w:t xml:space="preserve">the </w:t>
      </w:r>
      <w:r w:rsidRPr="008D017F">
        <w:rPr>
          <w:sz w:val="22"/>
          <w:szCs w:val="22"/>
        </w:rPr>
        <w:t xml:space="preserve">preparation of future Athena SWAN/JUNO submissions, including monitoring of progress; </w:t>
      </w:r>
    </w:p>
    <w:p w14:paraId="25A29F25" w14:textId="77777777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Coordinate the collection of data and other qualitative and quantitative information relating to ED&amp;I, and facilitate its analysis to identify key findings, gaps and areas that require further research and action planning; </w:t>
      </w:r>
    </w:p>
    <w:p w14:paraId="6AC01D7D" w14:textId="37AE049E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Identify and recommend suitable priorities and actions to the </w:t>
      </w:r>
      <w:r w:rsidR="00FA7A14">
        <w:rPr>
          <w:sz w:val="22"/>
          <w:szCs w:val="22"/>
        </w:rPr>
        <w:t>D</w:t>
      </w:r>
      <w:r w:rsidRPr="008D017F">
        <w:rPr>
          <w:sz w:val="22"/>
          <w:szCs w:val="22"/>
        </w:rPr>
        <w:t>epartment</w:t>
      </w:r>
      <w:r w:rsidR="00FA7A14">
        <w:rPr>
          <w:sz w:val="22"/>
          <w:szCs w:val="22"/>
        </w:rPr>
        <w:t>al Working Group</w:t>
      </w:r>
      <w:r w:rsidR="008C211A">
        <w:rPr>
          <w:sz w:val="22"/>
          <w:szCs w:val="22"/>
        </w:rPr>
        <w:t>;</w:t>
      </w:r>
    </w:p>
    <w:p w14:paraId="67383673" w14:textId="24EC7C1C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Promote awareness of diversity and equality issues in the </w:t>
      </w:r>
      <w:r w:rsidR="00FA7A14">
        <w:rPr>
          <w:sz w:val="22"/>
          <w:szCs w:val="22"/>
        </w:rPr>
        <w:t>D</w:t>
      </w:r>
      <w:r w:rsidRPr="008D017F">
        <w:rPr>
          <w:sz w:val="22"/>
          <w:szCs w:val="22"/>
        </w:rPr>
        <w:t>epartment and provide advice</w:t>
      </w:r>
      <w:r w:rsidR="00FA7A14">
        <w:rPr>
          <w:sz w:val="22"/>
          <w:szCs w:val="22"/>
        </w:rPr>
        <w:t>.</w:t>
      </w:r>
    </w:p>
    <w:p w14:paraId="728DC526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43D127CF" w14:textId="29F3EB81" w:rsidR="00FC15C7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 xml:space="preserve">Reporting to: </w:t>
      </w:r>
    </w:p>
    <w:p w14:paraId="0D9E7FFE" w14:textId="77777777" w:rsidR="008C211A" w:rsidRPr="008D017F" w:rsidRDefault="008C211A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</w:p>
    <w:p w14:paraId="49F10458" w14:textId="2F6D9025" w:rsidR="00FC15C7" w:rsidRPr="008D017F" w:rsidRDefault="008C211A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color w:val="000000"/>
          <w:sz w:val="22"/>
          <w:szCs w:val="22"/>
          <w:lang w:val="en-US"/>
        </w:rPr>
      </w:pPr>
      <w:r>
        <w:rPr>
          <w:rFonts w:ascii="Arial" w:hAnsi="Arial" w:cs="Calibri"/>
          <w:color w:val="000000"/>
          <w:sz w:val="22"/>
          <w:szCs w:val="22"/>
          <w:lang w:val="en-US"/>
        </w:rPr>
        <w:t>The Departmental</w:t>
      </w:r>
      <w:r w:rsidR="00FC15C7"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 </w:t>
      </w:r>
      <w:r w:rsidR="00FC15C7" w:rsidRPr="008D017F">
        <w:rPr>
          <w:rFonts w:ascii="Arial" w:hAnsi="Arial"/>
          <w:sz w:val="22"/>
          <w:szCs w:val="22"/>
        </w:rPr>
        <w:t>ED&amp;I</w:t>
      </w:r>
      <w:r w:rsidR="00FA7A14">
        <w:rPr>
          <w:rFonts w:ascii="Arial" w:hAnsi="Arial"/>
          <w:sz w:val="22"/>
          <w:szCs w:val="22"/>
        </w:rPr>
        <w:t xml:space="preserve"> </w:t>
      </w:r>
      <w:r w:rsidR="00FC15C7" w:rsidRPr="008D017F">
        <w:rPr>
          <w:rFonts w:ascii="Arial" w:hAnsi="Arial"/>
          <w:sz w:val="22"/>
          <w:szCs w:val="22"/>
        </w:rPr>
        <w:t>C</w:t>
      </w:r>
      <w:r w:rsidR="00FA7A14">
        <w:rPr>
          <w:rFonts w:ascii="Arial" w:hAnsi="Arial"/>
          <w:sz w:val="22"/>
          <w:szCs w:val="22"/>
        </w:rPr>
        <w:t>ommittee</w:t>
      </w:r>
      <w:r w:rsidR="00FC15C7" w:rsidRPr="008D017F">
        <w:rPr>
          <w:rFonts w:ascii="Arial" w:hAnsi="Arial"/>
          <w:sz w:val="22"/>
          <w:szCs w:val="22"/>
        </w:rPr>
        <w:t xml:space="preserve"> </w:t>
      </w:r>
      <w:r w:rsidR="00FC15C7" w:rsidRPr="008D017F">
        <w:rPr>
          <w:rFonts w:ascii="Arial" w:hAnsi="Arial" w:cs="Calibri"/>
          <w:color w:val="000000"/>
          <w:sz w:val="22"/>
          <w:szCs w:val="22"/>
          <w:lang w:val="en-US"/>
        </w:rPr>
        <w:t>reports to the</w:t>
      </w:r>
      <w:r w:rsidR="002737E6">
        <w:rPr>
          <w:rFonts w:ascii="Arial" w:hAnsi="Arial" w:cs="Calibri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Calibri"/>
          <w:color w:val="000000"/>
          <w:sz w:val="22"/>
          <w:szCs w:val="22"/>
          <w:lang w:val="en-US"/>
        </w:rPr>
        <w:t xml:space="preserve">Departmental Working Group, the Department’s highest decision-making Committee.  The Chair of the ED&amp;I Committee is also a member of the Departmental Working Group. </w:t>
      </w:r>
    </w:p>
    <w:p w14:paraId="3E407D22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4B0D6109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>Meetings:</w:t>
      </w:r>
    </w:p>
    <w:p w14:paraId="3A850F10" w14:textId="77777777" w:rsidR="008C211A" w:rsidRDefault="008C211A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5B506E62" w14:textId="193FAAB8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>Meetings will be monthly, held in core hours, and last for no longer than 1.5 hours.</w:t>
      </w:r>
    </w:p>
    <w:p w14:paraId="37A796D2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3351BB60" w14:textId="1D9FB7D3" w:rsidR="00FC15C7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>Membership:</w:t>
      </w:r>
    </w:p>
    <w:p w14:paraId="135BD96B" w14:textId="77777777" w:rsidR="008C211A" w:rsidRPr="008D017F" w:rsidRDefault="008C211A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</w:p>
    <w:p w14:paraId="2327C013" w14:textId="4D1C15EF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Members will be confirmed annually and will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nominally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serve for 3 years.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Terms may be extended to ensure adequate representation of all staff and student groups.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The committee should ensure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>diversity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 at all levels (students, PDRAs, engineering &amp; technical staff, professional service staff and academics), and contain experience that relates to equity and diversity, a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s well as </w:t>
      </w:r>
      <w:r w:rsidR="002737E6">
        <w:rPr>
          <w:rFonts w:ascii="Arial" w:hAnsi="Arial" w:cs="Calibri"/>
          <w:color w:val="000000"/>
          <w:sz w:val="22"/>
          <w:szCs w:val="22"/>
          <w:lang w:val="en-US"/>
        </w:rPr>
        <w:t>JUNO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 and Athena Swan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>principles.</w:t>
      </w:r>
      <w:r w:rsidR="00506978">
        <w:rPr>
          <w:rFonts w:ascii="Arial" w:hAnsi="Arial" w:cs="Calibri"/>
          <w:color w:val="000000"/>
          <w:sz w:val="22"/>
          <w:szCs w:val="22"/>
          <w:lang w:val="en-US"/>
        </w:rPr>
        <w:t xml:space="preserve"> </w:t>
      </w:r>
      <w:r w:rsidR="00D51EB6">
        <w:rPr>
          <w:rFonts w:ascii="Arial" w:hAnsi="Arial" w:cs="Calibri"/>
          <w:color w:val="000000"/>
          <w:sz w:val="22"/>
          <w:szCs w:val="22"/>
          <w:lang w:val="en-US"/>
        </w:rPr>
        <w:t>The Chair of the Committee will be a senior member of staff and will have a reporting</w:t>
      </w:r>
      <w:r w:rsidR="00633045">
        <w:rPr>
          <w:rFonts w:ascii="Arial" w:hAnsi="Arial" w:cs="Calibri"/>
          <w:color w:val="000000"/>
          <w:sz w:val="22"/>
          <w:szCs w:val="22"/>
          <w:lang w:val="en-US"/>
        </w:rPr>
        <w:t xml:space="preserve"> line to the Head of Department.</w:t>
      </w:r>
      <w:bookmarkStart w:id="0" w:name="_GoBack"/>
      <w:bookmarkEnd w:id="0"/>
    </w:p>
    <w:p w14:paraId="26EB6C1E" w14:textId="77777777" w:rsidR="00FC15C7" w:rsidRPr="008D017F" w:rsidRDefault="00FC15C7" w:rsidP="00FC15C7">
      <w:pPr>
        <w:widowControl w:val="0"/>
        <w:autoSpaceDE w:val="0"/>
        <w:autoSpaceDN w:val="0"/>
        <w:adjustRightInd w:val="0"/>
        <w:rPr>
          <w:rFonts w:ascii="Arial" w:hAnsi="Arial" w:cs="Arial MT"/>
          <w:b/>
          <w:bCs/>
          <w:color w:val="000000"/>
          <w:sz w:val="22"/>
          <w:szCs w:val="22"/>
          <w:lang w:val="en-US"/>
        </w:rPr>
      </w:pPr>
    </w:p>
    <w:p w14:paraId="309F781E" w14:textId="77777777" w:rsidR="00FC15C7" w:rsidRPr="008D017F" w:rsidRDefault="00FC15C7" w:rsidP="00FC15C7">
      <w:pPr>
        <w:rPr>
          <w:rFonts w:ascii="Arial" w:hAnsi="Arial"/>
        </w:rPr>
      </w:pPr>
    </w:p>
    <w:p w14:paraId="70CFD9BB" w14:textId="77777777" w:rsidR="00C11BE4" w:rsidRDefault="00C11BE4"/>
    <w:sectPr w:rsidR="00C11BE4" w:rsidSect="00C11B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MT">
    <w:altName w:val="Arial MT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DBF"/>
    <w:multiLevelType w:val="hybridMultilevel"/>
    <w:tmpl w:val="9D8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FC15C7"/>
    <w:rsid w:val="00260D61"/>
    <w:rsid w:val="002737E6"/>
    <w:rsid w:val="00506978"/>
    <w:rsid w:val="00633045"/>
    <w:rsid w:val="006477B5"/>
    <w:rsid w:val="008A21A7"/>
    <w:rsid w:val="008C211A"/>
    <w:rsid w:val="00C11BE4"/>
    <w:rsid w:val="00D51EB6"/>
    <w:rsid w:val="00E85EA3"/>
    <w:rsid w:val="00FA7A14"/>
    <w:rsid w:val="00FC15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61DE8"/>
  <w15:docId w15:val="{09F44549-818C-7D4F-AA03-EAC71AA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C7"/>
    <w:rPr>
      <w:rFonts w:eastAsiaTheme="minorHAnsi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FC15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C15C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A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Green</dc:creator>
  <cp:keywords/>
  <dc:description/>
  <cp:lastModifiedBy>Dimitra Stamogiannou</cp:lastModifiedBy>
  <cp:revision>5</cp:revision>
  <dcterms:created xsi:type="dcterms:W3CDTF">2021-10-07T10:08:00Z</dcterms:created>
  <dcterms:modified xsi:type="dcterms:W3CDTF">2022-01-20T09:51:00Z</dcterms:modified>
</cp:coreProperties>
</file>