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6D69" w14:textId="2558E7CE" w:rsidR="00562539" w:rsidRPr="00EA0EE8" w:rsidRDefault="00562539" w:rsidP="00562539">
      <w:pPr>
        <w:pStyle w:val="TitlingLine1"/>
      </w:pPr>
      <w:r>
        <w:rPr>
          <w:noProof/>
        </w:rPr>
        <w:drawing>
          <wp:anchor distT="0" distB="0" distL="114300" distR="114300" simplePos="0" relativeHeight="251667456" behindDoc="0" locked="0" layoutInCell="1" allowOverlap="1" wp14:anchorId="3B877486" wp14:editId="0B13B1E6">
            <wp:simplePos x="0" y="0"/>
            <wp:positionH relativeFrom="margin">
              <wp:align>right</wp:align>
            </wp:positionH>
            <wp:positionV relativeFrom="paragraph">
              <wp:posOffset>367030</wp:posOffset>
            </wp:positionV>
            <wp:extent cx="5731510" cy="745889"/>
            <wp:effectExtent l="0" t="0" r="254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745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AD3">
        <w:t xml:space="preserve">ucl library services </w:t>
      </w:r>
    </w:p>
    <w:p w14:paraId="732253E5" w14:textId="7D85F457" w:rsidR="00043860" w:rsidRDefault="00D355F3" w:rsidP="00FC4666">
      <w:pPr>
        <w:pStyle w:val="Title"/>
        <w:spacing w:before="240"/>
      </w:pPr>
      <w:r>
        <w:t>Office for Open Science &amp; Scholarship</w:t>
      </w:r>
      <w:r w:rsidR="00C75178">
        <w:t xml:space="preserve"> </w:t>
      </w:r>
      <w:r w:rsidR="004E5831">
        <w:t xml:space="preserve">Operational Plan </w:t>
      </w:r>
      <w:r w:rsidR="002221F9">
        <w:t>2021-24</w:t>
      </w:r>
    </w:p>
    <w:p w14:paraId="2AE01395" w14:textId="2B339FBF" w:rsidR="0039232D" w:rsidRDefault="00930149" w:rsidP="009F640D">
      <w:pPr>
        <w:pStyle w:val="Heading1"/>
      </w:pPr>
      <w:r>
        <w:t xml:space="preserve">1.0 </w:t>
      </w:r>
      <w:r w:rsidR="0039232D">
        <w:t>Purpose of document</w:t>
      </w:r>
    </w:p>
    <w:p w14:paraId="2ACBA051" w14:textId="51EA657C" w:rsidR="00BB4EAF" w:rsidRPr="00BB4EAF" w:rsidRDefault="00E65E75" w:rsidP="00BB4EAF">
      <w:r>
        <w:t>This document s</w:t>
      </w:r>
      <w:r w:rsidR="00B62712">
        <w:t xml:space="preserve">ets out </w:t>
      </w:r>
      <w:r>
        <w:t xml:space="preserve">the </w:t>
      </w:r>
      <w:r w:rsidR="00B62712">
        <w:t xml:space="preserve">vision, </w:t>
      </w:r>
      <w:proofErr w:type="gramStart"/>
      <w:r w:rsidR="00B62712">
        <w:t>context</w:t>
      </w:r>
      <w:proofErr w:type="gramEnd"/>
      <w:r w:rsidR="00B62712">
        <w:t xml:space="preserve"> and </w:t>
      </w:r>
      <w:r w:rsidR="00CE585D">
        <w:t>high-level objectives</w:t>
      </w:r>
      <w:r w:rsidR="00B62712">
        <w:t xml:space="preserve"> for the </w:t>
      </w:r>
      <w:r w:rsidR="005731E6">
        <w:t xml:space="preserve">UCL </w:t>
      </w:r>
      <w:r>
        <w:t>Office for Open Science</w:t>
      </w:r>
      <w:r w:rsidR="00946685">
        <w:t xml:space="preserve"> &amp; Scholarship</w:t>
      </w:r>
      <w:r w:rsidR="00B62712">
        <w:t xml:space="preserve"> 2021-2024</w:t>
      </w:r>
    </w:p>
    <w:p w14:paraId="53810F42" w14:textId="604061C3" w:rsidR="009F640D" w:rsidRDefault="00930149" w:rsidP="009F640D">
      <w:pPr>
        <w:pStyle w:val="Heading1"/>
      </w:pPr>
      <w:r>
        <w:t xml:space="preserve">2.0 </w:t>
      </w:r>
      <w:r w:rsidR="009F640D">
        <w:t>Vision</w:t>
      </w:r>
    </w:p>
    <w:p w14:paraId="193338B0" w14:textId="52D3BF4B" w:rsidR="009F640D" w:rsidRDefault="009F640D" w:rsidP="009F640D">
      <w:r>
        <w:t>Establish the Office for Open Science as a central focal point across the University for information and support across all 8 Pillars of Open Science</w:t>
      </w:r>
      <w:r w:rsidR="00765D8E">
        <w:t>,</w:t>
      </w:r>
      <w:r w:rsidR="00720B5F">
        <w:t xml:space="preserve"> in support of the </w:t>
      </w:r>
      <w:r w:rsidR="006A62A5">
        <w:t>commitment to the Open Agenda described in the UCL Research Strategy 2019</w:t>
      </w:r>
      <w:r w:rsidR="006A62A5">
        <w:rPr>
          <w:rStyle w:val="FootnoteReference"/>
        </w:rPr>
        <w:footnoteReference w:id="1"/>
      </w:r>
      <w:r>
        <w:t>.</w:t>
      </w:r>
    </w:p>
    <w:p w14:paraId="2AAFC88A" w14:textId="20186A06" w:rsidR="006C54D4" w:rsidRDefault="00930149" w:rsidP="00E2561C">
      <w:pPr>
        <w:pStyle w:val="Heading1"/>
      </w:pPr>
      <w:r>
        <w:t xml:space="preserve">3.0 </w:t>
      </w:r>
      <w:r w:rsidR="00787F2F">
        <w:t>Context</w:t>
      </w:r>
      <w:r w:rsidR="00E2561C">
        <w:t xml:space="preserve"> - </w:t>
      </w:r>
      <w:r w:rsidR="00B02A6C">
        <w:t xml:space="preserve">The Office </w:t>
      </w:r>
      <w:r w:rsidR="00E03943">
        <w:t>for Open Science &amp; Scholarship</w:t>
      </w:r>
    </w:p>
    <w:p w14:paraId="0ADBE8B8" w14:textId="3B7CFF86" w:rsidR="00E03943" w:rsidRDefault="00B264FD" w:rsidP="00E03943">
      <w:r w:rsidRPr="00B264FD">
        <w:t>The UCL Office for Open Science and Scholarship</w:t>
      </w:r>
      <w:r w:rsidR="00FC7932">
        <w:t xml:space="preserve"> (OOSS)</w:t>
      </w:r>
      <w:r w:rsidRPr="00B264FD">
        <w:t xml:space="preserve"> supports the UCL community in the adoption of Open practices and approaches</w:t>
      </w:r>
      <w:r>
        <w:t xml:space="preserve">. It </w:t>
      </w:r>
      <w:r w:rsidR="00D50598">
        <w:t xml:space="preserve">is predominantly virtual and is </w:t>
      </w:r>
      <w:r>
        <w:t>comprise</w:t>
      </w:r>
      <w:r w:rsidR="00D50598">
        <w:t xml:space="preserve">d of </w:t>
      </w:r>
      <w:proofErr w:type="gramStart"/>
      <w:r w:rsidR="00D50598">
        <w:t>a</w:t>
      </w:r>
      <w:r w:rsidR="0095520F">
        <w:t xml:space="preserve"> number of</w:t>
      </w:r>
      <w:proofErr w:type="gramEnd"/>
      <w:r w:rsidR="0095520F">
        <w:t xml:space="preserve"> teams from </w:t>
      </w:r>
      <w:r w:rsidR="007E40A0">
        <w:t xml:space="preserve">inside Library Services and </w:t>
      </w:r>
      <w:r w:rsidR="0095520F">
        <w:t xml:space="preserve">across the university, including </w:t>
      </w:r>
      <w:r w:rsidR="00E91E90">
        <w:t>the Open Access</w:t>
      </w:r>
      <w:r w:rsidR="0012292F">
        <w:t>, Research Data Management and Bibliometrics teams</w:t>
      </w:r>
      <w:r w:rsidR="00D50598">
        <w:t xml:space="preserve">, Research integrity and </w:t>
      </w:r>
      <w:r w:rsidR="00456360">
        <w:t>the Extreme Citizen Science Research Group among others</w:t>
      </w:r>
      <w:r w:rsidR="0012292F">
        <w:t>.</w:t>
      </w:r>
    </w:p>
    <w:p w14:paraId="1CC61046" w14:textId="77777777" w:rsidR="00F341C3" w:rsidRDefault="00F341C3" w:rsidP="00E03943">
      <w:r>
        <w:t xml:space="preserve">The work of the Office for Open Science &amp; Scholarship is built upon the </w:t>
      </w:r>
      <w:r w:rsidR="00B02A6C">
        <w:t>8 pillars of Open Science</w:t>
      </w:r>
      <w:r>
        <w:t>:</w:t>
      </w:r>
    </w:p>
    <w:p w14:paraId="07D51180" w14:textId="77777777" w:rsidR="0066443D" w:rsidRDefault="0066443D" w:rsidP="00504178">
      <w:pPr>
        <w:pStyle w:val="ListParagraph"/>
        <w:numPr>
          <w:ilvl w:val="0"/>
          <w:numId w:val="42"/>
        </w:numPr>
      </w:pPr>
      <w:r w:rsidRPr="0066443D">
        <w:t>FAIR Data</w:t>
      </w:r>
    </w:p>
    <w:p w14:paraId="25236103" w14:textId="77777777" w:rsidR="0066443D" w:rsidRDefault="0066443D" w:rsidP="00504178">
      <w:pPr>
        <w:pStyle w:val="ListParagraph"/>
        <w:numPr>
          <w:ilvl w:val="0"/>
          <w:numId w:val="42"/>
        </w:numPr>
      </w:pPr>
      <w:r w:rsidRPr="0066443D">
        <w:t>Research Integrity</w:t>
      </w:r>
    </w:p>
    <w:p w14:paraId="22FA50FE" w14:textId="77777777" w:rsidR="0066443D" w:rsidRDefault="0066443D" w:rsidP="00504178">
      <w:pPr>
        <w:pStyle w:val="ListParagraph"/>
        <w:numPr>
          <w:ilvl w:val="0"/>
          <w:numId w:val="42"/>
        </w:numPr>
      </w:pPr>
      <w:r w:rsidRPr="0066443D">
        <w:t>Next Generation Metrics</w:t>
      </w:r>
    </w:p>
    <w:p w14:paraId="470377DD" w14:textId="77777777" w:rsidR="0066443D" w:rsidRDefault="0066443D" w:rsidP="00504178">
      <w:pPr>
        <w:pStyle w:val="ListParagraph"/>
        <w:numPr>
          <w:ilvl w:val="0"/>
          <w:numId w:val="42"/>
        </w:numPr>
      </w:pPr>
      <w:r w:rsidRPr="0066443D">
        <w:t>Future of Scholarly Communication</w:t>
      </w:r>
    </w:p>
    <w:p w14:paraId="66872B89" w14:textId="77777777" w:rsidR="0066443D" w:rsidRDefault="0066443D" w:rsidP="00504178">
      <w:pPr>
        <w:pStyle w:val="ListParagraph"/>
        <w:numPr>
          <w:ilvl w:val="0"/>
          <w:numId w:val="42"/>
        </w:numPr>
      </w:pPr>
      <w:r w:rsidRPr="0066443D">
        <w:t>Citizen Science</w:t>
      </w:r>
    </w:p>
    <w:p w14:paraId="0E3BF127" w14:textId="77777777" w:rsidR="0066443D" w:rsidRDefault="0066443D" w:rsidP="00504178">
      <w:pPr>
        <w:pStyle w:val="ListParagraph"/>
        <w:numPr>
          <w:ilvl w:val="0"/>
          <w:numId w:val="42"/>
        </w:numPr>
      </w:pPr>
      <w:r w:rsidRPr="0066443D">
        <w:t>Education and Skills</w:t>
      </w:r>
    </w:p>
    <w:p w14:paraId="62D6CE7D" w14:textId="77777777" w:rsidR="0066443D" w:rsidRDefault="0066443D" w:rsidP="00504178">
      <w:pPr>
        <w:pStyle w:val="ListParagraph"/>
        <w:numPr>
          <w:ilvl w:val="0"/>
          <w:numId w:val="42"/>
        </w:numPr>
      </w:pPr>
      <w:r w:rsidRPr="0066443D">
        <w:t>Rewards and Initiatives</w:t>
      </w:r>
    </w:p>
    <w:p w14:paraId="532C6EF8" w14:textId="398D5D65" w:rsidR="00080D75" w:rsidRDefault="0066443D" w:rsidP="00504178">
      <w:pPr>
        <w:pStyle w:val="ListParagraph"/>
        <w:numPr>
          <w:ilvl w:val="0"/>
          <w:numId w:val="42"/>
        </w:numPr>
      </w:pPr>
      <w:r w:rsidRPr="0066443D">
        <w:t>E</w:t>
      </w:r>
      <w:r>
        <w:t xml:space="preserve">uropean </w:t>
      </w:r>
      <w:r w:rsidRPr="0066443D">
        <w:t>O</w:t>
      </w:r>
      <w:r>
        <w:t xml:space="preserve">pen </w:t>
      </w:r>
      <w:r w:rsidRPr="0066443D">
        <w:t>S</w:t>
      </w:r>
      <w:r>
        <w:t xml:space="preserve">cience </w:t>
      </w:r>
      <w:r w:rsidRPr="0066443D">
        <w:t>C</w:t>
      </w:r>
      <w:r>
        <w:t>loud</w:t>
      </w:r>
      <w:r w:rsidR="00B02A6C">
        <w:t xml:space="preserve"> </w:t>
      </w:r>
    </w:p>
    <w:p w14:paraId="06D2C63A" w14:textId="46E2E38B" w:rsidR="006C54D4" w:rsidRDefault="00B02A6C" w:rsidP="00D06D27">
      <w:pPr>
        <w:pStyle w:val="Heading2"/>
      </w:pPr>
      <w:r>
        <w:t>3.</w:t>
      </w:r>
      <w:r w:rsidR="00E2561C">
        <w:t>1</w:t>
      </w:r>
      <w:r>
        <w:t xml:space="preserve">. </w:t>
      </w:r>
      <w:r w:rsidR="00D06D27">
        <w:t>Wider context</w:t>
      </w:r>
    </w:p>
    <w:p w14:paraId="3DC9C49D" w14:textId="77777777" w:rsidR="00CE7DA8" w:rsidRDefault="00E90E73" w:rsidP="00B02A6C">
      <w:pPr>
        <w:spacing w:after="0"/>
      </w:pPr>
      <w:r>
        <w:t xml:space="preserve">The 8 Pillars of Open Science were </w:t>
      </w:r>
      <w:r w:rsidR="00717058">
        <w:t>outline</w:t>
      </w:r>
      <w:r w:rsidR="00D93D49">
        <w:t>d</w:t>
      </w:r>
      <w:r w:rsidR="00717058">
        <w:t xml:space="preserve"> by the EC</w:t>
      </w:r>
      <w:r w:rsidR="00193848">
        <w:t xml:space="preserve"> as an organising principle for its Open Science policy</w:t>
      </w:r>
      <w:r w:rsidR="00193848">
        <w:rPr>
          <w:rStyle w:val="FootnoteReference"/>
        </w:rPr>
        <w:footnoteReference w:id="2"/>
      </w:r>
      <w:r w:rsidR="00193848">
        <w:t xml:space="preserve"> and a version was </w:t>
      </w:r>
      <w:r w:rsidR="008C21B8">
        <w:t>published in 201</w:t>
      </w:r>
      <w:r w:rsidR="001B1AB2">
        <w:t>8</w:t>
      </w:r>
      <w:r w:rsidR="008C21B8">
        <w:t xml:space="preserve"> by </w:t>
      </w:r>
      <w:r w:rsidR="001B1AB2">
        <w:t>LERU</w:t>
      </w:r>
      <w:r w:rsidR="00DE698F">
        <w:rPr>
          <w:rStyle w:val="FootnoteReference"/>
        </w:rPr>
        <w:footnoteReference w:id="3"/>
      </w:r>
      <w:r w:rsidR="001B1AB2">
        <w:t>, The League of European Research Universities</w:t>
      </w:r>
      <w:r w:rsidR="00B43D2B">
        <w:t xml:space="preserve"> of which UCL is a member</w:t>
      </w:r>
      <w:r w:rsidR="00DE698F">
        <w:t xml:space="preserve">. </w:t>
      </w:r>
      <w:r w:rsidR="00CE7DA8">
        <w:t>These principles are widely accepted as underlying principles in the Open Science landscape.</w:t>
      </w:r>
    </w:p>
    <w:p w14:paraId="11097AF7" w14:textId="77777777" w:rsidR="00CE7DA8" w:rsidRDefault="00CE7DA8" w:rsidP="00B02A6C">
      <w:pPr>
        <w:spacing w:after="0"/>
      </w:pPr>
    </w:p>
    <w:p w14:paraId="1E7CCF06" w14:textId="5625E85B" w:rsidR="00787F2F" w:rsidRDefault="00FC7932" w:rsidP="00B02A6C">
      <w:pPr>
        <w:spacing w:after="0"/>
      </w:pPr>
      <w:r>
        <w:t xml:space="preserve">The </w:t>
      </w:r>
      <w:r w:rsidR="00B02A6C">
        <w:t xml:space="preserve">work </w:t>
      </w:r>
      <w:r w:rsidR="00AD6CA6">
        <w:t xml:space="preserve">of the OOSS </w:t>
      </w:r>
      <w:r w:rsidR="006629FD">
        <w:t xml:space="preserve">builds on these pillars </w:t>
      </w:r>
      <w:r w:rsidR="006D72F7">
        <w:t xml:space="preserve">and is supported centrally </w:t>
      </w:r>
      <w:r w:rsidR="003A7BE2">
        <w:t>by the UCL Open Science Committee</w:t>
      </w:r>
      <w:r w:rsidR="00F8306A">
        <w:t xml:space="preserve">. </w:t>
      </w:r>
      <w:r w:rsidR="00CE7DA8">
        <w:t xml:space="preserve">As necessary, policy implementations are approved by the relevant UCL committee, </w:t>
      </w:r>
      <w:proofErr w:type="gramStart"/>
      <w:r w:rsidR="00CE7DA8">
        <w:t>e.g.</w:t>
      </w:r>
      <w:proofErr w:type="gramEnd"/>
      <w:r w:rsidR="00CE7DA8">
        <w:t xml:space="preserve"> UCL’s Open Access mandate was unanimously approved by a vote in Academic Board; the UCL Academic Careers Framework was approved by Human Resources Policy Committee after wide academic consultation; the UCL Bibliometrics Policy was approved by Academic Committee after pan-UCL consultation on both its principles and practice.</w:t>
      </w:r>
    </w:p>
    <w:p w14:paraId="1570002A" w14:textId="04C30974" w:rsidR="00CE7DA8" w:rsidRDefault="00CE7DA8" w:rsidP="00B02A6C">
      <w:pPr>
        <w:spacing w:after="0"/>
      </w:pPr>
    </w:p>
    <w:p w14:paraId="494E517A" w14:textId="1FB6E36A" w:rsidR="00CE7DA8" w:rsidRDefault="00CE7DA8" w:rsidP="00B02A6C">
      <w:pPr>
        <w:spacing w:after="0"/>
      </w:pPr>
      <w:r>
        <w:t xml:space="preserve">In addition, the Office for Open Science ensures that UCL is in line with the Open Science requirements of external funders. The </w:t>
      </w:r>
      <w:proofErr w:type="spellStart"/>
      <w:r>
        <w:t>Wellcome</w:t>
      </w:r>
      <w:proofErr w:type="spellEnd"/>
      <w:r>
        <w:t xml:space="preserve"> Trust, for example, is mak</w:t>
      </w:r>
      <w:r w:rsidR="006C08AE">
        <w:t>es specific</w:t>
      </w:r>
      <w:r>
        <w:t xml:space="preserve"> requirements of funded institutions to demonstrate how they are implementing the San Francisco Declaration on Research Assessment (DORA)</w:t>
      </w:r>
      <w:r w:rsidR="00B5252F" w:rsidRPr="00B5252F">
        <w:t>, as well as stringent requirements regarding open access to publications which it funds.</w:t>
      </w:r>
      <w:r>
        <w:t xml:space="preserve"> UKRI is publishing its new Open Access policy in the summer of 2021 which will help dictate the content of the next REF OA policy. </w:t>
      </w:r>
    </w:p>
    <w:p w14:paraId="1E65EE24" w14:textId="63614656" w:rsidR="007A620A" w:rsidRDefault="007A620A" w:rsidP="00B02A6C">
      <w:pPr>
        <w:spacing w:after="0"/>
      </w:pPr>
    </w:p>
    <w:p w14:paraId="10432770" w14:textId="5018B99A" w:rsidR="00225D74" w:rsidRPr="00420D2C" w:rsidRDefault="007A620A" w:rsidP="00420D2C">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420D2C">
        <w:rPr>
          <w:rFonts w:asciiTheme="minorHAnsi" w:hAnsiTheme="minorHAnsi" w:cstheme="minorHAnsi"/>
          <w:sz w:val="22"/>
          <w:szCs w:val="22"/>
        </w:rPr>
        <w:t xml:space="preserve">The UK is </w:t>
      </w:r>
      <w:r w:rsidR="00D36D8E" w:rsidRPr="00420D2C">
        <w:rPr>
          <w:rFonts w:asciiTheme="minorHAnsi" w:hAnsiTheme="minorHAnsi" w:cstheme="minorHAnsi"/>
          <w:sz w:val="22"/>
          <w:szCs w:val="22"/>
        </w:rPr>
        <w:t xml:space="preserve">also </w:t>
      </w:r>
      <w:r w:rsidRPr="00420D2C">
        <w:rPr>
          <w:rFonts w:asciiTheme="minorHAnsi" w:hAnsiTheme="minorHAnsi" w:cstheme="minorHAnsi"/>
          <w:sz w:val="22"/>
          <w:szCs w:val="22"/>
        </w:rPr>
        <w:t>a member of the Open Government Partnership</w:t>
      </w:r>
      <w:r w:rsidR="00D36D8E" w:rsidRPr="00420D2C">
        <w:rPr>
          <w:rStyle w:val="FootnoteReference"/>
          <w:rFonts w:asciiTheme="minorHAnsi" w:hAnsiTheme="minorHAnsi" w:cstheme="minorHAnsi"/>
          <w:sz w:val="22"/>
          <w:szCs w:val="22"/>
        </w:rPr>
        <w:footnoteReference w:id="4"/>
      </w:r>
      <w:r w:rsidRPr="00420D2C">
        <w:rPr>
          <w:rFonts w:asciiTheme="minorHAnsi" w:hAnsiTheme="minorHAnsi" w:cstheme="minorHAnsi"/>
          <w:sz w:val="22"/>
          <w:szCs w:val="22"/>
        </w:rPr>
        <w:t xml:space="preserve"> which </w:t>
      </w:r>
      <w:r w:rsidR="00D36D8E" w:rsidRPr="00420D2C">
        <w:rPr>
          <w:rFonts w:asciiTheme="minorHAnsi" w:hAnsiTheme="minorHAnsi" w:cstheme="minorHAnsi"/>
          <w:sz w:val="22"/>
          <w:szCs w:val="22"/>
        </w:rPr>
        <w:t>promotes and supports the right to information, gender and inclusion, digital governance and rights, protection of civic space and natural resources, and corruption.</w:t>
      </w:r>
      <w:r w:rsidR="00225D74" w:rsidRPr="00420D2C">
        <w:rPr>
          <w:rFonts w:asciiTheme="minorHAnsi" w:hAnsiTheme="minorHAnsi" w:cstheme="minorHAnsi"/>
          <w:sz w:val="22"/>
          <w:szCs w:val="22"/>
        </w:rPr>
        <w:t xml:space="preserve"> Many OGP governments work to make education information more transparent, to directly engage citizens in improving quality, and to ensure appropriate accountability. Local jurisdictional partners include Glasgow and Northern Ireland. OGP is supported through the Government Digital Service, in the Cabinet Office. The current National Action Plan (2019-2021) </w:t>
      </w:r>
      <w:r w:rsidR="00225D74" w:rsidRPr="00420D2C">
        <w:rPr>
          <w:rFonts w:asciiTheme="minorHAnsi" w:hAnsiTheme="minorHAnsi" w:cstheme="minorHAnsi"/>
          <w:color w:val="000000"/>
          <w:sz w:val="22"/>
          <w:szCs w:val="22"/>
        </w:rPr>
        <w:t xml:space="preserve">has commitments relevant to UCL </w:t>
      </w:r>
      <w:r w:rsidR="00225D74" w:rsidRPr="00420D2C">
        <w:rPr>
          <w:rFonts w:asciiTheme="minorHAnsi" w:hAnsiTheme="minorHAnsi" w:cstheme="minorHAnsi"/>
          <w:i/>
          <w:color w:val="000000"/>
          <w:sz w:val="22"/>
          <w:szCs w:val="22"/>
        </w:rPr>
        <w:t>inter alia</w:t>
      </w:r>
      <w:r w:rsidR="00225D74" w:rsidRPr="00420D2C">
        <w:rPr>
          <w:rFonts w:asciiTheme="minorHAnsi" w:hAnsiTheme="minorHAnsi" w:cstheme="minorHAnsi"/>
          <w:color w:val="000000"/>
          <w:sz w:val="22"/>
          <w:szCs w:val="22"/>
        </w:rPr>
        <w:t>:</w:t>
      </w:r>
    </w:p>
    <w:p w14:paraId="7B4CB193" w14:textId="77777777" w:rsidR="00225D74" w:rsidRPr="00420D2C" w:rsidRDefault="00225D74" w:rsidP="00420D2C">
      <w:pPr>
        <w:numPr>
          <w:ilvl w:val="0"/>
          <w:numId w:val="43"/>
        </w:numPr>
        <w:shd w:val="clear" w:color="auto" w:fill="FFFFFF"/>
        <w:spacing w:before="100" w:beforeAutospacing="1" w:after="100" w:afterAutospacing="1" w:line="240" w:lineRule="auto"/>
        <w:rPr>
          <w:rFonts w:eastAsia="Times New Roman" w:cstheme="minorHAnsi"/>
          <w:color w:val="000000"/>
          <w:lang w:eastAsia="en-GB"/>
        </w:rPr>
      </w:pPr>
      <w:proofErr w:type="gramStart"/>
      <w:r w:rsidRPr="00420D2C">
        <w:rPr>
          <w:rFonts w:eastAsia="Times New Roman" w:cstheme="minorHAnsi"/>
          <w:color w:val="000000"/>
          <w:lang w:eastAsia="en-GB"/>
        </w:rPr>
        <w:t>Opening up</w:t>
      </w:r>
      <w:proofErr w:type="gramEnd"/>
      <w:r w:rsidRPr="00420D2C">
        <w:rPr>
          <w:rFonts w:eastAsia="Times New Roman" w:cstheme="minorHAnsi"/>
          <w:color w:val="000000"/>
          <w:lang w:eastAsia="en-GB"/>
        </w:rPr>
        <w:t xml:space="preserve"> policy making to citizens</w:t>
      </w:r>
    </w:p>
    <w:p w14:paraId="484555F4" w14:textId="77777777" w:rsidR="00225D74" w:rsidRPr="00420D2C" w:rsidRDefault="00225D74" w:rsidP="00420D2C">
      <w:pPr>
        <w:numPr>
          <w:ilvl w:val="0"/>
          <w:numId w:val="43"/>
        </w:numPr>
        <w:shd w:val="clear" w:color="auto" w:fill="FFFFFF"/>
        <w:spacing w:before="100" w:beforeAutospacing="1" w:after="100" w:afterAutospacing="1" w:line="240" w:lineRule="auto"/>
        <w:rPr>
          <w:rFonts w:eastAsia="Times New Roman" w:cstheme="minorHAnsi"/>
          <w:color w:val="000000"/>
          <w:lang w:eastAsia="en-GB"/>
        </w:rPr>
      </w:pPr>
      <w:r w:rsidRPr="00420D2C">
        <w:rPr>
          <w:rFonts w:eastAsia="Times New Roman" w:cstheme="minorHAnsi"/>
          <w:color w:val="000000"/>
          <w:lang w:eastAsia="en-GB"/>
        </w:rPr>
        <w:t>Transparency around publicly owned natural resources</w:t>
      </w:r>
    </w:p>
    <w:p w14:paraId="26FF4DBB" w14:textId="1C34B3E8" w:rsidR="00225D74" w:rsidRPr="00420D2C" w:rsidRDefault="00225D74" w:rsidP="00420D2C">
      <w:pPr>
        <w:numPr>
          <w:ilvl w:val="0"/>
          <w:numId w:val="43"/>
        </w:numPr>
        <w:shd w:val="clear" w:color="auto" w:fill="FFFFFF"/>
        <w:spacing w:before="100" w:beforeAutospacing="1" w:after="100" w:afterAutospacing="1" w:line="240" w:lineRule="auto"/>
        <w:rPr>
          <w:rFonts w:eastAsia="Times New Roman" w:cstheme="minorHAnsi"/>
          <w:color w:val="000000"/>
          <w:lang w:eastAsia="en-GB"/>
        </w:rPr>
      </w:pPr>
      <w:r w:rsidRPr="00420D2C">
        <w:rPr>
          <w:rFonts w:eastAsia="Times New Roman" w:cstheme="minorHAnsi"/>
          <w:color w:val="000000"/>
          <w:lang w:eastAsia="en-GB"/>
        </w:rPr>
        <w:t>Improvements to the quality and quantity of data we publish as a government to show accountability and drive improvements in the way we deliver public services through third party contractors</w:t>
      </w:r>
    </w:p>
    <w:p w14:paraId="25D446F5" w14:textId="38DAC7B6" w:rsidR="007A620A" w:rsidRDefault="00225D74" w:rsidP="00420D2C">
      <w:pPr>
        <w:spacing w:before="240" w:after="0"/>
      </w:pPr>
      <w:r>
        <w:t xml:space="preserve">UCL’s Open Science could become a part of the next </w:t>
      </w:r>
      <w:proofErr w:type="gramStart"/>
      <w:r>
        <w:t>plan</w:t>
      </w:r>
      <w:proofErr w:type="gramEnd"/>
      <w:r>
        <w:t xml:space="preserve"> which is under development, as an example of working across government.</w:t>
      </w:r>
    </w:p>
    <w:p w14:paraId="7D47308A" w14:textId="4319AD15" w:rsidR="00787F2F" w:rsidRPr="00787F2F" w:rsidRDefault="00930149" w:rsidP="000A72EC">
      <w:pPr>
        <w:pStyle w:val="Heading1"/>
      </w:pPr>
      <w:r>
        <w:t>4.0 O</w:t>
      </w:r>
      <w:r w:rsidR="00787F2F">
        <w:t>bjectives for the period 2021-24</w:t>
      </w:r>
    </w:p>
    <w:p w14:paraId="62835954" w14:textId="77777777" w:rsidR="00DC2C1C" w:rsidRDefault="00ED367E" w:rsidP="00DC2C1C">
      <w:pPr>
        <w:spacing w:after="0"/>
      </w:pPr>
      <w:r>
        <w:t xml:space="preserve">The objectives below were developed </w:t>
      </w:r>
      <w:r w:rsidR="003557DA">
        <w:t>through a series of meetings with stakeholder</w:t>
      </w:r>
      <w:r w:rsidR="002C52FA">
        <w:t xml:space="preserve"> </w:t>
      </w:r>
      <w:r w:rsidR="003557DA">
        <w:t xml:space="preserve">groups, from questions asked in </w:t>
      </w:r>
      <w:r w:rsidR="000A00C7">
        <w:t xml:space="preserve">post-event </w:t>
      </w:r>
      <w:r w:rsidR="003557DA">
        <w:t xml:space="preserve">feedback forms, as well as the </w:t>
      </w:r>
      <w:r w:rsidR="00456BB2">
        <w:t xml:space="preserve">2020 </w:t>
      </w:r>
      <w:r w:rsidR="00EB37B2">
        <w:t xml:space="preserve">LERU </w:t>
      </w:r>
      <w:r w:rsidR="00207FD4">
        <w:t xml:space="preserve">Open Science </w:t>
      </w:r>
      <w:r w:rsidR="00EB37B2">
        <w:t>report</w:t>
      </w:r>
      <w:r w:rsidR="002C52FA">
        <w:rPr>
          <w:rStyle w:val="FootnoteReference"/>
        </w:rPr>
        <w:footnoteReference w:id="5"/>
      </w:r>
      <w:r w:rsidR="00CE7DA8">
        <w:t xml:space="preserve"> from the League of European Research Libraries</w:t>
      </w:r>
      <w:r w:rsidR="00EB37B2">
        <w:t>,</w:t>
      </w:r>
      <w:r w:rsidR="000A00C7">
        <w:t xml:space="preserve"> which outlined more than 40</w:t>
      </w:r>
      <w:r w:rsidR="007A5234">
        <w:t xml:space="preserve"> </w:t>
      </w:r>
      <w:r w:rsidR="00E34B2B">
        <w:t>potential activities for research</w:t>
      </w:r>
      <w:r w:rsidR="00C21EE1">
        <w:t>-</w:t>
      </w:r>
      <w:r w:rsidR="00E34B2B">
        <w:t>intensive</w:t>
      </w:r>
      <w:r w:rsidR="00C21EE1">
        <w:t xml:space="preserve"> </w:t>
      </w:r>
      <w:r w:rsidR="00E34B2B">
        <w:t>universities to implement Open Science.</w:t>
      </w:r>
      <w:r w:rsidR="00EB37B2">
        <w:t xml:space="preserve"> </w:t>
      </w:r>
    </w:p>
    <w:p w14:paraId="1B9C6CED" w14:textId="4403E786" w:rsidR="00DC2C1C" w:rsidRDefault="00DC2C1C" w:rsidP="00DC2C1C">
      <w:pPr>
        <w:spacing w:before="240" w:after="0"/>
      </w:pPr>
      <w:r>
        <w:t>A more detailed Implementation Plan will be drawn up to support delivery and monitoring of the objectives for each pillar.</w:t>
      </w:r>
    </w:p>
    <w:p w14:paraId="64D5D519" w14:textId="7A5CFC9E" w:rsidR="00F91D3F" w:rsidRDefault="00F91D3F" w:rsidP="00DC2C1C">
      <w:pPr>
        <w:spacing w:before="240" w:after="0"/>
      </w:pPr>
    </w:p>
    <w:p w14:paraId="5C541FC0" w14:textId="77777777" w:rsidR="00F91D3F" w:rsidRDefault="00F91D3F" w:rsidP="00DC2C1C">
      <w:pPr>
        <w:spacing w:before="240" w:after="0"/>
      </w:pPr>
    </w:p>
    <w:p w14:paraId="705B9354" w14:textId="77777777" w:rsidR="00207FD4" w:rsidRDefault="00207FD4" w:rsidP="00824556">
      <w:pPr>
        <w:spacing w:after="0"/>
      </w:pPr>
    </w:p>
    <w:tbl>
      <w:tblPr>
        <w:tblStyle w:val="TableGrid"/>
        <w:tblW w:w="0" w:type="auto"/>
        <w:tblLook w:val="04A0" w:firstRow="1" w:lastRow="0" w:firstColumn="1" w:lastColumn="0" w:noHBand="0" w:noVBand="1"/>
      </w:tblPr>
      <w:tblGrid>
        <w:gridCol w:w="704"/>
        <w:gridCol w:w="1843"/>
        <w:gridCol w:w="6469"/>
      </w:tblGrid>
      <w:tr w:rsidR="000A5FD3" w:rsidRPr="007C009F" w14:paraId="77F15794" w14:textId="77777777" w:rsidTr="00B8028A">
        <w:tc>
          <w:tcPr>
            <w:tcW w:w="704" w:type="dxa"/>
          </w:tcPr>
          <w:p w14:paraId="4A72CA1B" w14:textId="6976F223" w:rsidR="000A5FD3" w:rsidRPr="007C009F" w:rsidRDefault="00FA4684" w:rsidP="009F640D">
            <w:pPr>
              <w:rPr>
                <w:b/>
                <w:bCs/>
              </w:rPr>
            </w:pPr>
            <w:r w:rsidRPr="007C009F">
              <w:rPr>
                <w:b/>
                <w:bCs/>
              </w:rPr>
              <w:lastRenderedPageBreak/>
              <w:t>ID</w:t>
            </w:r>
          </w:p>
        </w:tc>
        <w:tc>
          <w:tcPr>
            <w:tcW w:w="1843" w:type="dxa"/>
          </w:tcPr>
          <w:p w14:paraId="30C03FDB" w14:textId="0BE98DE9" w:rsidR="000A5FD3" w:rsidRPr="007C009F" w:rsidRDefault="00FA4684" w:rsidP="009F640D">
            <w:pPr>
              <w:rPr>
                <w:b/>
                <w:bCs/>
              </w:rPr>
            </w:pPr>
            <w:r w:rsidRPr="007C009F">
              <w:rPr>
                <w:b/>
                <w:bCs/>
              </w:rPr>
              <w:t>Pillar</w:t>
            </w:r>
          </w:p>
        </w:tc>
        <w:tc>
          <w:tcPr>
            <w:tcW w:w="6469" w:type="dxa"/>
          </w:tcPr>
          <w:p w14:paraId="5A5E8A6D" w14:textId="0C6C8E4F" w:rsidR="000A5FD3" w:rsidRPr="007C009F" w:rsidRDefault="00FA4684" w:rsidP="009F640D">
            <w:pPr>
              <w:rPr>
                <w:b/>
                <w:bCs/>
              </w:rPr>
            </w:pPr>
            <w:r w:rsidRPr="007C009F">
              <w:rPr>
                <w:b/>
                <w:bCs/>
              </w:rPr>
              <w:t>Objective</w:t>
            </w:r>
          </w:p>
        </w:tc>
      </w:tr>
      <w:tr w:rsidR="000A5FD3" w14:paraId="29A0E2EF" w14:textId="77777777" w:rsidTr="00B8028A">
        <w:tc>
          <w:tcPr>
            <w:tcW w:w="704" w:type="dxa"/>
            <w:shd w:val="clear" w:color="auto" w:fill="auto"/>
          </w:tcPr>
          <w:p w14:paraId="00B9BCC2" w14:textId="151A1223" w:rsidR="000A5FD3" w:rsidRDefault="00FA4684" w:rsidP="009F640D">
            <w:r>
              <w:t>1</w:t>
            </w:r>
          </w:p>
        </w:tc>
        <w:tc>
          <w:tcPr>
            <w:tcW w:w="1843" w:type="dxa"/>
            <w:shd w:val="clear" w:color="auto" w:fill="auto"/>
          </w:tcPr>
          <w:p w14:paraId="708B18D8" w14:textId="0191C6DF" w:rsidR="000A5FD3" w:rsidRDefault="00F446DC" w:rsidP="009F640D">
            <w:r>
              <w:t>Research Integrity</w:t>
            </w:r>
          </w:p>
        </w:tc>
        <w:tc>
          <w:tcPr>
            <w:tcW w:w="6469" w:type="dxa"/>
            <w:shd w:val="clear" w:color="auto" w:fill="auto"/>
          </w:tcPr>
          <w:p w14:paraId="2345036B" w14:textId="21E3E53D" w:rsidR="000A5FD3" w:rsidRDefault="00323AB2" w:rsidP="009F640D">
            <w:r>
              <w:t>Map elements of Research Integrity</w:t>
            </w:r>
            <w:r w:rsidR="008006BF">
              <w:t xml:space="preserve"> &amp; Ethics </w:t>
            </w:r>
            <w:proofErr w:type="gramStart"/>
            <w:r w:rsidR="008006BF">
              <w:t>team work</w:t>
            </w:r>
            <w:proofErr w:type="gramEnd"/>
            <w:r w:rsidR="008006BF">
              <w:t xml:space="preserve"> on</w:t>
            </w:r>
            <w:r>
              <w:t>to the 8 Pillars of Open Science and integrate training and support paths between the two teams.</w:t>
            </w:r>
          </w:p>
        </w:tc>
      </w:tr>
      <w:tr w:rsidR="000A5FD3" w14:paraId="23F8A61C" w14:textId="77777777" w:rsidTr="00B8028A">
        <w:tc>
          <w:tcPr>
            <w:tcW w:w="704" w:type="dxa"/>
            <w:shd w:val="clear" w:color="auto" w:fill="auto"/>
          </w:tcPr>
          <w:p w14:paraId="1C2EB41B" w14:textId="243672FA" w:rsidR="000A5FD3" w:rsidRDefault="00FA4684" w:rsidP="009F640D">
            <w:r>
              <w:t>2</w:t>
            </w:r>
          </w:p>
        </w:tc>
        <w:tc>
          <w:tcPr>
            <w:tcW w:w="1843" w:type="dxa"/>
            <w:shd w:val="clear" w:color="auto" w:fill="auto"/>
          </w:tcPr>
          <w:p w14:paraId="46C03C03" w14:textId="0C1FA874" w:rsidR="000A5FD3" w:rsidRDefault="000A5FD3" w:rsidP="009F640D"/>
        </w:tc>
        <w:tc>
          <w:tcPr>
            <w:tcW w:w="6469" w:type="dxa"/>
            <w:shd w:val="clear" w:color="auto" w:fill="auto"/>
          </w:tcPr>
          <w:p w14:paraId="57CB0E83" w14:textId="074FC4E7" w:rsidR="000A5FD3" w:rsidRDefault="00295BE3" w:rsidP="009F640D">
            <w:r>
              <w:t>Respond to upcoming</w:t>
            </w:r>
            <w:r w:rsidR="00EF031C">
              <w:t xml:space="preserve"> o</w:t>
            </w:r>
            <w:r w:rsidR="00C62736">
              <w:t>ut</w:t>
            </w:r>
            <w:r w:rsidR="00C455DC">
              <w:t>comes</w:t>
            </w:r>
            <w:r w:rsidR="00C62736">
              <w:t xml:space="preserve"> of </w:t>
            </w:r>
            <w:r w:rsidR="00040CFE">
              <w:t>UCL’s</w:t>
            </w:r>
            <w:r w:rsidR="00C62736">
              <w:t xml:space="preserve"> </w:t>
            </w:r>
            <w:r w:rsidR="00323AB2">
              <w:t xml:space="preserve">Research Culture </w:t>
            </w:r>
            <w:r w:rsidR="00C835B0">
              <w:t xml:space="preserve">Scoping </w:t>
            </w:r>
            <w:r w:rsidR="00323AB2">
              <w:t>project</w:t>
            </w:r>
            <w:r w:rsidR="00EF031C">
              <w:t>.</w:t>
            </w:r>
          </w:p>
        </w:tc>
      </w:tr>
      <w:tr w:rsidR="007579F7" w14:paraId="614A3C56" w14:textId="77777777" w:rsidTr="00B8028A">
        <w:tc>
          <w:tcPr>
            <w:tcW w:w="704" w:type="dxa"/>
            <w:shd w:val="clear" w:color="auto" w:fill="auto"/>
          </w:tcPr>
          <w:p w14:paraId="594F09F9" w14:textId="0E3048C0" w:rsidR="007579F7" w:rsidRDefault="007579F7" w:rsidP="007579F7">
            <w:r>
              <w:t>3</w:t>
            </w:r>
          </w:p>
        </w:tc>
        <w:tc>
          <w:tcPr>
            <w:tcW w:w="1843" w:type="dxa"/>
            <w:shd w:val="clear" w:color="auto" w:fill="auto"/>
          </w:tcPr>
          <w:p w14:paraId="483E876C" w14:textId="77777777" w:rsidR="007579F7" w:rsidRDefault="007579F7" w:rsidP="007579F7"/>
        </w:tc>
        <w:tc>
          <w:tcPr>
            <w:tcW w:w="6469" w:type="dxa"/>
            <w:shd w:val="clear" w:color="auto" w:fill="auto"/>
          </w:tcPr>
          <w:p w14:paraId="21DE1EA4" w14:textId="260D18EA" w:rsidR="007579F7" w:rsidRDefault="00F028F4" w:rsidP="007579F7">
            <w:r>
              <w:t>I</w:t>
            </w:r>
            <w:r w:rsidRPr="00F028F4">
              <w:t xml:space="preserve">nvestigate further use of the CREDIT taxonomy and its possible development for </w:t>
            </w:r>
            <w:r w:rsidR="00040CFE">
              <w:t xml:space="preserve">use by </w:t>
            </w:r>
            <w:r w:rsidRPr="00F028F4">
              <w:t>UCL​</w:t>
            </w:r>
            <w:r w:rsidR="00040CFE">
              <w:t xml:space="preserve"> </w:t>
            </w:r>
          </w:p>
        </w:tc>
      </w:tr>
      <w:tr w:rsidR="007579F7" w14:paraId="4673DC29" w14:textId="77777777" w:rsidTr="00B8028A">
        <w:tc>
          <w:tcPr>
            <w:tcW w:w="704" w:type="dxa"/>
            <w:shd w:val="clear" w:color="auto" w:fill="auto"/>
          </w:tcPr>
          <w:p w14:paraId="7B8143D6" w14:textId="6D63AC17" w:rsidR="007579F7" w:rsidRDefault="007579F7" w:rsidP="007579F7">
            <w:r>
              <w:t>4</w:t>
            </w:r>
          </w:p>
        </w:tc>
        <w:tc>
          <w:tcPr>
            <w:tcW w:w="1843" w:type="dxa"/>
            <w:shd w:val="clear" w:color="auto" w:fill="auto"/>
          </w:tcPr>
          <w:p w14:paraId="29146C18" w14:textId="7A577DC2" w:rsidR="007579F7" w:rsidRDefault="007579F7" w:rsidP="007579F7">
            <w:r>
              <w:t>Future of Scholarly comms</w:t>
            </w:r>
          </w:p>
        </w:tc>
        <w:tc>
          <w:tcPr>
            <w:tcW w:w="6469" w:type="dxa"/>
            <w:shd w:val="clear" w:color="auto" w:fill="auto"/>
          </w:tcPr>
          <w:p w14:paraId="0F83983C" w14:textId="69F300D9" w:rsidR="007579F7" w:rsidRDefault="001F2744" w:rsidP="007579F7">
            <w:r>
              <w:t>Support and advocate for the d</w:t>
            </w:r>
            <w:r w:rsidR="007579F7">
              <w:t>evelop</w:t>
            </w:r>
            <w:r>
              <w:t>ment of</w:t>
            </w:r>
            <w:r w:rsidR="007579F7">
              <w:t xml:space="preserve"> the UCL OA E-Textbook platform as a major support for the Student Experience in UCL</w:t>
            </w:r>
          </w:p>
        </w:tc>
      </w:tr>
      <w:tr w:rsidR="007579F7" w14:paraId="759872D3" w14:textId="77777777" w:rsidTr="00B8028A">
        <w:tc>
          <w:tcPr>
            <w:tcW w:w="704" w:type="dxa"/>
            <w:shd w:val="clear" w:color="auto" w:fill="auto"/>
          </w:tcPr>
          <w:p w14:paraId="0BA69630" w14:textId="23CDCCFE" w:rsidR="007579F7" w:rsidRDefault="007579F7" w:rsidP="007579F7">
            <w:r>
              <w:t>5</w:t>
            </w:r>
          </w:p>
        </w:tc>
        <w:tc>
          <w:tcPr>
            <w:tcW w:w="1843" w:type="dxa"/>
            <w:shd w:val="clear" w:color="auto" w:fill="auto"/>
          </w:tcPr>
          <w:p w14:paraId="10DC550E" w14:textId="6CF555F6" w:rsidR="007579F7" w:rsidRDefault="007579F7" w:rsidP="007579F7">
            <w:r>
              <w:t>Education and skills</w:t>
            </w:r>
          </w:p>
        </w:tc>
        <w:tc>
          <w:tcPr>
            <w:tcW w:w="6469" w:type="dxa"/>
            <w:shd w:val="clear" w:color="auto" w:fill="auto"/>
          </w:tcPr>
          <w:p w14:paraId="6FB7B49A" w14:textId="0E281CC5" w:rsidR="007579F7" w:rsidRDefault="007579F7" w:rsidP="007579F7">
            <w:r>
              <w:t>Establish the OOSS Annual Conference</w:t>
            </w:r>
            <w:r w:rsidR="00040CFE">
              <w:t>, with a clear definition of its scope, aims and objectives</w:t>
            </w:r>
          </w:p>
        </w:tc>
      </w:tr>
      <w:tr w:rsidR="007579F7" w14:paraId="693BABBC" w14:textId="77777777" w:rsidTr="00B8028A">
        <w:tc>
          <w:tcPr>
            <w:tcW w:w="704" w:type="dxa"/>
            <w:shd w:val="clear" w:color="auto" w:fill="auto"/>
          </w:tcPr>
          <w:p w14:paraId="60C943EB" w14:textId="293DEFA3" w:rsidR="007579F7" w:rsidRDefault="007579F7" w:rsidP="007579F7">
            <w:r>
              <w:t>6</w:t>
            </w:r>
          </w:p>
        </w:tc>
        <w:tc>
          <w:tcPr>
            <w:tcW w:w="1843" w:type="dxa"/>
            <w:shd w:val="clear" w:color="auto" w:fill="auto"/>
          </w:tcPr>
          <w:p w14:paraId="243F8090" w14:textId="358E2C4E" w:rsidR="007579F7" w:rsidRDefault="007579F7" w:rsidP="007579F7"/>
        </w:tc>
        <w:tc>
          <w:tcPr>
            <w:tcW w:w="6469" w:type="dxa"/>
            <w:shd w:val="clear" w:color="auto" w:fill="auto"/>
          </w:tcPr>
          <w:p w14:paraId="3333E742" w14:textId="1A417D3B" w:rsidR="007579F7" w:rsidRDefault="007579F7" w:rsidP="007579F7">
            <w:r>
              <w:t xml:space="preserve">Establish a regular programme of </w:t>
            </w:r>
            <w:r w:rsidR="00670139">
              <w:t xml:space="preserve">education/training </w:t>
            </w:r>
            <w:r>
              <w:t xml:space="preserve">sessions </w:t>
            </w:r>
            <w:r w:rsidR="00040CFE">
              <w:t>in Open Science and Scholarship, co-ordinated</w:t>
            </w:r>
            <w:r>
              <w:t xml:space="preserve"> by </w:t>
            </w:r>
            <w:r w:rsidR="00040CFE">
              <w:t xml:space="preserve">the </w:t>
            </w:r>
            <w:r>
              <w:t>office team</w:t>
            </w:r>
          </w:p>
        </w:tc>
      </w:tr>
      <w:tr w:rsidR="007579F7" w14:paraId="2F6EAA34" w14:textId="77777777" w:rsidTr="00B8028A">
        <w:tc>
          <w:tcPr>
            <w:tcW w:w="704" w:type="dxa"/>
            <w:shd w:val="clear" w:color="auto" w:fill="auto"/>
          </w:tcPr>
          <w:p w14:paraId="7032EBFE" w14:textId="481EFF01" w:rsidR="007579F7" w:rsidRDefault="007579F7" w:rsidP="007579F7">
            <w:r>
              <w:t>7</w:t>
            </w:r>
          </w:p>
        </w:tc>
        <w:tc>
          <w:tcPr>
            <w:tcW w:w="1843" w:type="dxa"/>
            <w:shd w:val="clear" w:color="auto" w:fill="auto"/>
          </w:tcPr>
          <w:p w14:paraId="6C945A6B" w14:textId="2A466EB9" w:rsidR="007579F7" w:rsidRDefault="007579F7" w:rsidP="007579F7"/>
        </w:tc>
        <w:tc>
          <w:tcPr>
            <w:tcW w:w="6469" w:type="dxa"/>
            <w:shd w:val="clear" w:color="auto" w:fill="auto"/>
          </w:tcPr>
          <w:p w14:paraId="125DB17C" w14:textId="14D0A71D" w:rsidR="007579F7" w:rsidRDefault="007579F7" w:rsidP="007579F7">
            <w:r>
              <w:t xml:space="preserve">Expansion of existing online training programme by associated teams </w:t>
            </w:r>
            <w:r w:rsidR="00040CFE">
              <w:t xml:space="preserve">across UCL </w:t>
            </w:r>
            <w:r>
              <w:t>to include more interlinking content, and more focus on supporting developing areas (see below)</w:t>
            </w:r>
          </w:p>
        </w:tc>
      </w:tr>
      <w:tr w:rsidR="007579F7" w14:paraId="7A155F14" w14:textId="77777777" w:rsidTr="00B8028A">
        <w:tc>
          <w:tcPr>
            <w:tcW w:w="704" w:type="dxa"/>
            <w:shd w:val="clear" w:color="auto" w:fill="auto"/>
          </w:tcPr>
          <w:p w14:paraId="57DF4EBE" w14:textId="6829AB71" w:rsidR="007579F7" w:rsidRDefault="007579F7" w:rsidP="007579F7">
            <w:r>
              <w:t>8</w:t>
            </w:r>
          </w:p>
        </w:tc>
        <w:tc>
          <w:tcPr>
            <w:tcW w:w="1843" w:type="dxa"/>
            <w:shd w:val="clear" w:color="auto" w:fill="auto"/>
          </w:tcPr>
          <w:p w14:paraId="2CDCC5DC" w14:textId="6B12867F" w:rsidR="007579F7" w:rsidRDefault="007579F7" w:rsidP="007579F7"/>
        </w:tc>
        <w:tc>
          <w:tcPr>
            <w:tcW w:w="6469" w:type="dxa"/>
            <w:shd w:val="clear" w:color="auto" w:fill="auto"/>
          </w:tcPr>
          <w:p w14:paraId="2C9F65E9" w14:textId="23A7B238" w:rsidR="007579F7" w:rsidRDefault="007579F7" w:rsidP="007579F7">
            <w:r>
              <w:t>Re</w:t>
            </w:r>
            <w:r w:rsidR="00040CFE">
              <w:t>-</w:t>
            </w:r>
            <w:r>
              <w:t>introduction and expansion of in person training from associated teams to match and build on the online offering</w:t>
            </w:r>
          </w:p>
        </w:tc>
      </w:tr>
      <w:tr w:rsidR="007579F7" w14:paraId="2B3A14F9" w14:textId="77777777" w:rsidTr="00B8028A">
        <w:tc>
          <w:tcPr>
            <w:tcW w:w="704" w:type="dxa"/>
            <w:shd w:val="clear" w:color="auto" w:fill="auto"/>
          </w:tcPr>
          <w:p w14:paraId="35A3F877" w14:textId="21A30557" w:rsidR="007579F7" w:rsidRDefault="007579F7" w:rsidP="007579F7">
            <w:r>
              <w:t>9</w:t>
            </w:r>
          </w:p>
        </w:tc>
        <w:tc>
          <w:tcPr>
            <w:tcW w:w="1843" w:type="dxa"/>
            <w:shd w:val="clear" w:color="auto" w:fill="auto"/>
          </w:tcPr>
          <w:p w14:paraId="6E7FC259" w14:textId="40BEA76E" w:rsidR="007579F7" w:rsidRDefault="007579F7" w:rsidP="007579F7"/>
        </w:tc>
        <w:tc>
          <w:tcPr>
            <w:tcW w:w="6469" w:type="dxa"/>
            <w:shd w:val="clear" w:color="auto" w:fill="auto"/>
          </w:tcPr>
          <w:p w14:paraId="364FB75C" w14:textId="736CC809" w:rsidR="007579F7" w:rsidRDefault="007579F7" w:rsidP="007579F7">
            <w:r>
              <w:t>Co</w:t>
            </w:r>
            <w:r w:rsidR="00040CFE">
              <w:t>-</w:t>
            </w:r>
            <w:r>
              <w:t>ordinate the creation of a ‘Passport for Open Science</w:t>
            </w:r>
            <w:r>
              <w:rPr>
                <w:rStyle w:val="FootnoteReference"/>
              </w:rPr>
              <w:footnoteReference w:id="6"/>
            </w:r>
            <w:r>
              <w:t>’ for PhD students and ECRs</w:t>
            </w:r>
          </w:p>
        </w:tc>
      </w:tr>
      <w:tr w:rsidR="00631ECB" w14:paraId="207BE62F" w14:textId="77777777" w:rsidTr="00B8028A">
        <w:tc>
          <w:tcPr>
            <w:tcW w:w="704" w:type="dxa"/>
            <w:shd w:val="clear" w:color="auto" w:fill="auto"/>
          </w:tcPr>
          <w:p w14:paraId="57EBBB11" w14:textId="6A53165E" w:rsidR="00631ECB" w:rsidRDefault="00631ECB" w:rsidP="00631ECB">
            <w:r>
              <w:t>10</w:t>
            </w:r>
          </w:p>
        </w:tc>
        <w:tc>
          <w:tcPr>
            <w:tcW w:w="1843" w:type="dxa"/>
            <w:shd w:val="clear" w:color="auto" w:fill="auto"/>
          </w:tcPr>
          <w:p w14:paraId="09746A26" w14:textId="77777777" w:rsidR="00631ECB" w:rsidRDefault="00631ECB" w:rsidP="00631ECB"/>
        </w:tc>
        <w:tc>
          <w:tcPr>
            <w:tcW w:w="6469" w:type="dxa"/>
            <w:shd w:val="clear" w:color="auto" w:fill="auto"/>
          </w:tcPr>
          <w:p w14:paraId="5218E7A7" w14:textId="4CA740B8" w:rsidR="00631ECB" w:rsidRDefault="00732117" w:rsidP="00631ECB">
            <w:r>
              <w:t xml:space="preserve">Explore further development of the Open Education </w:t>
            </w:r>
            <w:r w:rsidR="009C6697">
              <w:t xml:space="preserve">Resources </w:t>
            </w:r>
            <w:r>
              <w:t>repository and continue advocacy for Open Education</w:t>
            </w:r>
          </w:p>
        </w:tc>
      </w:tr>
      <w:tr w:rsidR="00631ECB" w14:paraId="1FB35FD1" w14:textId="77777777" w:rsidTr="00B8028A">
        <w:tc>
          <w:tcPr>
            <w:tcW w:w="704" w:type="dxa"/>
            <w:shd w:val="clear" w:color="auto" w:fill="auto"/>
          </w:tcPr>
          <w:p w14:paraId="46F5D393" w14:textId="108E11E2" w:rsidR="00631ECB" w:rsidRDefault="00631ECB" w:rsidP="00631ECB">
            <w:r>
              <w:t>11</w:t>
            </w:r>
          </w:p>
        </w:tc>
        <w:tc>
          <w:tcPr>
            <w:tcW w:w="1843" w:type="dxa"/>
            <w:shd w:val="clear" w:color="auto" w:fill="auto"/>
          </w:tcPr>
          <w:p w14:paraId="5FC27D4D" w14:textId="3EA8F34D" w:rsidR="00631ECB" w:rsidRDefault="00631ECB" w:rsidP="00631ECB">
            <w:r>
              <w:t>Citizen Science</w:t>
            </w:r>
          </w:p>
        </w:tc>
        <w:tc>
          <w:tcPr>
            <w:tcW w:w="6469" w:type="dxa"/>
            <w:shd w:val="clear" w:color="auto" w:fill="auto"/>
          </w:tcPr>
          <w:p w14:paraId="434DEE14" w14:textId="585B2006" w:rsidR="00631ECB" w:rsidRDefault="00631ECB" w:rsidP="00631ECB">
            <w:r>
              <w:t>Establish a central point of contact for Citizen Science activity across UCL</w:t>
            </w:r>
          </w:p>
        </w:tc>
      </w:tr>
      <w:tr w:rsidR="00631ECB" w14:paraId="0A7D2ACD" w14:textId="77777777" w:rsidTr="00B8028A">
        <w:tc>
          <w:tcPr>
            <w:tcW w:w="704" w:type="dxa"/>
            <w:shd w:val="clear" w:color="auto" w:fill="auto"/>
          </w:tcPr>
          <w:p w14:paraId="3C59B93B" w14:textId="3550B6A3" w:rsidR="00631ECB" w:rsidRDefault="00631ECB" w:rsidP="00631ECB">
            <w:r>
              <w:t>12</w:t>
            </w:r>
          </w:p>
        </w:tc>
        <w:tc>
          <w:tcPr>
            <w:tcW w:w="1843" w:type="dxa"/>
            <w:shd w:val="clear" w:color="auto" w:fill="auto"/>
          </w:tcPr>
          <w:p w14:paraId="5923D689" w14:textId="6D29F303" w:rsidR="00631ECB" w:rsidRDefault="00631ECB" w:rsidP="00631ECB"/>
        </w:tc>
        <w:tc>
          <w:tcPr>
            <w:tcW w:w="6469" w:type="dxa"/>
            <w:shd w:val="clear" w:color="auto" w:fill="auto"/>
          </w:tcPr>
          <w:p w14:paraId="4EEA3842" w14:textId="46265009" w:rsidR="00631ECB" w:rsidRDefault="00631ECB" w:rsidP="00631ECB">
            <w:r>
              <w:t>Promote existing Citizen Science activity undertaken across UCL</w:t>
            </w:r>
          </w:p>
        </w:tc>
      </w:tr>
      <w:tr w:rsidR="00631ECB" w14:paraId="787DE1A8" w14:textId="77777777" w:rsidTr="00B8028A">
        <w:tc>
          <w:tcPr>
            <w:tcW w:w="704" w:type="dxa"/>
            <w:shd w:val="clear" w:color="auto" w:fill="auto"/>
          </w:tcPr>
          <w:p w14:paraId="0CF03318" w14:textId="747B5325" w:rsidR="00631ECB" w:rsidRDefault="00631ECB" w:rsidP="00631ECB">
            <w:r>
              <w:t>13</w:t>
            </w:r>
          </w:p>
        </w:tc>
        <w:tc>
          <w:tcPr>
            <w:tcW w:w="1843" w:type="dxa"/>
            <w:shd w:val="clear" w:color="auto" w:fill="auto"/>
          </w:tcPr>
          <w:p w14:paraId="75E4CEC5" w14:textId="7D5CA1F0" w:rsidR="00631ECB" w:rsidRDefault="00631ECB" w:rsidP="00631ECB"/>
        </w:tc>
        <w:tc>
          <w:tcPr>
            <w:tcW w:w="6469" w:type="dxa"/>
            <w:shd w:val="clear" w:color="auto" w:fill="auto"/>
          </w:tcPr>
          <w:p w14:paraId="65DD5E77" w14:textId="3366A522" w:rsidR="00631ECB" w:rsidRDefault="00631ECB" w:rsidP="00631ECB">
            <w:r>
              <w:t xml:space="preserve">Increase collaboration on and community around existing UCL Citizen Science projects, particularly </w:t>
            </w:r>
            <w:proofErr w:type="gramStart"/>
            <w:r>
              <w:t>in regard to</w:t>
            </w:r>
            <w:proofErr w:type="gramEnd"/>
            <w:r>
              <w:t xml:space="preserve"> the opportunities offered in UCL East</w:t>
            </w:r>
          </w:p>
        </w:tc>
      </w:tr>
      <w:tr w:rsidR="007A620A" w14:paraId="2DD5A262" w14:textId="77777777" w:rsidTr="00B8028A">
        <w:tc>
          <w:tcPr>
            <w:tcW w:w="704" w:type="dxa"/>
            <w:shd w:val="clear" w:color="auto" w:fill="auto"/>
          </w:tcPr>
          <w:p w14:paraId="3D9902BB" w14:textId="72882ABA" w:rsidR="007A620A" w:rsidRDefault="00077932" w:rsidP="00631ECB">
            <w:r>
              <w:t>14</w:t>
            </w:r>
          </w:p>
        </w:tc>
        <w:tc>
          <w:tcPr>
            <w:tcW w:w="1843" w:type="dxa"/>
            <w:shd w:val="clear" w:color="auto" w:fill="auto"/>
          </w:tcPr>
          <w:p w14:paraId="320A9BCC" w14:textId="77777777" w:rsidR="007A620A" w:rsidRDefault="007A620A" w:rsidP="00631ECB"/>
        </w:tc>
        <w:tc>
          <w:tcPr>
            <w:tcW w:w="6469" w:type="dxa"/>
            <w:shd w:val="clear" w:color="auto" w:fill="auto"/>
          </w:tcPr>
          <w:p w14:paraId="5C07AF1C" w14:textId="0AF0502A" w:rsidR="007A620A" w:rsidRPr="00077932" w:rsidRDefault="007A620A" w:rsidP="00077932">
            <w:pPr>
              <w:pStyle w:val="CommentText"/>
              <w:rPr>
                <w:sz w:val="22"/>
                <w:szCs w:val="22"/>
              </w:rPr>
            </w:pPr>
            <w:r w:rsidRPr="00077932">
              <w:rPr>
                <w:noProof/>
                <w:sz w:val="22"/>
                <w:szCs w:val="22"/>
              </w:rPr>
              <w:t>Establish best practice guidelines for creating open citizen and community science projects based on the 10 principles of citizen science</w:t>
            </w:r>
            <w:r w:rsidR="00077932">
              <w:rPr>
                <w:rStyle w:val="FootnoteReference"/>
                <w:noProof/>
                <w:sz w:val="22"/>
                <w:szCs w:val="22"/>
              </w:rPr>
              <w:footnoteReference w:id="7"/>
            </w:r>
            <w:r w:rsidRPr="00077932">
              <w:rPr>
                <w:noProof/>
                <w:sz w:val="22"/>
                <w:szCs w:val="22"/>
              </w:rPr>
              <w:t xml:space="preserve"> developed by ECSA (European Citizen Science Association), IGP-UCL social citizen science guidance and UK EOF UK Environmental Observation Framework</w:t>
            </w:r>
            <w:r w:rsidR="00077932">
              <w:rPr>
                <w:rStyle w:val="FootnoteReference"/>
                <w:noProof/>
                <w:sz w:val="22"/>
                <w:szCs w:val="22"/>
              </w:rPr>
              <w:footnoteReference w:id="8"/>
            </w:r>
          </w:p>
        </w:tc>
      </w:tr>
      <w:tr w:rsidR="00631ECB" w14:paraId="1AB1D046" w14:textId="77777777" w:rsidTr="00B8028A">
        <w:tc>
          <w:tcPr>
            <w:tcW w:w="704" w:type="dxa"/>
            <w:shd w:val="clear" w:color="auto" w:fill="auto"/>
          </w:tcPr>
          <w:p w14:paraId="081381DA" w14:textId="536D41A9" w:rsidR="00631ECB" w:rsidRDefault="00631ECB" w:rsidP="00631ECB">
            <w:r>
              <w:t>1</w:t>
            </w:r>
            <w:r w:rsidR="00077932">
              <w:t>5</w:t>
            </w:r>
          </w:p>
        </w:tc>
        <w:tc>
          <w:tcPr>
            <w:tcW w:w="1843" w:type="dxa"/>
            <w:shd w:val="clear" w:color="auto" w:fill="auto"/>
          </w:tcPr>
          <w:p w14:paraId="6F6945B5" w14:textId="1AEE54BA" w:rsidR="00631ECB" w:rsidRDefault="00631ECB" w:rsidP="00631ECB">
            <w:r>
              <w:t>Rewards and Initiatives</w:t>
            </w:r>
          </w:p>
        </w:tc>
        <w:tc>
          <w:tcPr>
            <w:tcW w:w="6469" w:type="dxa"/>
            <w:shd w:val="clear" w:color="auto" w:fill="auto"/>
          </w:tcPr>
          <w:p w14:paraId="34A435D4" w14:textId="506C9878" w:rsidR="00631ECB" w:rsidRDefault="00631ECB" w:rsidP="00631ECB">
            <w:r>
              <w:t>Work with UCL HR and other teams in UCL to further identify Best Practice in Open Science and to embed such practice in UCL policies and procedures, which are approved by relevant UCL committees</w:t>
            </w:r>
          </w:p>
        </w:tc>
      </w:tr>
      <w:tr w:rsidR="00631ECB" w14:paraId="3BBB363F" w14:textId="77777777" w:rsidTr="00B8028A">
        <w:tc>
          <w:tcPr>
            <w:tcW w:w="704" w:type="dxa"/>
            <w:shd w:val="clear" w:color="auto" w:fill="auto"/>
          </w:tcPr>
          <w:p w14:paraId="581909BB" w14:textId="4B3EF347" w:rsidR="00631ECB" w:rsidRDefault="00631ECB" w:rsidP="00631ECB">
            <w:r>
              <w:t>1</w:t>
            </w:r>
            <w:r w:rsidR="00077932">
              <w:t>6</w:t>
            </w:r>
          </w:p>
        </w:tc>
        <w:tc>
          <w:tcPr>
            <w:tcW w:w="1843" w:type="dxa"/>
            <w:shd w:val="clear" w:color="auto" w:fill="auto"/>
          </w:tcPr>
          <w:p w14:paraId="53972A51" w14:textId="65BD6B19" w:rsidR="00631ECB" w:rsidRDefault="00631ECB" w:rsidP="00631ECB"/>
        </w:tc>
        <w:tc>
          <w:tcPr>
            <w:tcW w:w="6469" w:type="dxa"/>
            <w:shd w:val="clear" w:color="auto" w:fill="auto"/>
          </w:tcPr>
          <w:p w14:paraId="693F4807" w14:textId="17554E56" w:rsidR="00631ECB" w:rsidRDefault="00631ECB" w:rsidP="00631ECB">
            <w:r w:rsidRPr="009D1A88">
              <w:t>Further the adoption of DORA and the principles of the Leiden Manifesto in evaluation activities across UCL</w:t>
            </w:r>
            <w:r>
              <w:t xml:space="preserve"> </w:t>
            </w:r>
            <w:proofErr w:type="gramStart"/>
            <w:r>
              <w:t>in light of</w:t>
            </w:r>
            <w:proofErr w:type="gramEnd"/>
            <w:r>
              <w:t xml:space="preserve"> growing funder requirements</w:t>
            </w:r>
          </w:p>
        </w:tc>
      </w:tr>
    </w:tbl>
    <w:p w14:paraId="5413D7C5" w14:textId="77777777" w:rsidR="00040CFE" w:rsidRDefault="00040CFE" w:rsidP="009F640D"/>
    <w:p w14:paraId="0766EF89" w14:textId="4FAEC22E" w:rsidR="00774768" w:rsidRDefault="00930149" w:rsidP="003B50A5">
      <w:pPr>
        <w:pStyle w:val="Heading2"/>
        <w:rPr>
          <w:rStyle w:val="normaltextrun"/>
        </w:rPr>
      </w:pPr>
      <w:r>
        <w:rPr>
          <w:rStyle w:val="normaltextrun"/>
        </w:rPr>
        <w:t>4.</w:t>
      </w:r>
      <w:r w:rsidR="00491ACD">
        <w:rPr>
          <w:rStyle w:val="normaltextrun"/>
        </w:rPr>
        <w:t xml:space="preserve">1 </w:t>
      </w:r>
      <w:r w:rsidR="00774768" w:rsidRPr="00774768">
        <w:rPr>
          <w:rStyle w:val="normaltextrun"/>
        </w:rPr>
        <w:t xml:space="preserve">Additional Training </w:t>
      </w:r>
      <w:r w:rsidR="00C93E35">
        <w:rPr>
          <w:rStyle w:val="normaltextrun"/>
        </w:rPr>
        <w:t>Development</w:t>
      </w:r>
    </w:p>
    <w:p w14:paraId="1C72F01E" w14:textId="0FDDD1F7" w:rsidR="002741B2" w:rsidRDefault="00075318" w:rsidP="002741B2">
      <w:pPr>
        <w:spacing w:after="0"/>
      </w:pPr>
      <w:r>
        <w:t xml:space="preserve">As </w:t>
      </w:r>
      <w:r w:rsidR="00040CFE">
        <w:t xml:space="preserve">highlighted </w:t>
      </w:r>
      <w:r w:rsidR="00E643ED">
        <w:t xml:space="preserve">in Objective </w:t>
      </w:r>
      <w:r w:rsidR="00DC2C1C">
        <w:t>7</w:t>
      </w:r>
      <w:r w:rsidR="001D0AAB">
        <w:t xml:space="preserve"> above, </w:t>
      </w:r>
      <w:r w:rsidR="00805DB7">
        <w:t>there are</w:t>
      </w:r>
      <w:r w:rsidR="001D0AAB">
        <w:t xml:space="preserve"> some specific areas that will be included in the implementation plans </w:t>
      </w:r>
      <w:r w:rsidR="00805DB7">
        <w:t xml:space="preserve">for </w:t>
      </w:r>
      <w:r w:rsidR="00A25664">
        <w:t xml:space="preserve">the expansion of existing training provision </w:t>
      </w:r>
      <w:r w:rsidR="00040CFE">
        <w:t>offered</w:t>
      </w:r>
      <w:r w:rsidR="00447D6E">
        <w:t xml:space="preserve"> </w:t>
      </w:r>
      <w:r w:rsidR="00040CFE">
        <w:t xml:space="preserve">by </w:t>
      </w:r>
      <w:r w:rsidR="00447D6E">
        <w:t>teams</w:t>
      </w:r>
      <w:r w:rsidR="00040CFE">
        <w:t xml:space="preserve"> associated with the Open Science Office.</w:t>
      </w:r>
    </w:p>
    <w:p w14:paraId="00726F0B" w14:textId="6C463AE2" w:rsidR="002741B2" w:rsidRDefault="002741B2" w:rsidP="002741B2">
      <w:pPr>
        <w:spacing w:after="0"/>
      </w:pPr>
    </w:p>
    <w:tbl>
      <w:tblPr>
        <w:tblStyle w:val="TableGrid"/>
        <w:tblW w:w="0" w:type="auto"/>
        <w:tblLook w:val="04A0" w:firstRow="1" w:lastRow="0" w:firstColumn="1" w:lastColumn="0" w:noHBand="0" w:noVBand="1"/>
      </w:tblPr>
      <w:tblGrid>
        <w:gridCol w:w="1838"/>
        <w:gridCol w:w="7178"/>
      </w:tblGrid>
      <w:tr w:rsidR="007E4C98" w14:paraId="645F8399" w14:textId="77777777" w:rsidTr="009E450E">
        <w:tc>
          <w:tcPr>
            <w:tcW w:w="1838" w:type="dxa"/>
          </w:tcPr>
          <w:p w14:paraId="04CE4292" w14:textId="579D34E5" w:rsidR="007E4C98" w:rsidRDefault="007E4C98" w:rsidP="002741B2">
            <w:r w:rsidRPr="007E4C98">
              <w:lastRenderedPageBreak/>
              <w:t xml:space="preserve">The future of scholarly publishing  </w:t>
            </w:r>
          </w:p>
        </w:tc>
        <w:tc>
          <w:tcPr>
            <w:tcW w:w="7178" w:type="dxa"/>
          </w:tcPr>
          <w:p w14:paraId="3D56279B" w14:textId="2F9DD68B" w:rsidR="009B4E2F" w:rsidRDefault="007E4C98" w:rsidP="009B4E2F">
            <w:pPr>
              <w:pStyle w:val="ListParagraph"/>
              <w:numPr>
                <w:ilvl w:val="0"/>
                <w:numId w:val="36"/>
              </w:numPr>
            </w:pPr>
            <w:r>
              <w:t>Open Access publishing options</w:t>
            </w:r>
            <w:r w:rsidR="00AD7314">
              <w:t xml:space="preserve"> and requirements</w:t>
            </w:r>
            <w:r>
              <w:t>, Transformative Agreements, OA funding</w:t>
            </w:r>
            <w:r w:rsidR="009B4E2F">
              <w:t>,</w:t>
            </w:r>
            <w:r>
              <w:t xml:space="preserve"> </w:t>
            </w:r>
            <w:proofErr w:type="spellStart"/>
            <w:r w:rsidR="009B4E2F">
              <w:t>eTextbooks</w:t>
            </w:r>
            <w:proofErr w:type="spellEnd"/>
            <w:r w:rsidR="009C63B3">
              <w:t>,</w:t>
            </w:r>
            <w:r w:rsidR="009B4E2F">
              <w:t xml:space="preserve"> Preprints, Registered reports</w:t>
            </w:r>
            <w:r w:rsidR="004005FB">
              <w:t>.</w:t>
            </w:r>
          </w:p>
          <w:p w14:paraId="1E5B19AA" w14:textId="77777777" w:rsidR="009B4E2F" w:rsidRDefault="009A6E9B" w:rsidP="009B4E2F">
            <w:pPr>
              <w:pStyle w:val="ListParagraph"/>
              <w:numPr>
                <w:ilvl w:val="0"/>
                <w:numId w:val="36"/>
              </w:numPr>
            </w:pPr>
            <w:r>
              <w:t xml:space="preserve">Induction – ‘starting out with RPS’ </w:t>
            </w:r>
          </w:p>
          <w:p w14:paraId="77DC957B" w14:textId="78B071EE" w:rsidR="007E4C98" w:rsidRDefault="007E4C98" w:rsidP="009B4E2F">
            <w:pPr>
              <w:pStyle w:val="ListParagraph"/>
              <w:numPr>
                <w:ilvl w:val="0"/>
                <w:numId w:val="36"/>
              </w:numPr>
            </w:pPr>
            <w:r>
              <w:t xml:space="preserve">Advocacy </w:t>
            </w:r>
            <w:r w:rsidR="009B4E2F">
              <w:t>for d</w:t>
            </w:r>
            <w:r>
              <w:t>eveloping areas</w:t>
            </w:r>
            <w:r w:rsidR="009B4E2F">
              <w:t xml:space="preserve"> like </w:t>
            </w:r>
            <w:proofErr w:type="spellStart"/>
            <w:r>
              <w:t>CRediT</w:t>
            </w:r>
            <w:proofErr w:type="spellEnd"/>
            <w:r>
              <w:t xml:space="preserve"> &amp; Researcher contribution statements</w:t>
            </w:r>
            <w:r w:rsidR="009B4E2F">
              <w:t>,</w:t>
            </w:r>
            <w:r>
              <w:t xml:space="preserve"> </w:t>
            </w:r>
            <w:r w:rsidR="009B4E2F">
              <w:t>O</w:t>
            </w:r>
            <w:r>
              <w:t>RCID and other P</w:t>
            </w:r>
            <w:r w:rsidR="00F30E30">
              <w:t>ersistent Identifiers (P</w:t>
            </w:r>
            <w:r>
              <w:t>IDs</w:t>
            </w:r>
            <w:r w:rsidR="00F30E30">
              <w:t>)</w:t>
            </w:r>
            <w:r>
              <w:t xml:space="preserve"> </w:t>
            </w:r>
          </w:p>
        </w:tc>
      </w:tr>
      <w:tr w:rsidR="007E4C98" w14:paraId="01F06BAD" w14:textId="77777777" w:rsidTr="009E450E">
        <w:tc>
          <w:tcPr>
            <w:tcW w:w="1838" w:type="dxa"/>
          </w:tcPr>
          <w:p w14:paraId="3F485E6C" w14:textId="111B9466" w:rsidR="007E4C98" w:rsidRDefault="007E4C98" w:rsidP="002741B2">
            <w:r w:rsidRPr="007E4C98">
              <w:t xml:space="preserve">FAIR data  </w:t>
            </w:r>
          </w:p>
        </w:tc>
        <w:tc>
          <w:tcPr>
            <w:tcW w:w="7178" w:type="dxa"/>
          </w:tcPr>
          <w:p w14:paraId="57FE4965" w14:textId="3BDD209A" w:rsidR="007E4C98" w:rsidRDefault="007E4C98" w:rsidP="00CF6754">
            <w:pPr>
              <w:pStyle w:val="ListParagraph"/>
              <w:numPr>
                <w:ilvl w:val="0"/>
                <w:numId w:val="37"/>
              </w:numPr>
            </w:pPr>
            <w:r>
              <w:t xml:space="preserve">Advocacy of best practice across all aspects of FAIR and Research Data Management </w:t>
            </w:r>
          </w:p>
          <w:p w14:paraId="2D387FB3" w14:textId="3CEF8CAE" w:rsidR="00387E86" w:rsidRDefault="00387E86" w:rsidP="00CF6754">
            <w:pPr>
              <w:pStyle w:val="ListParagraph"/>
              <w:numPr>
                <w:ilvl w:val="0"/>
                <w:numId w:val="37"/>
              </w:numPr>
            </w:pPr>
            <w:r>
              <w:t>T</w:t>
            </w:r>
            <w:r w:rsidRPr="00387E86">
              <w:t>ools and services provided by UCL that can help researchers ensure their data is as FAIR as possible</w:t>
            </w:r>
          </w:p>
          <w:p w14:paraId="515295D6" w14:textId="3323500F" w:rsidR="007E4C98" w:rsidRDefault="007E4C98" w:rsidP="00CF6754">
            <w:pPr>
              <w:pStyle w:val="ListParagraph"/>
              <w:numPr>
                <w:ilvl w:val="0"/>
                <w:numId w:val="37"/>
              </w:numPr>
            </w:pPr>
            <w:r>
              <w:t xml:space="preserve">Link FAIR </w:t>
            </w:r>
            <w:r w:rsidR="00882D8B">
              <w:t xml:space="preserve">explicitly </w:t>
            </w:r>
            <w:r>
              <w:t>to other aspects of Open Science</w:t>
            </w:r>
            <w:r w:rsidR="000E0311">
              <w:t xml:space="preserve"> </w:t>
            </w:r>
            <w:proofErr w:type="gramStart"/>
            <w:r w:rsidR="000E0311">
              <w:t>e.g.</w:t>
            </w:r>
            <w:proofErr w:type="gramEnd"/>
            <w:r>
              <w:t xml:space="preserve"> </w:t>
            </w:r>
            <w:r w:rsidR="00F42627">
              <w:t>Metrics, Impact</w:t>
            </w:r>
            <w:r w:rsidR="000E0311">
              <w:t>, Open Access Publications</w:t>
            </w:r>
          </w:p>
          <w:p w14:paraId="684B0D07" w14:textId="6407419C" w:rsidR="007E4C98" w:rsidRDefault="007E4C98" w:rsidP="00CF6754">
            <w:pPr>
              <w:pStyle w:val="ListParagraph"/>
              <w:numPr>
                <w:ilvl w:val="0"/>
                <w:numId w:val="37"/>
              </w:numPr>
            </w:pPr>
            <w:r>
              <w:t xml:space="preserve">Linking RDM principles to more material types </w:t>
            </w:r>
            <w:proofErr w:type="gramStart"/>
            <w:r>
              <w:t>i.e.</w:t>
            </w:r>
            <w:proofErr w:type="gramEnd"/>
            <w:r>
              <w:t xml:space="preserve"> Software </w:t>
            </w:r>
          </w:p>
          <w:p w14:paraId="565B26E8" w14:textId="4BC78292" w:rsidR="007E4C98" w:rsidRDefault="007E4C98" w:rsidP="00CF6754">
            <w:pPr>
              <w:pStyle w:val="ListParagraph"/>
              <w:numPr>
                <w:ilvl w:val="0"/>
                <w:numId w:val="37"/>
              </w:numPr>
            </w:pPr>
            <w:r>
              <w:t xml:space="preserve">Promote policy developments, </w:t>
            </w:r>
            <w:proofErr w:type="gramStart"/>
            <w:r>
              <w:t>techniques</w:t>
            </w:r>
            <w:proofErr w:type="gramEnd"/>
            <w:r>
              <w:t xml:space="preserve"> and frameworks  </w:t>
            </w:r>
          </w:p>
        </w:tc>
      </w:tr>
      <w:tr w:rsidR="007E4C98" w14:paraId="321AC5FE" w14:textId="77777777" w:rsidTr="009E450E">
        <w:tc>
          <w:tcPr>
            <w:tcW w:w="1838" w:type="dxa"/>
          </w:tcPr>
          <w:p w14:paraId="7F5F73B5" w14:textId="01D514BA" w:rsidR="007E4C98" w:rsidRDefault="000B0286" w:rsidP="002741B2">
            <w:r w:rsidRPr="000B0286">
              <w:t xml:space="preserve">Next-generation metrics  </w:t>
            </w:r>
          </w:p>
        </w:tc>
        <w:tc>
          <w:tcPr>
            <w:tcW w:w="7178" w:type="dxa"/>
          </w:tcPr>
          <w:p w14:paraId="53254BD7" w14:textId="03CC706F" w:rsidR="000B0286" w:rsidRDefault="000B0286" w:rsidP="00CF6754">
            <w:pPr>
              <w:pStyle w:val="ListParagraph"/>
              <w:numPr>
                <w:ilvl w:val="0"/>
                <w:numId w:val="38"/>
              </w:numPr>
            </w:pPr>
            <w:r>
              <w:t xml:space="preserve">Responsible metrics policy and best practice  </w:t>
            </w:r>
          </w:p>
          <w:p w14:paraId="58DB66D3" w14:textId="1C871A76" w:rsidR="000B0286" w:rsidRDefault="000B0286" w:rsidP="00CF6754">
            <w:pPr>
              <w:pStyle w:val="ListParagraph"/>
              <w:numPr>
                <w:ilvl w:val="0"/>
                <w:numId w:val="38"/>
              </w:numPr>
            </w:pPr>
            <w:r>
              <w:t xml:space="preserve">Use of metrics tools and understanding outputs from them in the context of responsible use. </w:t>
            </w:r>
          </w:p>
          <w:p w14:paraId="74047FD2" w14:textId="1D198DC3" w:rsidR="000B0286" w:rsidRDefault="000B0286" w:rsidP="00CF6754">
            <w:pPr>
              <w:pStyle w:val="ListParagraph"/>
              <w:numPr>
                <w:ilvl w:val="0"/>
                <w:numId w:val="38"/>
              </w:numPr>
            </w:pPr>
            <w:r>
              <w:t xml:space="preserve">Alternative metrics  </w:t>
            </w:r>
          </w:p>
          <w:p w14:paraId="0BE6D8E0" w14:textId="50449783" w:rsidR="007E4C98" w:rsidRDefault="000B0286" w:rsidP="00CF6754">
            <w:pPr>
              <w:pStyle w:val="ListParagraph"/>
              <w:numPr>
                <w:ilvl w:val="0"/>
                <w:numId w:val="38"/>
              </w:numPr>
            </w:pPr>
            <w:r>
              <w:t xml:space="preserve">Responsible metrics for supporters of researchers </w:t>
            </w:r>
            <w:proofErr w:type="gramStart"/>
            <w:r>
              <w:t>e.g.</w:t>
            </w:r>
            <w:proofErr w:type="gramEnd"/>
            <w:r>
              <w:t xml:space="preserve"> identifying metrics-related issues in letters of support and funding bids</w:t>
            </w:r>
          </w:p>
        </w:tc>
      </w:tr>
      <w:tr w:rsidR="000B0286" w14:paraId="06D326F8" w14:textId="77777777" w:rsidTr="009E450E">
        <w:tc>
          <w:tcPr>
            <w:tcW w:w="1838" w:type="dxa"/>
          </w:tcPr>
          <w:p w14:paraId="676413DC" w14:textId="0904CF4C" w:rsidR="000B0286" w:rsidRPr="000B0286" w:rsidRDefault="000B0286" w:rsidP="002741B2">
            <w:r>
              <w:t>Citizen Science</w:t>
            </w:r>
          </w:p>
        </w:tc>
        <w:tc>
          <w:tcPr>
            <w:tcW w:w="7178" w:type="dxa"/>
          </w:tcPr>
          <w:p w14:paraId="1A905E86" w14:textId="0F7CC768" w:rsidR="000B0286" w:rsidRDefault="000B0286" w:rsidP="00AD6174">
            <w:pPr>
              <w:pStyle w:val="ListParagraph"/>
              <w:numPr>
                <w:ilvl w:val="0"/>
                <w:numId w:val="39"/>
              </w:numPr>
            </w:pPr>
            <w:r>
              <w:t>Citizen Science</w:t>
            </w:r>
            <w:r w:rsidR="0030669E">
              <w:t>,</w:t>
            </w:r>
            <w:r>
              <w:t xml:space="preserve"> Public </w:t>
            </w:r>
            <w:proofErr w:type="gramStart"/>
            <w:r>
              <w:t>engagement</w:t>
            </w:r>
            <w:proofErr w:type="gramEnd"/>
            <w:r>
              <w:t xml:space="preserve"> </w:t>
            </w:r>
            <w:r w:rsidR="0030669E">
              <w:t>and</w:t>
            </w:r>
            <w:r>
              <w:t xml:space="preserve"> Impact  </w:t>
            </w:r>
          </w:p>
          <w:p w14:paraId="055AC8B9" w14:textId="44E0DF40" w:rsidR="000B0286" w:rsidRDefault="007A620A" w:rsidP="00AD6174">
            <w:pPr>
              <w:pStyle w:val="ListParagraph"/>
              <w:numPr>
                <w:ilvl w:val="0"/>
                <w:numId w:val="39"/>
              </w:numPr>
            </w:pPr>
            <w:r w:rsidRPr="00077932">
              <w:t xml:space="preserve">Approaches, tools, </w:t>
            </w:r>
            <w:proofErr w:type="gramStart"/>
            <w:r w:rsidRPr="00077932">
              <w:t>techniques</w:t>
            </w:r>
            <w:proofErr w:type="gramEnd"/>
            <w:r w:rsidRPr="00077932">
              <w:t xml:space="preserve"> and publishing in </w:t>
            </w:r>
            <w:r w:rsidR="00D36D8E" w:rsidRPr="00077932">
              <w:t xml:space="preserve">citizen </w:t>
            </w:r>
            <w:r w:rsidRPr="00077932">
              <w:t>natural and social sciences</w:t>
            </w:r>
          </w:p>
        </w:tc>
      </w:tr>
      <w:tr w:rsidR="000B0286" w14:paraId="0193A09B" w14:textId="77777777" w:rsidTr="009E450E">
        <w:tc>
          <w:tcPr>
            <w:tcW w:w="1838" w:type="dxa"/>
          </w:tcPr>
          <w:p w14:paraId="2D006683" w14:textId="01C003D3" w:rsidR="000B0286" w:rsidRDefault="000B0286" w:rsidP="002741B2">
            <w:r>
              <w:t>Research Integrity</w:t>
            </w:r>
          </w:p>
        </w:tc>
        <w:tc>
          <w:tcPr>
            <w:tcW w:w="7178" w:type="dxa"/>
          </w:tcPr>
          <w:p w14:paraId="03698157" w14:textId="46B20CEE" w:rsidR="000B0286" w:rsidRDefault="009E450E" w:rsidP="00D85AA6">
            <w:pPr>
              <w:pStyle w:val="ListParagraph"/>
              <w:numPr>
                <w:ilvl w:val="0"/>
                <w:numId w:val="40"/>
              </w:numPr>
            </w:pPr>
            <w:r>
              <w:t>Integrity linked to all other training and support for Open Science principles more widely</w:t>
            </w:r>
            <w:r w:rsidR="00D85AA6">
              <w:t>, especially r</w:t>
            </w:r>
            <w:r>
              <w:t xml:space="preserve">eproducibility and transparency  </w:t>
            </w:r>
          </w:p>
        </w:tc>
      </w:tr>
    </w:tbl>
    <w:p w14:paraId="62F3A8C2" w14:textId="7669ECB2" w:rsidR="00653A87" w:rsidRDefault="00403623" w:rsidP="000A72EC">
      <w:pPr>
        <w:pStyle w:val="Heading1"/>
      </w:pPr>
      <w:r>
        <w:t xml:space="preserve">5.0 </w:t>
      </w:r>
      <w:r w:rsidR="00E73267">
        <w:t>Communication</w:t>
      </w:r>
    </w:p>
    <w:p w14:paraId="216FF98B" w14:textId="4BCCAD46" w:rsidR="00085ED0" w:rsidRDefault="00085ED0" w:rsidP="0060640D">
      <w:r>
        <w:t xml:space="preserve">The </w:t>
      </w:r>
      <w:r w:rsidR="00CD2727">
        <w:t xml:space="preserve">UCL </w:t>
      </w:r>
      <w:r>
        <w:t xml:space="preserve">Office for Open Science &amp; Scholarship has a Blog, Twitter account and a termly newsletter which will reach multiple internal and </w:t>
      </w:r>
      <w:r w:rsidR="00B77E97">
        <w:t>external</w:t>
      </w:r>
      <w:r>
        <w:t xml:space="preserve"> audiences. </w:t>
      </w:r>
      <w:proofErr w:type="gramStart"/>
      <w:r>
        <w:t>In the near future</w:t>
      </w:r>
      <w:proofErr w:type="gramEnd"/>
      <w:r w:rsidR="00CD2727">
        <w:t>,</w:t>
      </w:r>
      <w:r>
        <w:t xml:space="preserve"> the Office will be </w:t>
      </w:r>
      <w:r w:rsidR="004C2B69">
        <w:t>implementing</w:t>
      </w:r>
      <w:r>
        <w:t xml:space="preserve"> a mailing list using new tools currently in testing by </w:t>
      </w:r>
      <w:r w:rsidR="00DC29A8">
        <w:t xml:space="preserve">UCL </w:t>
      </w:r>
      <w:r>
        <w:t xml:space="preserve">ISD. </w:t>
      </w:r>
      <w:r w:rsidR="00F4634D">
        <w:t xml:space="preserve">There are </w:t>
      </w:r>
      <w:proofErr w:type="gramStart"/>
      <w:r w:rsidR="00F4634D">
        <w:t>a n</w:t>
      </w:r>
      <w:r w:rsidR="00132C88">
        <w:t>umber of</w:t>
      </w:r>
      <w:proofErr w:type="gramEnd"/>
      <w:r w:rsidR="00132C88">
        <w:t xml:space="preserve"> other internal </w:t>
      </w:r>
      <w:r w:rsidR="002C56AD">
        <w:t>mailing lists</w:t>
      </w:r>
      <w:r w:rsidR="00CD2F39">
        <w:t xml:space="preserve"> and</w:t>
      </w:r>
      <w:r w:rsidR="002C56AD">
        <w:t xml:space="preserve"> newsletters </w:t>
      </w:r>
      <w:r w:rsidR="00CD2F39">
        <w:t>that reach multiple audiences, such as thos</w:t>
      </w:r>
      <w:r w:rsidR="003E3AB8">
        <w:t xml:space="preserve">e of the </w:t>
      </w:r>
      <w:proofErr w:type="spellStart"/>
      <w:r w:rsidR="003E3AB8">
        <w:t>eResearch</w:t>
      </w:r>
      <w:proofErr w:type="spellEnd"/>
      <w:r w:rsidR="003E3AB8">
        <w:t xml:space="preserve"> Domain, </w:t>
      </w:r>
      <w:r w:rsidR="00DC29A8">
        <w:t>Office of the Vice-Provost (RIGE)</w:t>
      </w:r>
      <w:r w:rsidR="003E3AB8">
        <w:t xml:space="preserve">, the internal </w:t>
      </w:r>
      <w:proofErr w:type="spellStart"/>
      <w:r w:rsidR="00CD2F39">
        <w:t>ReproducibiliTea</w:t>
      </w:r>
      <w:proofErr w:type="spellEnd"/>
      <w:r w:rsidR="00CD2F39">
        <w:t xml:space="preserve"> </w:t>
      </w:r>
      <w:r w:rsidR="003E3AB8">
        <w:t xml:space="preserve">group </w:t>
      </w:r>
      <w:r w:rsidR="002C56AD">
        <w:t xml:space="preserve">as well as </w:t>
      </w:r>
      <w:proofErr w:type="spellStart"/>
      <w:r w:rsidR="002C56AD">
        <w:t>TheWeek@UCL</w:t>
      </w:r>
      <w:proofErr w:type="spellEnd"/>
      <w:r w:rsidR="007443A8">
        <w:t>. Each of these will be utilised for relevant communications to their respective audiences</w:t>
      </w:r>
      <w:r w:rsidR="00CD2F39">
        <w:t>.</w:t>
      </w:r>
      <w:r w:rsidR="002C56AD">
        <w:t xml:space="preserve"> </w:t>
      </w:r>
    </w:p>
    <w:p w14:paraId="1E7E8C52" w14:textId="1033E29E" w:rsidR="00A850E6" w:rsidRDefault="00A850E6" w:rsidP="00A850E6">
      <w:pPr>
        <w:spacing w:after="0"/>
      </w:pPr>
      <w:r>
        <w:t>The following table</w:t>
      </w:r>
      <w:r w:rsidR="00171E26">
        <w:t>s</w:t>
      </w:r>
      <w:r>
        <w:t xml:space="preserve"> show a high-level stakeholder analysis, noting any additional comms channels specific </w:t>
      </w:r>
      <w:r w:rsidR="00CF26EB">
        <w:t xml:space="preserve">to </w:t>
      </w:r>
      <w:r w:rsidR="005C4AA2">
        <w:t>each</w:t>
      </w:r>
      <w:r>
        <w:t xml:space="preserve"> group.</w:t>
      </w:r>
    </w:p>
    <w:p w14:paraId="20E8E310" w14:textId="77777777" w:rsidR="003F1933" w:rsidRDefault="003F1933" w:rsidP="00276626">
      <w:pPr>
        <w:pStyle w:val="Heading2"/>
      </w:pPr>
      <w:r>
        <w:t xml:space="preserve">Internal </w:t>
      </w:r>
    </w:p>
    <w:tbl>
      <w:tblPr>
        <w:tblStyle w:val="TableGrid"/>
        <w:tblW w:w="5000" w:type="pct"/>
        <w:tblLook w:val="04A0" w:firstRow="1" w:lastRow="0" w:firstColumn="1" w:lastColumn="0" w:noHBand="0" w:noVBand="1"/>
        <w:tblCaption w:val="Stakeholder analysis for internal groups"/>
        <w:tblDescription w:val="Table shows a high-level stakeholder analysis, noting any additional communication channels specific to each group."/>
      </w:tblPr>
      <w:tblGrid>
        <w:gridCol w:w="1838"/>
        <w:gridCol w:w="4111"/>
        <w:gridCol w:w="3067"/>
      </w:tblGrid>
      <w:tr w:rsidR="00BB1D46" w:rsidRPr="007C009F" w14:paraId="6E697431" w14:textId="77777777" w:rsidTr="003C0464">
        <w:tc>
          <w:tcPr>
            <w:tcW w:w="1019" w:type="pct"/>
          </w:tcPr>
          <w:p w14:paraId="08D1C3A0" w14:textId="5395C501" w:rsidR="00BB1D46" w:rsidRPr="007C009F" w:rsidRDefault="00BB1D46" w:rsidP="00A850E6">
            <w:pPr>
              <w:rPr>
                <w:b/>
                <w:bCs/>
              </w:rPr>
            </w:pPr>
            <w:r w:rsidRPr="007C009F">
              <w:rPr>
                <w:b/>
                <w:bCs/>
              </w:rPr>
              <w:t>Stakeholder group</w:t>
            </w:r>
          </w:p>
        </w:tc>
        <w:tc>
          <w:tcPr>
            <w:tcW w:w="2280" w:type="pct"/>
          </w:tcPr>
          <w:p w14:paraId="30CACE3D" w14:textId="0B4830D0" w:rsidR="00BB1D46" w:rsidRPr="007C009F" w:rsidRDefault="00BB1D46" w:rsidP="00A850E6">
            <w:pPr>
              <w:rPr>
                <w:b/>
                <w:bCs/>
              </w:rPr>
            </w:pPr>
            <w:r w:rsidRPr="007C009F">
              <w:rPr>
                <w:b/>
                <w:bCs/>
              </w:rPr>
              <w:t>Stake</w:t>
            </w:r>
          </w:p>
        </w:tc>
        <w:tc>
          <w:tcPr>
            <w:tcW w:w="1701" w:type="pct"/>
          </w:tcPr>
          <w:p w14:paraId="6F56C250" w14:textId="015B1C87" w:rsidR="00BB1D46" w:rsidRPr="007C009F" w:rsidRDefault="00BB1D46" w:rsidP="00A850E6">
            <w:pPr>
              <w:rPr>
                <w:b/>
                <w:bCs/>
              </w:rPr>
            </w:pPr>
            <w:r w:rsidRPr="007C009F">
              <w:rPr>
                <w:b/>
                <w:bCs/>
              </w:rPr>
              <w:t>Specific Channels</w:t>
            </w:r>
          </w:p>
        </w:tc>
      </w:tr>
      <w:tr w:rsidR="00BB1D46" w14:paraId="54FA96BC" w14:textId="77777777" w:rsidTr="003C0464">
        <w:tc>
          <w:tcPr>
            <w:tcW w:w="1019" w:type="pct"/>
          </w:tcPr>
          <w:p w14:paraId="5E9B62D3" w14:textId="5034F260" w:rsidR="00BB1D46" w:rsidRDefault="00BB1D46" w:rsidP="00A850E6">
            <w:r>
              <w:t>PhD students</w:t>
            </w:r>
          </w:p>
        </w:tc>
        <w:tc>
          <w:tcPr>
            <w:tcW w:w="2280" w:type="pct"/>
          </w:tcPr>
          <w:p w14:paraId="35CC8B45" w14:textId="74464297" w:rsidR="00BB1D46" w:rsidRDefault="0051513D" w:rsidP="00A850E6">
            <w:r>
              <w:t xml:space="preserve">Engagement with Open Science will set </w:t>
            </w:r>
            <w:r w:rsidR="00722984">
              <w:t xml:space="preserve">PhD students in good stead for their future career in academia </w:t>
            </w:r>
            <w:r w:rsidR="00052C0B">
              <w:t>as well as support</w:t>
            </w:r>
            <w:r w:rsidR="00636668">
              <w:t xml:space="preserve"> </w:t>
            </w:r>
            <w:r w:rsidR="00602CBD">
              <w:t xml:space="preserve">them </w:t>
            </w:r>
            <w:r w:rsidR="00636668">
              <w:t>throughout their project</w:t>
            </w:r>
          </w:p>
        </w:tc>
        <w:tc>
          <w:tcPr>
            <w:tcW w:w="1701" w:type="pct"/>
          </w:tcPr>
          <w:p w14:paraId="133301CF" w14:textId="34294D70" w:rsidR="00BB1D46" w:rsidRDefault="00BB1D46" w:rsidP="002C22C8">
            <w:r>
              <w:t>Doctoral School &amp; Students Union mailing lists</w:t>
            </w:r>
          </w:p>
          <w:p w14:paraId="2F8C90AA" w14:textId="5C710C3B" w:rsidR="00455A98" w:rsidRDefault="00455A98" w:rsidP="002C22C8">
            <w:r>
              <w:t>Supervisors</w:t>
            </w:r>
          </w:p>
          <w:p w14:paraId="03079563" w14:textId="0EFDD095" w:rsidR="00BB1D46" w:rsidRDefault="00BB1D46" w:rsidP="00A850E6">
            <w:r>
              <w:t xml:space="preserve">Add events to </w:t>
            </w:r>
            <w:proofErr w:type="spellStart"/>
            <w:r>
              <w:t>LibCal</w:t>
            </w:r>
            <w:proofErr w:type="spellEnd"/>
          </w:p>
        </w:tc>
      </w:tr>
      <w:tr w:rsidR="0086336E" w14:paraId="554D76EF" w14:textId="77777777" w:rsidTr="003C0464">
        <w:tc>
          <w:tcPr>
            <w:tcW w:w="1019" w:type="pct"/>
          </w:tcPr>
          <w:p w14:paraId="6004D28D" w14:textId="725A4889" w:rsidR="0086336E" w:rsidRDefault="0086336E" w:rsidP="00A850E6">
            <w:r>
              <w:t>ECRs</w:t>
            </w:r>
          </w:p>
        </w:tc>
        <w:tc>
          <w:tcPr>
            <w:tcW w:w="2280" w:type="pct"/>
          </w:tcPr>
          <w:p w14:paraId="340E5EC3" w14:textId="16D0238C" w:rsidR="0086336E" w:rsidRDefault="0086336E" w:rsidP="00EE1595">
            <w:r>
              <w:t>Engagement with Open Science will set ECRs in good stead for their future career in academia. ECRs can also be an influential group in Open Science, both in supporting PhD students and contributing to the work of established academic staff.</w:t>
            </w:r>
          </w:p>
        </w:tc>
        <w:tc>
          <w:tcPr>
            <w:tcW w:w="1701" w:type="pct"/>
          </w:tcPr>
          <w:p w14:paraId="3DB52424" w14:textId="3D3D2419" w:rsidR="0086336E" w:rsidRDefault="0086336E" w:rsidP="002C22C8">
            <w:r>
              <w:t>Direct email to Deans and Heads for dissemination</w:t>
            </w:r>
          </w:p>
          <w:p w14:paraId="693854F0" w14:textId="77777777" w:rsidR="0086336E" w:rsidRDefault="0086336E" w:rsidP="002C22C8">
            <w:r>
              <w:t xml:space="preserve">Funding support teams </w:t>
            </w:r>
          </w:p>
          <w:p w14:paraId="311F6F8D" w14:textId="1B7D7967" w:rsidR="0086336E" w:rsidRDefault="0086336E" w:rsidP="002C22C8">
            <w:r>
              <w:t xml:space="preserve">Periodic REF Reports </w:t>
            </w:r>
          </w:p>
          <w:p w14:paraId="37A7351E" w14:textId="4C4F2F94" w:rsidR="0086336E" w:rsidRDefault="0086336E" w:rsidP="002C22C8">
            <w:r>
              <w:t>Emails to PIs by funder</w:t>
            </w:r>
          </w:p>
          <w:p w14:paraId="26563C21" w14:textId="22376E11" w:rsidR="0086336E" w:rsidRDefault="0086336E" w:rsidP="002C22C8">
            <w:r>
              <w:t>Library Staff communications</w:t>
            </w:r>
          </w:p>
        </w:tc>
      </w:tr>
      <w:tr w:rsidR="0086336E" w14:paraId="4DE09BC6" w14:textId="77777777" w:rsidTr="003C0464">
        <w:tc>
          <w:tcPr>
            <w:tcW w:w="1019" w:type="pct"/>
          </w:tcPr>
          <w:p w14:paraId="41374197" w14:textId="06574D0C" w:rsidR="0086336E" w:rsidRDefault="0086336E" w:rsidP="00A850E6">
            <w:r>
              <w:lastRenderedPageBreak/>
              <w:t>Established Academic staff</w:t>
            </w:r>
          </w:p>
        </w:tc>
        <w:tc>
          <w:tcPr>
            <w:tcW w:w="2280" w:type="pct"/>
          </w:tcPr>
          <w:p w14:paraId="3AF5C8C8" w14:textId="06202748" w:rsidR="0086336E" w:rsidRDefault="0086336E" w:rsidP="00DC29A8">
            <w:r>
              <w:t>Open Science is of increasing importance in the work of academic staff, whether teaching or research. The UCL academic promotions framework explicitly recognises open behaviours.</w:t>
            </w:r>
          </w:p>
        </w:tc>
        <w:tc>
          <w:tcPr>
            <w:tcW w:w="1701" w:type="pct"/>
          </w:tcPr>
          <w:p w14:paraId="022483CA" w14:textId="4509C0D4" w:rsidR="0086336E" w:rsidRDefault="0086336E" w:rsidP="002C22C8">
            <w:r>
              <w:t>RITS/ARC mailing lists</w:t>
            </w:r>
          </w:p>
        </w:tc>
      </w:tr>
      <w:tr w:rsidR="00BB1D46" w14:paraId="3F96EEF5" w14:textId="77777777" w:rsidTr="003C0464">
        <w:tc>
          <w:tcPr>
            <w:tcW w:w="1019" w:type="pct"/>
          </w:tcPr>
          <w:p w14:paraId="7BDCF134" w14:textId="20E8D034" w:rsidR="00BB1D46" w:rsidRDefault="00BB1D46" w:rsidP="00A850E6">
            <w:r>
              <w:t>Library Staff</w:t>
            </w:r>
          </w:p>
        </w:tc>
        <w:tc>
          <w:tcPr>
            <w:tcW w:w="2280" w:type="pct"/>
          </w:tcPr>
          <w:p w14:paraId="3451AC09" w14:textId="3E060812" w:rsidR="00BB1D46" w:rsidRDefault="00FC02D9" w:rsidP="00A850E6">
            <w:r>
              <w:t>Engagement with Open Science will help Library staff understand and support researcher</w:t>
            </w:r>
            <w:r w:rsidR="005A7708">
              <w:t>s</w:t>
            </w:r>
            <w:r w:rsidR="00030348">
              <w:t xml:space="preserve">, as well as communicate </w:t>
            </w:r>
            <w:r w:rsidR="00F5790F">
              <w:t xml:space="preserve">the </w:t>
            </w:r>
            <w:r w:rsidR="00030348">
              <w:t xml:space="preserve">principles in their </w:t>
            </w:r>
            <w:r w:rsidR="0051513D">
              <w:t>regular interactions with other stakeholder groups</w:t>
            </w:r>
            <w:r w:rsidR="008823DA">
              <w:t>.</w:t>
            </w:r>
          </w:p>
        </w:tc>
        <w:tc>
          <w:tcPr>
            <w:tcW w:w="1701" w:type="pct"/>
          </w:tcPr>
          <w:p w14:paraId="3C41B3AE" w14:textId="6026B795" w:rsidR="00BB1D46" w:rsidRDefault="00BB1D46" w:rsidP="00A850E6">
            <w:r w:rsidRPr="002C22C8">
              <w:t>Liblist mailing list</w:t>
            </w:r>
            <w:r w:rsidR="00D30A94">
              <w:t>, internal news</w:t>
            </w:r>
          </w:p>
        </w:tc>
      </w:tr>
      <w:tr w:rsidR="00C87442" w14:paraId="6539BB81" w14:textId="77777777" w:rsidTr="003C0464">
        <w:tc>
          <w:tcPr>
            <w:tcW w:w="1019" w:type="pct"/>
          </w:tcPr>
          <w:p w14:paraId="39FE2CDF" w14:textId="7E1EC3C9" w:rsidR="00C87442" w:rsidRDefault="00C87442" w:rsidP="00A850E6">
            <w:r>
              <w:t>Professional Services</w:t>
            </w:r>
          </w:p>
        </w:tc>
        <w:tc>
          <w:tcPr>
            <w:tcW w:w="2280" w:type="pct"/>
          </w:tcPr>
          <w:p w14:paraId="670C3D1A" w14:textId="1436C12C" w:rsidR="00C87442" w:rsidRDefault="00452F35" w:rsidP="00A850E6">
            <w:r>
              <w:t>P</w:t>
            </w:r>
            <w:r w:rsidR="000C2855">
              <w:t xml:space="preserve">rofessional </w:t>
            </w:r>
            <w:r w:rsidR="00DC29A8">
              <w:t>S</w:t>
            </w:r>
            <w:r w:rsidR="000C2855">
              <w:t xml:space="preserve">ervices teams </w:t>
            </w:r>
            <w:r w:rsidR="002E75A0">
              <w:t xml:space="preserve">will be instrumental in supporting communication </w:t>
            </w:r>
            <w:r>
              <w:t xml:space="preserve">and </w:t>
            </w:r>
            <w:r w:rsidR="006B1154">
              <w:t>acting as a</w:t>
            </w:r>
            <w:r w:rsidR="00076C62">
              <w:t>n additional</w:t>
            </w:r>
            <w:r w:rsidR="006B1154">
              <w:t xml:space="preserve"> link between the academic community </w:t>
            </w:r>
            <w:r w:rsidR="00DC29A8">
              <w:t>and</w:t>
            </w:r>
            <w:r w:rsidR="006B1154">
              <w:t xml:space="preserve"> the Office team</w:t>
            </w:r>
          </w:p>
        </w:tc>
        <w:tc>
          <w:tcPr>
            <w:tcW w:w="1701" w:type="pct"/>
          </w:tcPr>
          <w:p w14:paraId="5B910355" w14:textId="3A8EE635" w:rsidR="00C87442" w:rsidRPr="002C22C8" w:rsidRDefault="00C87442" w:rsidP="00A850E6">
            <w:r w:rsidRPr="002C22C8">
              <w:t>Direct email</w:t>
            </w:r>
          </w:p>
        </w:tc>
      </w:tr>
      <w:tr w:rsidR="00BB1D46" w14:paraId="21B7EE83" w14:textId="77777777" w:rsidTr="003C0464">
        <w:tc>
          <w:tcPr>
            <w:tcW w:w="1019" w:type="pct"/>
          </w:tcPr>
          <w:p w14:paraId="3CAA6F7D" w14:textId="17225E0A" w:rsidR="00BB1D46" w:rsidRDefault="00BB1D46" w:rsidP="00A850E6">
            <w:r>
              <w:t xml:space="preserve">University Leadership </w:t>
            </w:r>
          </w:p>
        </w:tc>
        <w:tc>
          <w:tcPr>
            <w:tcW w:w="2280" w:type="pct"/>
          </w:tcPr>
          <w:p w14:paraId="6C1894EE" w14:textId="2391D6D2" w:rsidR="00BB1D46" w:rsidRDefault="00EE1595" w:rsidP="00A850E6">
            <w:r>
              <w:t xml:space="preserve">The support of university leadership is essential for the success of the Open Science </w:t>
            </w:r>
            <w:r w:rsidR="00F5790F">
              <w:t>agenda.</w:t>
            </w:r>
          </w:p>
        </w:tc>
        <w:tc>
          <w:tcPr>
            <w:tcW w:w="1701" w:type="pct"/>
          </w:tcPr>
          <w:p w14:paraId="06165498" w14:textId="1D576824" w:rsidR="00BB1D46" w:rsidRDefault="00BB1D46" w:rsidP="00A850E6">
            <w:r w:rsidRPr="002C22C8">
              <w:t>Direct email</w:t>
            </w:r>
          </w:p>
        </w:tc>
      </w:tr>
    </w:tbl>
    <w:p w14:paraId="380DECB2" w14:textId="77777777" w:rsidR="007626E6" w:rsidRDefault="007626E6" w:rsidP="00A850E6">
      <w:pPr>
        <w:spacing w:after="0"/>
      </w:pPr>
    </w:p>
    <w:p w14:paraId="210F6E6D" w14:textId="215B9C94" w:rsidR="00C640FE" w:rsidRDefault="00C640FE" w:rsidP="00276626">
      <w:pPr>
        <w:pStyle w:val="Heading2"/>
      </w:pPr>
      <w:r>
        <w:t xml:space="preserve">External </w:t>
      </w:r>
    </w:p>
    <w:tbl>
      <w:tblPr>
        <w:tblStyle w:val="TableGrid"/>
        <w:tblW w:w="5000" w:type="pct"/>
        <w:tblLook w:val="04A0" w:firstRow="1" w:lastRow="0" w:firstColumn="1" w:lastColumn="0" w:noHBand="0" w:noVBand="1"/>
        <w:tblCaption w:val="Stakeholder analysis for external groups"/>
        <w:tblDescription w:val="Table shows a high-level stakeholder analysis, noting any additional communication channels specific to each group."/>
      </w:tblPr>
      <w:tblGrid>
        <w:gridCol w:w="2406"/>
        <w:gridCol w:w="4111"/>
        <w:gridCol w:w="2499"/>
      </w:tblGrid>
      <w:tr w:rsidR="00BB1D46" w:rsidRPr="007C009F" w14:paraId="69C59A99" w14:textId="77777777" w:rsidTr="00077932">
        <w:tc>
          <w:tcPr>
            <w:tcW w:w="1334" w:type="pct"/>
          </w:tcPr>
          <w:p w14:paraId="70B1BB6F" w14:textId="5CB68EA1" w:rsidR="00BB1D46" w:rsidRPr="007C009F" w:rsidRDefault="00BB1D46" w:rsidP="003F1933">
            <w:pPr>
              <w:rPr>
                <w:b/>
                <w:bCs/>
              </w:rPr>
            </w:pPr>
            <w:r w:rsidRPr="007C009F">
              <w:rPr>
                <w:b/>
                <w:bCs/>
              </w:rPr>
              <w:t>Stakeholder group</w:t>
            </w:r>
          </w:p>
        </w:tc>
        <w:tc>
          <w:tcPr>
            <w:tcW w:w="2280" w:type="pct"/>
          </w:tcPr>
          <w:p w14:paraId="0F4FDF0A" w14:textId="7D282623" w:rsidR="00BB1D46" w:rsidRPr="007C009F" w:rsidRDefault="00BB1D46" w:rsidP="003F1933">
            <w:pPr>
              <w:rPr>
                <w:b/>
                <w:bCs/>
              </w:rPr>
            </w:pPr>
            <w:r w:rsidRPr="007C009F">
              <w:rPr>
                <w:b/>
                <w:bCs/>
              </w:rPr>
              <w:t>Stake</w:t>
            </w:r>
          </w:p>
        </w:tc>
        <w:tc>
          <w:tcPr>
            <w:tcW w:w="1386" w:type="pct"/>
          </w:tcPr>
          <w:p w14:paraId="062C3A4F" w14:textId="084BF684" w:rsidR="00BB1D46" w:rsidRPr="007C009F" w:rsidRDefault="00BB1D46" w:rsidP="003F1933">
            <w:pPr>
              <w:rPr>
                <w:b/>
                <w:bCs/>
              </w:rPr>
            </w:pPr>
            <w:r w:rsidRPr="007C009F">
              <w:rPr>
                <w:b/>
                <w:bCs/>
              </w:rPr>
              <w:t>Specific Channels</w:t>
            </w:r>
          </w:p>
        </w:tc>
      </w:tr>
      <w:tr w:rsidR="00BB1D46" w14:paraId="0B3119A2" w14:textId="77777777" w:rsidTr="00077932">
        <w:tc>
          <w:tcPr>
            <w:tcW w:w="1334" w:type="pct"/>
          </w:tcPr>
          <w:p w14:paraId="5CC8DEBC" w14:textId="306D1520" w:rsidR="00BB1D46" w:rsidRDefault="00BB1D46" w:rsidP="003F1933">
            <w:r w:rsidRPr="003F1933">
              <w:t>University leaders</w:t>
            </w:r>
          </w:p>
        </w:tc>
        <w:tc>
          <w:tcPr>
            <w:tcW w:w="2280" w:type="pct"/>
          </w:tcPr>
          <w:p w14:paraId="58E0DC38" w14:textId="139D7C9E" w:rsidR="00BB1D46" w:rsidRDefault="00936D60" w:rsidP="00DC29A8">
            <w:r>
              <w:t xml:space="preserve">UCL is recognised as a </w:t>
            </w:r>
            <w:r w:rsidR="00A558CB">
              <w:t xml:space="preserve">global </w:t>
            </w:r>
            <w:r>
              <w:t xml:space="preserve">leader in Open Science activity and </w:t>
            </w:r>
            <w:r w:rsidR="00AD524E">
              <w:t xml:space="preserve">has a responsibility to communicate and share </w:t>
            </w:r>
            <w:r w:rsidR="00DC29A8">
              <w:t xml:space="preserve">its </w:t>
            </w:r>
            <w:r w:rsidR="00AD524E">
              <w:t xml:space="preserve">work and insights with external groups. </w:t>
            </w:r>
          </w:p>
        </w:tc>
        <w:tc>
          <w:tcPr>
            <w:tcW w:w="1386" w:type="pct"/>
          </w:tcPr>
          <w:p w14:paraId="01FD5720" w14:textId="2E690CA2" w:rsidR="00BB1D46" w:rsidRDefault="00BB1D46" w:rsidP="003F1933">
            <w:r>
              <w:t>Personal contacts</w:t>
            </w:r>
          </w:p>
          <w:p w14:paraId="456D3FB0" w14:textId="24D7BF98" w:rsidR="00BB1D46" w:rsidRDefault="00BB1D46" w:rsidP="003F1933">
            <w:r>
              <w:t>LIBER/LERU/Scientific Knowledge Services</w:t>
            </w:r>
          </w:p>
        </w:tc>
      </w:tr>
      <w:tr w:rsidR="00BB1D46" w14:paraId="5E3412AD" w14:textId="77777777" w:rsidTr="00077932">
        <w:tc>
          <w:tcPr>
            <w:tcW w:w="1334" w:type="pct"/>
          </w:tcPr>
          <w:p w14:paraId="6F1B5131" w14:textId="16CE7EAC" w:rsidR="00BB1D46" w:rsidRPr="003F1933" w:rsidRDefault="00E85D13" w:rsidP="007A620A">
            <w:r>
              <w:t>External</w:t>
            </w:r>
            <w:r w:rsidR="00BB1D46">
              <w:t xml:space="preserve"> audiences</w:t>
            </w:r>
            <w:r w:rsidR="00DF57D2">
              <w:t xml:space="preserve"> including </w:t>
            </w:r>
            <w:r w:rsidR="000B0FB5">
              <w:t>librarians, publishers, J</w:t>
            </w:r>
            <w:r w:rsidR="00CF415C">
              <w:t>isc</w:t>
            </w:r>
            <w:r w:rsidR="00433327">
              <w:t>, CILIP/ARMA</w:t>
            </w:r>
            <w:r>
              <w:t xml:space="preserve"> and other</w:t>
            </w:r>
            <w:r w:rsidR="000B0FB5">
              <w:t xml:space="preserve"> networks</w:t>
            </w:r>
            <w:r>
              <w:t xml:space="preserve"> </w:t>
            </w:r>
            <w:r w:rsidR="000B0FB5">
              <w:t>/associations</w:t>
            </w:r>
            <w:r w:rsidR="007A620A">
              <w:t>/</w:t>
            </w:r>
            <w:r w:rsidR="007A620A" w:rsidRPr="007A620A">
              <w:rPr>
                <w:color w:val="FF0000"/>
              </w:rPr>
              <w:t xml:space="preserve"> </w:t>
            </w:r>
            <w:r w:rsidR="007A620A" w:rsidRPr="00077932">
              <w:t>partners and communities involved in UCL projects</w:t>
            </w:r>
          </w:p>
        </w:tc>
        <w:tc>
          <w:tcPr>
            <w:tcW w:w="2280" w:type="pct"/>
          </w:tcPr>
          <w:p w14:paraId="4D6D015A" w14:textId="52F81E5A" w:rsidR="00BB1D46" w:rsidRDefault="00936D60" w:rsidP="003F1933">
            <w:r>
              <w:t>External</w:t>
            </w:r>
            <w:r w:rsidRPr="00747AAF">
              <w:t xml:space="preserve"> networks are vehicles for widening engagement with </w:t>
            </w:r>
            <w:r>
              <w:t>Open Science</w:t>
            </w:r>
            <w:r w:rsidRPr="00747AAF">
              <w:t xml:space="preserve"> and for communication of </w:t>
            </w:r>
            <w:r>
              <w:t>events and established best practice</w:t>
            </w:r>
            <w:r w:rsidRPr="00747AAF">
              <w:t>.</w:t>
            </w:r>
          </w:p>
        </w:tc>
        <w:tc>
          <w:tcPr>
            <w:tcW w:w="1386" w:type="pct"/>
          </w:tcPr>
          <w:p w14:paraId="2C73B7AF" w14:textId="5322505F" w:rsidR="00BB1D46" w:rsidRDefault="00BB1D46" w:rsidP="007E6AEE">
            <w:r>
              <w:t>Mailing lists and personal networks</w:t>
            </w:r>
            <w:r w:rsidR="007A620A">
              <w:t xml:space="preserve">; </w:t>
            </w:r>
            <w:r w:rsidR="007A620A" w:rsidRPr="00077932">
              <w:t>community fora</w:t>
            </w:r>
          </w:p>
          <w:p w14:paraId="69D9A8F8" w14:textId="77777777" w:rsidR="00BB1D46" w:rsidRDefault="00BB1D46" w:rsidP="003F1933"/>
        </w:tc>
      </w:tr>
      <w:tr w:rsidR="00BB1D46" w14:paraId="353F8A5D" w14:textId="77777777" w:rsidTr="00077932">
        <w:tc>
          <w:tcPr>
            <w:tcW w:w="1334" w:type="pct"/>
          </w:tcPr>
          <w:p w14:paraId="2DE455D8" w14:textId="4946A479" w:rsidR="00BB1D46" w:rsidRPr="003F1933" w:rsidRDefault="00BB1D46" w:rsidP="003F1933">
            <w:r>
              <w:t>Public/Press</w:t>
            </w:r>
          </w:p>
        </w:tc>
        <w:tc>
          <w:tcPr>
            <w:tcW w:w="2280" w:type="pct"/>
          </w:tcPr>
          <w:p w14:paraId="32E42B27" w14:textId="1091F41D" w:rsidR="00BB1D46" w:rsidRDefault="00C14FD3" w:rsidP="00DC29A8">
            <w:r>
              <w:t xml:space="preserve">UCL is committed to engaging with </w:t>
            </w:r>
            <w:r w:rsidR="00DC29A8">
              <w:t xml:space="preserve">its </w:t>
            </w:r>
            <w:r>
              <w:t>local communit</w:t>
            </w:r>
            <w:r w:rsidR="00DC29A8">
              <w:t>ies</w:t>
            </w:r>
            <w:r w:rsidR="00EF2668">
              <w:t xml:space="preserve">, </w:t>
            </w:r>
            <w:r w:rsidR="00DC29A8">
              <w:t xml:space="preserve">particularly UCL East. </w:t>
            </w:r>
            <w:r>
              <w:t xml:space="preserve">Citizen </w:t>
            </w:r>
            <w:r w:rsidR="005D0FBD">
              <w:t>S</w:t>
            </w:r>
            <w:r>
              <w:t xml:space="preserve">cience especially is an area where this </w:t>
            </w:r>
            <w:r w:rsidR="00DC29A8">
              <w:t xml:space="preserve">emphasis </w:t>
            </w:r>
            <w:r>
              <w:t>should be communi</w:t>
            </w:r>
            <w:r w:rsidR="0042521B">
              <w:t>ca</w:t>
            </w:r>
            <w:r>
              <w:t>ted</w:t>
            </w:r>
            <w:r w:rsidR="0042521B">
              <w:t xml:space="preserve"> externally.</w:t>
            </w:r>
            <w:r>
              <w:t xml:space="preserve"> </w:t>
            </w:r>
            <w:r w:rsidR="00EF2668">
              <w:t>O</w:t>
            </w:r>
            <w:r w:rsidR="00DC29A8">
              <w:t xml:space="preserve">pen </w:t>
            </w:r>
            <w:r w:rsidR="00EF2668">
              <w:t>S</w:t>
            </w:r>
            <w:r w:rsidR="00DC29A8">
              <w:t>cience</w:t>
            </w:r>
            <w:r w:rsidR="00EF2668">
              <w:t xml:space="preserve"> also has the potential to increase the impact of UCL research</w:t>
            </w:r>
          </w:p>
        </w:tc>
        <w:tc>
          <w:tcPr>
            <w:tcW w:w="1386" w:type="pct"/>
          </w:tcPr>
          <w:p w14:paraId="7658519A" w14:textId="50E345A0" w:rsidR="00BB1D46" w:rsidRDefault="00BB1D46" w:rsidP="003F1933">
            <w:r w:rsidRPr="003F1933">
              <w:t>News/CAM</w:t>
            </w:r>
          </w:p>
        </w:tc>
      </w:tr>
    </w:tbl>
    <w:p w14:paraId="5292A358" w14:textId="13B3A195" w:rsidR="003F1933" w:rsidRDefault="003F1933" w:rsidP="003F1933"/>
    <w:p w14:paraId="6D4A9456" w14:textId="76D243F6" w:rsidR="005B7440" w:rsidRPr="003F1933" w:rsidRDefault="005B7440" w:rsidP="005B7440">
      <w:pPr>
        <w:pStyle w:val="Heading2"/>
      </w:pPr>
      <w:r>
        <w:t>5.1 Communications plan</w:t>
      </w:r>
    </w:p>
    <w:p w14:paraId="6F23134A" w14:textId="32377052" w:rsidR="00CD0390" w:rsidRDefault="009E531C" w:rsidP="00CD0390">
      <w:pPr>
        <w:spacing w:after="0"/>
      </w:pPr>
      <w:r>
        <w:t>Most</w:t>
      </w:r>
      <w:r w:rsidR="00CD0390">
        <w:t xml:space="preserve"> comm</w:t>
      </w:r>
      <w:r w:rsidR="005B7440">
        <w:t xml:space="preserve">unications </w:t>
      </w:r>
      <w:r>
        <w:t xml:space="preserve">for </w:t>
      </w:r>
      <w:r w:rsidR="00B86077">
        <w:t>day-to-day</w:t>
      </w:r>
      <w:r>
        <w:t xml:space="preserve"> activities</w:t>
      </w:r>
      <w:r w:rsidR="00B86077">
        <w:t xml:space="preserve">, </w:t>
      </w:r>
      <w:r w:rsidR="005B7440">
        <w:t xml:space="preserve">such as </w:t>
      </w:r>
      <w:r w:rsidR="00B86077">
        <w:t>tra</w:t>
      </w:r>
      <w:r w:rsidR="006D6A4A">
        <w:t xml:space="preserve">ining or </w:t>
      </w:r>
      <w:r w:rsidR="00CD0390">
        <w:t>events</w:t>
      </w:r>
      <w:r w:rsidR="00DC29A8">
        <w:t>,</w:t>
      </w:r>
      <w:r w:rsidR="00CD0390">
        <w:t xml:space="preserve"> will be shared with all stakeholders</w:t>
      </w:r>
      <w:r w:rsidR="00C21245">
        <w:t>, prioritising</w:t>
      </w:r>
      <w:r w:rsidR="00BA7444">
        <w:t xml:space="preserve"> the general channels</w:t>
      </w:r>
      <w:r w:rsidR="000B3C3F">
        <w:t xml:space="preserve"> outlined above. O</w:t>
      </w:r>
      <w:r w:rsidR="00CD0390">
        <w:t>ther comm</w:t>
      </w:r>
      <w:r w:rsidR="000B3C3F">
        <w:t>unications</w:t>
      </w:r>
      <w:r w:rsidR="00CD0390">
        <w:t xml:space="preserve"> will target specific groups</w:t>
      </w:r>
      <w:r w:rsidR="000B3C3F">
        <w:t xml:space="preserve"> on an ad hoc basis</w:t>
      </w:r>
      <w:r w:rsidR="00CD0390">
        <w:t xml:space="preserve"> depending on the nature of </w:t>
      </w:r>
      <w:r w:rsidR="000B3C3F">
        <w:t xml:space="preserve">the content and </w:t>
      </w:r>
      <w:r w:rsidR="006E734E">
        <w:t xml:space="preserve">its desired audience. </w:t>
      </w:r>
    </w:p>
    <w:p w14:paraId="4174BE7B" w14:textId="2B4E6418" w:rsidR="00815101" w:rsidRPr="00E15469" w:rsidRDefault="00A10BAC" w:rsidP="00A10BAC">
      <w:pPr>
        <w:spacing w:before="240"/>
      </w:pPr>
      <w:r>
        <w:t>For example, t</w:t>
      </w:r>
      <w:r w:rsidR="00815101">
        <w:t xml:space="preserve">here are certain </w:t>
      </w:r>
      <w:r w:rsidR="00DC29A8">
        <w:t xml:space="preserve">Open Science </w:t>
      </w:r>
      <w:r w:rsidR="00815101">
        <w:t xml:space="preserve">pillars for which additional communication is essential above that required to provide the core services of the Office.  </w:t>
      </w:r>
    </w:p>
    <w:p w14:paraId="36BC598A" w14:textId="7405A4A8" w:rsidR="00815101" w:rsidRDefault="00815101" w:rsidP="00815101">
      <w:pPr>
        <w:pStyle w:val="ListParagraph"/>
        <w:numPr>
          <w:ilvl w:val="0"/>
          <w:numId w:val="5"/>
        </w:numPr>
        <w:rPr>
          <w:b/>
        </w:rPr>
      </w:pPr>
      <w:r w:rsidRPr="001846ED">
        <w:rPr>
          <w:b/>
        </w:rPr>
        <w:lastRenderedPageBreak/>
        <w:t>Education and skills</w:t>
      </w:r>
      <w:r w:rsidRPr="000F6652">
        <w:t xml:space="preserve"> </w:t>
      </w:r>
      <w:r>
        <w:t>–</w:t>
      </w:r>
      <w:r w:rsidR="00774CFA">
        <w:t xml:space="preserve"> </w:t>
      </w:r>
      <w:r w:rsidRPr="00A62F11">
        <w:t>to</w:t>
      </w:r>
      <w:r>
        <w:t xml:space="preserve"> understand where </w:t>
      </w:r>
      <w:r w:rsidR="004973E3">
        <w:t>changes towards open practice</w:t>
      </w:r>
      <w:r>
        <w:t xml:space="preserve"> need to be made and where skills development is needed. </w:t>
      </w:r>
      <w:r>
        <w:rPr>
          <w:b/>
        </w:rPr>
        <w:t xml:space="preserve"> </w:t>
      </w:r>
    </w:p>
    <w:p w14:paraId="5C0FF003" w14:textId="4A4EBC73" w:rsidR="00815101" w:rsidRPr="001846ED" w:rsidRDefault="00815101" w:rsidP="00815101">
      <w:pPr>
        <w:pStyle w:val="ListParagraph"/>
        <w:numPr>
          <w:ilvl w:val="0"/>
          <w:numId w:val="5"/>
        </w:numPr>
        <w:rPr>
          <w:b/>
        </w:rPr>
      </w:pPr>
      <w:r w:rsidRPr="001846ED">
        <w:rPr>
          <w:b/>
        </w:rPr>
        <w:t>Rewards and incentives</w:t>
      </w:r>
      <w:r w:rsidRPr="00CB5FA7">
        <w:t xml:space="preserve"> – as the</w:t>
      </w:r>
      <w:r w:rsidR="004973E3">
        <w:t xml:space="preserve"> discussion</w:t>
      </w:r>
      <w:r w:rsidRPr="00CB5FA7">
        <w:t xml:space="preserve"> continue</w:t>
      </w:r>
      <w:r w:rsidR="004973E3">
        <w:t>s</w:t>
      </w:r>
      <w:r w:rsidRPr="00CB5FA7">
        <w:t xml:space="preserve"> to develop, </w:t>
      </w:r>
      <w:r>
        <w:t>communicating rewards and</w:t>
      </w:r>
      <w:r w:rsidRPr="00CB5FA7">
        <w:t xml:space="preserve"> incentives</w:t>
      </w:r>
      <w:r>
        <w:t xml:space="preserve"> will become</w:t>
      </w:r>
      <w:r w:rsidR="00DC29A8">
        <w:t xml:space="preserve"> more</w:t>
      </w:r>
      <w:r>
        <w:t xml:space="preserve"> important in growing the reach </w:t>
      </w:r>
      <w:r w:rsidR="00DC29A8">
        <w:t xml:space="preserve">of </w:t>
      </w:r>
      <w:r>
        <w:t xml:space="preserve">and awareness </w:t>
      </w:r>
      <w:r w:rsidR="00DC29A8">
        <w:t>about</w:t>
      </w:r>
      <w:r>
        <w:t xml:space="preserve"> the Office. </w:t>
      </w:r>
    </w:p>
    <w:p w14:paraId="6A778206" w14:textId="1054E149" w:rsidR="00815101" w:rsidRDefault="00815101" w:rsidP="00815101">
      <w:pPr>
        <w:pStyle w:val="ListParagraph"/>
        <w:numPr>
          <w:ilvl w:val="0"/>
          <w:numId w:val="17"/>
        </w:numPr>
      </w:pPr>
      <w:r w:rsidRPr="001846ED">
        <w:rPr>
          <w:b/>
        </w:rPr>
        <w:t>Citizen Science</w:t>
      </w:r>
      <w:r>
        <w:t xml:space="preserve"> –</w:t>
      </w:r>
      <w:r w:rsidR="00EE50B5">
        <w:t xml:space="preserve"> </w:t>
      </w:r>
      <w:r>
        <w:t xml:space="preserve">promoting the principles of Citizen Science, gathering </w:t>
      </w:r>
      <w:proofErr w:type="gramStart"/>
      <w:r>
        <w:t>projects</w:t>
      </w:r>
      <w:proofErr w:type="gramEnd"/>
      <w:r>
        <w:t xml:space="preserve"> and developing </w:t>
      </w:r>
      <w:r w:rsidR="007A620A">
        <w:t xml:space="preserve">communities </w:t>
      </w:r>
      <w:r>
        <w:t xml:space="preserve">with a </w:t>
      </w:r>
      <w:r w:rsidR="00DC29A8">
        <w:t xml:space="preserve">shared </w:t>
      </w:r>
      <w:r>
        <w:t xml:space="preserve">focus. </w:t>
      </w:r>
      <w:r w:rsidR="00A45860">
        <w:t>A</w:t>
      </w:r>
      <w:r>
        <w:t xml:space="preserve"> large part of the Time4CS project revolves around communication, both internal and external, and the Office will be instrumental in this element of the project.</w:t>
      </w:r>
      <w:r w:rsidR="007A620A">
        <w:t xml:space="preserve"> UCL would also benefit from additional communication with other ongoing UK and global social and environmental citizen science projects e.g.  east London, </w:t>
      </w:r>
      <w:proofErr w:type="spellStart"/>
      <w:r w:rsidR="007A620A">
        <w:t>ProCol</w:t>
      </w:r>
      <w:proofErr w:type="spellEnd"/>
      <w:r w:rsidR="007A620A">
        <w:t xml:space="preserve"> UK Youth Prosperity, and in Kenya, Lebanon, China, Caribbean (Jamaica and Grenada)</w:t>
      </w:r>
    </w:p>
    <w:p w14:paraId="2F0C7D5E" w14:textId="68EE6C57" w:rsidR="0046274A" w:rsidRDefault="00815101" w:rsidP="000A72EC">
      <w:pPr>
        <w:pStyle w:val="ListParagraph"/>
        <w:numPr>
          <w:ilvl w:val="0"/>
          <w:numId w:val="5"/>
        </w:numPr>
      </w:pPr>
      <w:r>
        <w:t xml:space="preserve">The </w:t>
      </w:r>
      <w:r w:rsidRPr="001846ED">
        <w:rPr>
          <w:b/>
        </w:rPr>
        <w:t>European Open Science Cloud</w:t>
      </w:r>
      <w:r>
        <w:t xml:space="preserve"> (EOSC) – not yet </w:t>
      </w:r>
      <w:r w:rsidR="003F52DD">
        <w:t xml:space="preserve">fully </w:t>
      </w:r>
      <w:r>
        <w:t xml:space="preserve">established. Ongoing training and development needs TBD but communication of project development </w:t>
      </w:r>
      <w:r w:rsidR="00DC29A8">
        <w:t xml:space="preserve">will </w:t>
      </w:r>
      <w:r>
        <w:t>become important</w:t>
      </w:r>
      <w:r w:rsidR="00771ED6">
        <w:t xml:space="preserve"> within the period of this plan</w:t>
      </w:r>
      <w:r>
        <w:t xml:space="preserve">. </w:t>
      </w:r>
    </w:p>
    <w:p w14:paraId="10295C03" w14:textId="6F46ABD0" w:rsidR="000A72EC" w:rsidRDefault="0086336E" w:rsidP="000A72EC">
      <w:pPr>
        <w:pStyle w:val="Heading1"/>
      </w:pPr>
      <w:r>
        <w:rPr>
          <w:noProof/>
        </w:rPr>
        <mc:AlternateContent>
          <mc:Choice Requires="wpg">
            <w:drawing>
              <wp:anchor distT="0" distB="0" distL="114300" distR="114300" simplePos="0" relativeHeight="251666432" behindDoc="1" locked="0" layoutInCell="1" allowOverlap="1" wp14:anchorId="053A40A7" wp14:editId="57CAE986">
                <wp:simplePos x="0" y="0"/>
                <wp:positionH relativeFrom="column">
                  <wp:posOffset>3829050</wp:posOffset>
                </wp:positionH>
                <wp:positionV relativeFrom="paragraph">
                  <wp:posOffset>48260</wp:posOffset>
                </wp:positionV>
                <wp:extent cx="1876425" cy="3448050"/>
                <wp:effectExtent l="0" t="0" r="28575" b="19050"/>
                <wp:wrapThrough wrapText="bothSides">
                  <wp:wrapPolygon edited="0">
                    <wp:start x="0" y="0"/>
                    <wp:lineTo x="0" y="21600"/>
                    <wp:lineTo x="21710" y="21600"/>
                    <wp:lineTo x="21710" y="0"/>
                    <wp:lineTo x="0" y="0"/>
                  </wp:wrapPolygon>
                </wp:wrapThrough>
                <wp:docPr id="2" name="Group 2" descr="Diagram showing the 3-level governance structure for UCL Office for Open Science and Scholarship."/>
                <wp:cNvGraphicFramePr/>
                <a:graphic xmlns:a="http://schemas.openxmlformats.org/drawingml/2006/main">
                  <a:graphicData uri="http://schemas.microsoft.com/office/word/2010/wordprocessingGroup">
                    <wpg:wgp>
                      <wpg:cNvGrpSpPr/>
                      <wpg:grpSpPr>
                        <a:xfrm>
                          <a:off x="0" y="0"/>
                          <a:ext cx="1876425" cy="3448050"/>
                          <a:chOff x="0" y="0"/>
                          <a:chExt cx="1876425" cy="3448050"/>
                        </a:xfrm>
                      </wpg:grpSpPr>
                      <wps:wsp>
                        <wps:cNvPr id="4" name="Rectangle 4"/>
                        <wps:cNvSpPr/>
                        <wps:spPr>
                          <a:xfrm>
                            <a:off x="0" y="0"/>
                            <a:ext cx="1876425" cy="1028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A42DBBE" w14:textId="21463910" w:rsidR="00420D2C" w:rsidRPr="00420D2C" w:rsidRDefault="00420D2C" w:rsidP="00420D2C">
                              <w:pPr>
                                <w:jc w:val="center"/>
                                <w:rPr>
                                  <w:sz w:val="56"/>
                                  <w:szCs w:val="56"/>
                                </w:rPr>
                              </w:pPr>
                              <w:r w:rsidRPr="00420D2C">
                                <w:rPr>
                                  <w:sz w:val="56"/>
                                  <w:szCs w:val="56"/>
                                </w:rPr>
                                <w:t>RIGE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419350"/>
                            <a:ext cx="187642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F045CB" w14:textId="245489E3" w:rsidR="00420D2C" w:rsidRPr="00A21ACF" w:rsidRDefault="00420D2C" w:rsidP="00420D2C">
                              <w:pPr>
                                <w:jc w:val="center"/>
                                <w:rPr>
                                  <w:sz w:val="40"/>
                                  <w:szCs w:val="40"/>
                                </w:rPr>
                              </w:pPr>
                              <w:r w:rsidRPr="00A21ACF">
                                <w:rPr>
                                  <w:sz w:val="40"/>
                                  <w:szCs w:val="40"/>
                                </w:rPr>
                                <w:t>OOSS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200150"/>
                            <a:ext cx="1876425" cy="1028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C262F01" w14:textId="2C38AEDD" w:rsidR="00420D2C" w:rsidRPr="00420D2C" w:rsidRDefault="00420D2C" w:rsidP="00420D2C">
                              <w:pPr>
                                <w:jc w:val="center"/>
                                <w:rPr>
                                  <w:sz w:val="40"/>
                                  <w:szCs w:val="40"/>
                                </w:rPr>
                              </w:pPr>
                              <w:r w:rsidRPr="00420D2C">
                                <w:rPr>
                                  <w:sz w:val="40"/>
                                  <w:szCs w:val="40"/>
                                </w:rPr>
                                <w:t>Open Science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Isosceles Triangle 8" descr="Triangle representing upwards chain of governance."/>
                        <wps:cNvSpPr/>
                        <wps:spPr>
                          <a:xfrm>
                            <a:off x="723900" y="914400"/>
                            <a:ext cx="352425" cy="34290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Isosceles Triangle 9" descr="Triangle representing upwards chain of governance."/>
                        <wps:cNvSpPr/>
                        <wps:spPr>
                          <a:xfrm>
                            <a:off x="723900" y="2108200"/>
                            <a:ext cx="352425" cy="34290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3A40A7" id="Group 2" o:spid="_x0000_s1026" alt="Diagram showing the 3-level governance structure for UCL Office for Open Science and Scholarship." style="position:absolute;margin-left:301.5pt;margin-top:3.8pt;width:147.75pt;height:271.5pt;z-index:-251650048" coordsize="1876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">
                <v:rect id="Rectangle 4" o:spid="_x0000_s1027" style="position:absolute;width:18764;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fillcolor="#70ad47 [3209]" strokecolor="#375623 [1609]" strokeweight="1pt">
                  <v:textbox>
                    <w:txbxContent>
                      <w:p w14:paraId="4A42DBBE" w14:textId="21463910" w:rsidR="00420D2C" w:rsidRPr="00420D2C" w:rsidRDefault="00420D2C" w:rsidP="00420D2C">
                        <w:pPr>
                          <w:jc w:val="center"/>
                          <w:rPr>
                            <w:sz w:val="56"/>
                            <w:szCs w:val="56"/>
                          </w:rPr>
                        </w:pPr>
                        <w:r w:rsidRPr="00420D2C">
                          <w:rPr>
                            <w:sz w:val="56"/>
                            <w:szCs w:val="56"/>
                          </w:rPr>
                          <w:t>RIGE</w:t>
                        </w:r>
                      </w:p>
                    </w:txbxContent>
                  </v:textbox>
                </v:rect>
                <v:rect id="Rectangle 5" o:spid="_x0000_s1028" style="position:absolute;top:24193;width:18764;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5b9bd5 [3204]" strokecolor="#1f4d78 [1604]" strokeweight="1pt">
                  <v:textbox>
                    <w:txbxContent>
                      <w:p w14:paraId="2EF045CB" w14:textId="245489E3" w:rsidR="00420D2C" w:rsidRPr="00A21ACF" w:rsidRDefault="00420D2C" w:rsidP="00420D2C">
                        <w:pPr>
                          <w:jc w:val="center"/>
                          <w:rPr>
                            <w:sz w:val="40"/>
                            <w:szCs w:val="40"/>
                          </w:rPr>
                        </w:pPr>
                        <w:r w:rsidRPr="00A21ACF">
                          <w:rPr>
                            <w:sz w:val="40"/>
                            <w:szCs w:val="40"/>
                          </w:rPr>
                          <w:t>OOSS Steering Group</w:t>
                        </w:r>
                      </w:p>
                    </w:txbxContent>
                  </v:textbox>
                </v:rect>
                <v:rect id="Rectangle 6" o:spid="_x0000_s1029" style="position:absolute;top:12001;width:18764;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" fillcolor="#ed7d31 [3205]" strokecolor="#823b0b [1605]" strokeweight="1pt">
                  <v:textbox>
                    <w:txbxContent>
                      <w:p w14:paraId="2C262F01" w14:textId="2C38AEDD" w:rsidR="00420D2C" w:rsidRPr="00420D2C" w:rsidRDefault="00420D2C" w:rsidP="00420D2C">
                        <w:pPr>
                          <w:jc w:val="center"/>
                          <w:rPr>
                            <w:sz w:val="40"/>
                            <w:szCs w:val="40"/>
                          </w:rPr>
                        </w:pPr>
                        <w:r w:rsidRPr="00420D2C">
                          <w:rPr>
                            <w:sz w:val="40"/>
                            <w:szCs w:val="40"/>
                          </w:rPr>
                          <w:t>Open Science Committee</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0" type="#_x0000_t5" alt="Triangle representing upwards chain of governance." style="position:absolute;left:7239;top:9144;width:352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" fillcolor="#a5a5a5 [3206]" strokecolor="#525252 [1606]" strokeweight="1pt"/>
                <v:shape id="Isosceles Triangle 9" o:spid="_x0000_s1031" type="#_x0000_t5" alt="Triangle representing upwards chain of governance." style="position:absolute;left:7239;top:21082;width:352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" fillcolor="#a5a5a5 [3206]" strokecolor="#525252 [1606]" strokeweight="1pt"/>
                <w10:wrap type="through"/>
              </v:group>
            </w:pict>
          </mc:Fallback>
        </mc:AlternateContent>
      </w:r>
      <w:r w:rsidR="00D373F6">
        <w:t xml:space="preserve">6.0 </w:t>
      </w:r>
      <w:r w:rsidR="000A72EC">
        <w:t>Governance</w:t>
      </w:r>
    </w:p>
    <w:p w14:paraId="771936E2" w14:textId="10C8073C" w:rsidR="00132EA2" w:rsidRDefault="00703627" w:rsidP="00823168">
      <w:pPr>
        <w:spacing w:after="0"/>
      </w:pPr>
      <w:r>
        <w:t xml:space="preserve">The </w:t>
      </w:r>
      <w:r w:rsidR="00DC29A8">
        <w:t xml:space="preserve">UCL </w:t>
      </w:r>
      <w:r>
        <w:t>O</w:t>
      </w:r>
      <w:r w:rsidR="00DC29A8">
        <w:t>ffice for Open Science and Scholarship</w:t>
      </w:r>
      <w:r>
        <w:t xml:space="preserve"> </w:t>
      </w:r>
      <w:r w:rsidR="00A81748">
        <w:t>(OOSS)</w:t>
      </w:r>
      <w:r w:rsidR="00F30E30">
        <w:t xml:space="preserve"> </w:t>
      </w:r>
      <w:r>
        <w:t>is led by Dr Paul Ayris</w:t>
      </w:r>
      <w:r w:rsidR="005A2A95">
        <w:t xml:space="preserve">, Pro-Vice-Provost and </w:t>
      </w:r>
      <w:r w:rsidR="00DC29A8">
        <w:t>its</w:t>
      </w:r>
      <w:r w:rsidR="00132EA2">
        <w:t xml:space="preserve"> </w:t>
      </w:r>
      <w:r w:rsidR="00A81748">
        <w:t>committee</w:t>
      </w:r>
      <w:r w:rsidR="00DC2C1C">
        <w:t xml:space="preserve"> and </w:t>
      </w:r>
      <w:r w:rsidR="005F7A9B">
        <w:t>day-to-day</w:t>
      </w:r>
      <w:r w:rsidR="00132EA2">
        <w:t xml:space="preserve"> operations are coordinated by Kirsty Wallis.</w:t>
      </w:r>
      <w:r w:rsidR="00823168">
        <w:t xml:space="preserve"> </w:t>
      </w:r>
    </w:p>
    <w:p w14:paraId="7EBABFF7" w14:textId="221478DD" w:rsidR="00823168" w:rsidRDefault="00132EA2" w:rsidP="00132EA2">
      <w:pPr>
        <w:spacing w:before="240" w:after="0"/>
      </w:pPr>
      <w:r>
        <w:t xml:space="preserve">The UCL Open Science Committee, chaired by </w:t>
      </w:r>
      <w:r w:rsidR="00DC29A8">
        <w:t xml:space="preserve">Professor </w:t>
      </w:r>
      <w:r>
        <w:t>David Price, Vice-Provost for Research</w:t>
      </w:r>
      <w:r w:rsidR="003F52DD">
        <w:t xml:space="preserve">, Innovation and </w:t>
      </w:r>
      <w:r w:rsidR="006A7DE2">
        <w:t>Global Engagement (RIGE)</w:t>
      </w:r>
      <w:r>
        <w:t xml:space="preserve"> </w:t>
      </w:r>
      <w:r w:rsidR="002D3087">
        <w:t>is responsible for setting the</w:t>
      </w:r>
      <w:r w:rsidR="008773DF">
        <w:t xml:space="preserve"> strategic</w:t>
      </w:r>
      <w:r w:rsidR="002D3087">
        <w:t xml:space="preserve"> direction for Open Science and Scholarship activities</w:t>
      </w:r>
      <w:r w:rsidR="006A7DE2">
        <w:t xml:space="preserve"> in UCL</w:t>
      </w:r>
      <w:r w:rsidR="00276626">
        <w:t>.</w:t>
      </w:r>
      <w:r w:rsidR="002D3087">
        <w:t xml:space="preserve"> </w:t>
      </w:r>
      <w:r w:rsidR="00894046">
        <w:t>It reports to a new pan-RIGE committee co-ordinating RIGE activity, and from there to the new University Management Committee, which replaces UCL SMT.</w:t>
      </w:r>
    </w:p>
    <w:p w14:paraId="6BD6F245" w14:textId="2A7CF601" w:rsidR="003D45A8" w:rsidRDefault="008773DF" w:rsidP="00132EA2">
      <w:pPr>
        <w:spacing w:before="240" w:after="0"/>
      </w:pPr>
      <w:r>
        <w:t>The OOSS</w:t>
      </w:r>
      <w:r w:rsidR="005F7A9B">
        <w:t xml:space="preserve"> </w:t>
      </w:r>
      <w:r w:rsidR="00823168">
        <w:t xml:space="preserve">Steering Group will sponsor this plan, be responsible for the upkeep and monitoring of </w:t>
      </w:r>
      <w:r w:rsidR="0000125F">
        <w:t xml:space="preserve">the associated </w:t>
      </w:r>
      <w:r w:rsidR="00823168">
        <w:t xml:space="preserve">Implementation Plans and will guide communication. </w:t>
      </w:r>
      <w:r w:rsidR="00894046">
        <w:t xml:space="preserve"> The Steering Group will report to the UCL Open Science Committee.</w:t>
      </w:r>
      <w:r w:rsidR="00823168">
        <w:t xml:space="preserve">  </w:t>
      </w:r>
    </w:p>
    <w:p w14:paraId="53208EDD" w14:textId="43A98742" w:rsidR="00322B09" w:rsidRDefault="007B1EB4" w:rsidP="000A72EC">
      <w:pPr>
        <w:pStyle w:val="Heading1"/>
      </w:pPr>
      <w:r>
        <w:t xml:space="preserve">7.0 </w:t>
      </w:r>
      <w:r w:rsidR="000A72EC">
        <w:t>Next steps</w:t>
      </w:r>
    </w:p>
    <w:p w14:paraId="53C09B5F" w14:textId="7D72DB7E" w:rsidR="00264626" w:rsidRDefault="00264626" w:rsidP="00264626">
      <w:pPr>
        <w:spacing w:after="0"/>
      </w:pPr>
      <w:r>
        <w:t>If this document is approved by the S</w:t>
      </w:r>
      <w:r w:rsidR="00A81748">
        <w:t xml:space="preserve">teering </w:t>
      </w:r>
      <w:r>
        <w:t>G</w:t>
      </w:r>
      <w:r w:rsidR="00A81748">
        <w:t>roup</w:t>
      </w:r>
      <w:r>
        <w:t xml:space="preserve">, </w:t>
      </w:r>
      <w:r w:rsidR="00CF755F">
        <w:t xml:space="preserve">the </w:t>
      </w:r>
      <w:r>
        <w:t xml:space="preserve">next step </w:t>
      </w:r>
      <w:r w:rsidR="00CF755F">
        <w:t>will be</w:t>
      </w:r>
      <w:r>
        <w:t xml:space="preserve"> to create Implementation plans for each Pillar to support the delivery of the objectives summarised </w:t>
      </w:r>
      <w:r w:rsidR="00494487">
        <w:t>in</w:t>
      </w:r>
      <w:r>
        <w:t xml:space="preserve"> section 4</w:t>
      </w:r>
      <w:r w:rsidR="00A169C8">
        <w:t>, as well as assign</w:t>
      </w:r>
      <w:r w:rsidR="00584339">
        <w:t>ing responsibilities and an approximate timeline</w:t>
      </w:r>
      <w:r w:rsidR="006A7DE2">
        <w:t>, along with an assessment of resource requirements.</w:t>
      </w:r>
      <w:r>
        <w:t xml:space="preserve">  </w:t>
      </w:r>
    </w:p>
    <w:p w14:paraId="1F550C34" w14:textId="77777777" w:rsidR="00264626" w:rsidRPr="00264626" w:rsidRDefault="00264626" w:rsidP="00264626"/>
    <w:sectPr w:rsidR="00264626" w:rsidRPr="0026462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1104" w14:textId="77777777" w:rsidR="00AB6B5D" w:rsidRDefault="00AB6B5D" w:rsidP="00237A73">
      <w:pPr>
        <w:spacing w:after="0" w:line="240" w:lineRule="auto"/>
      </w:pPr>
      <w:r>
        <w:separator/>
      </w:r>
    </w:p>
  </w:endnote>
  <w:endnote w:type="continuationSeparator" w:id="0">
    <w:p w14:paraId="768F41C8" w14:textId="77777777" w:rsidR="00AB6B5D" w:rsidRDefault="00AB6B5D" w:rsidP="0023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8E3B" w14:textId="29E08885" w:rsidR="00AE7F22" w:rsidRDefault="00AE7F22" w:rsidP="00AE7F22">
    <w:pPr>
      <w:pStyle w:val="Footer"/>
      <w:jc w:val="right"/>
    </w:pPr>
    <w:r>
      <w:rPr>
        <w:noProof/>
      </w:rPr>
      <w:drawing>
        <wp:inline distT="0" distB="0" distL="0" distR="0" wp14:anchorId="3C45A98A" wp14:editId="7D0E5504">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BA6B" w14:textId="77777777" w:rsidR="00AB6B5D" w:rsidRDefault="00AB6B5D" w:rsidP="00237A73">
      <w:pPr>
        <w:spacing w:after="0" w:line="240" w:lineRule="auto"/>
      </w:pPr>
      <w:r>
        <w:separator/>
      </w:r>
    </w:p>
  </w:footnote>
  <w:footnote w:type="continuationSeparator" w:id="0">
    <w:p w14:paraId="378EFA62" w14:textId="77777777" w:rsidR="00AB6B5D" w:rsidRDefault="00AB6B5D" w:rsidP="00237A73">
      <w:pPr>
        <w:spacing w:after="0" w:line="240" w:lineRule="auto"/>
      </w:pPr>
      <w:r>
        <w:continuationSeparator/>
      </w:r>
    </w:p>
  </w:footnote>
  <w:footnote w:id="1">
    <w:p w14:paraId="4640E6FB" w14:textId="122FCE97" w:rsidR="006A62A5" w:rsidRDefault="006A62A5">
      <w:pPr>
        <w:pStyle w:val="FootnoteText"/>
      </w:pPr>
      <w:r>
        <w:rPr>
          <w:rStyle w:val="FootnoteReference"/>
        </w:rPr>
        <w:footnoteRef/>
      </w:r>
      <w:r>
        <w:t xml:space="preserve"> </w:t>
      </w:r>
      <w:hyperlink r:id="rId1" w:history="1">
        <w:r w:rsidRPr="0017088A">
          <w:rPr>
            <w:rStyle w:val="Hyperlink"/>
          </w:rPr>
          <w:t>https://www.ucl.ac.uk/research/sites/research/files/uclresearchstrategy2019_final.pdf</w:t>
        </w:r>
      </w:hyperlink>
      <w:r>
        <w:t xml:space="preserve"> </w:t>
      </w:r>
    </w:p>
  </w:footnote>
  <w:footnote w:id="2">
    <w:p w14:paraId="61560D06" w14:textId="3755285D" w:rsidR="00193848" w:rsidRDefault="00193848">
      <w:pPr>
        <w:pStyle w:val="FootnoteText"/>
      </w:pPr>
      <w:r>
        <w:rPr>
          <w:rStyle w:val="FootnoteReference"/>
        </w:rPr>
        <w:footnoteRef/>
      </w:r>
      <w:r>
        <w:t xml:space="preserve"> </w:t>
      </w:r>
      <w:hyperlink r:id="rId2" w:history="1">
        <w:r w:rsidR="004B5F50" w:rsidRPr="00093CF6">
          <w:rPr>
            <w:rStyle w:val="Hyperlink"/>
          </w:rPr>
          <w:t>https://ec.europa.eu/info/research-and-innovation/strategy/goals-research-and-innovation-policy/open-science_en</w:t>
        </w:r>
      </w:hyperlink>
      <w:r w:rsidR="004B5F50">
        <w:t xml:space="preserve"> </w:t>
      </w:r>
    </w:p>
  </w:footnote>
  <w:footnote w:id="3">
    <w:p w14:paraId="61BC798D" w14:textId="179ACD0C" w:rsidR="00DE698F" w:rsidRDefault="00DE698F">
      <w:pPr>
        <w:pStyle w:val="FootnoteText"/>
      </w:pPr>
      <w:r>
        <w:rPr>
          <w:rStyle w:val="FootnoteReference"/>
        </w:rPr>
        <w:footnoteRef/>
      </w:r>
      <w:r>
        <w:t xml:space="preserve"> </w:t>
      </w:r>
      <w:hyperlink r:id="rId3" w:history="1">
        <w:r w:rsidRPr="00E02A6F">
          <w:rPr>
            <w:rStyle w:val="Hyperlink"/>
          </w:rPr>
          <w:t>https://www.leru.org/publications/open-science-and-its-role-in-universities-a-roadmap-for-cultural-change</w:t>
        </w:r>
      </w:hyperlink>
      <w:r>
        <w:t xml:space="preserve"> </w:t>
      </w:r>
    </w:p>
  </w:footnote>
  <w:footnote w:id="4">
    <w:p w14:paraId="5B12E7CB" w14:textId="15AE06DC" w:rsidR="00D36D8E" w:rsidRDefault="00D36D8E">
      <w:pPr>
        <w:pStyle w:val="FootnoteText"/>
      </w:pPr>
      <w:r>
        <w:rPr>
          <w:rStyle w:val="FootnoteReference"/>
        </w:rPr>
        <w:footnoteRef/>
      </w:r>
      <w:r>
        <w:t xml:space="preserve"> </w:t>
      </w:r>
      <w:hyperlink r:id="rId4" w:history="1">
        <w:r w:rsidRPr="00DB59D1">
          <w:rPr>
            <w:rStyle w:val="Hyperlink"/>
          </w:rPr>
          <w:t>https://www.opengovpartnership.org/</w:t>
        </w:r>
      </w:hyperlink>
    </w:p>
  </w:footnote>
  <w:footnote w:id="5">
    <w:p w14:paraId="075D4ACE" w14:textId="37B5FECD" w:rsidR="002C52FA" w:rsidRDefault="002C52FA">
      <w:pPr>
        <w:pStyle w:val="FootnoteText"/>
      </w:pPr>
      <w:r>
        <w:rPr>
          <w:rStyle w:val="FootnoteReference"/>
        </w:rPr>
        <w:footnoteRef/>
      </w:r>
      <w:r>
        <w:t xml:space="preserve"> </w:t>
      </w:r>
      <w:r w:rsidRPr="00237A73">
        <w:t>Implementing Open Science: Challenges and Opportunities for research-intensive universities in LERU (December 2020)</w:t>
      </w:r>
      <w:r>
        <w:t xml:space="preserve">: </w:t>
      </w:r>
      <w:hyperlink r:id="rId5" w:history="1">
        <w:r w:rsidRPr="00A853B6">
          <w:rPr>
            <w:rStyle w:val="Hyperlink"/>
          </w:rPr>
          <w:t>https://www.leru.org/files/Implementing-open-science.pdf</w:t>
        </w:r>
      </w:hyperlink>
    </w:p>
  </w:footnote>
  <w:footnote w:id="6">
    <w:p w14:paraId="123651D8" w14:textId="77777777" w:rsidR="007579F7" w:rsidRDefault="007579F7" w:rsidP="004853FB">
      <w:pPr>
        <w:pStyle w:val="FootnoteText"/>
      </w:pPr>
      <w:r>
        <w:rPr>
          <w:rStyle w:val="FootnoteReference"/>
        </w:rPr>
        <w:footnoteRef/>
      </w:r>
      <w:r>
        <w:t xml:space="preserve"> Based on the </w:t>
      </w:r>
      <w:hyperlink r:id="rId6" w:anchor=":~:text=The%20Passport%20For%20Open%20Science%20is%20a%20guide,and%20is%20aimed%20at%20researchers%20from%20all%20disciplines" w:history="1">
        <w:r w:rsidRPr="004117BA">
          <w:rPr>
            <w:rStyle w:val="Hyperlink"/>
          </w:rPr>
          <w:t>established guide in France</w:t>
        </w:r>
      </w:hyperlink>
      <w:r>
        <w:t xml:space="preserve"> </w:t>
      </w:r>
    </w:p>
  </w:footnote>
  <w:footnote w:id="7">
    <w:p w14:paraId="361AE248" w14:textId="1D352436" w:rsidR="00077932" w:rsidRDefault="00077932">
      <w:pPr>
        <w:pStyle w:val="FootnoteText"/>
      </w:pPr>
      <w:r>
        <w:rPr>
          <w:rStyle w:val="FootnoteReference"/>
        </w:rPr>
        <w:footnoteRef/>
      </w:r>
      <w:r>
        <w:t xml:space="preserve"> </w:t>
      </w:r>
      <w:hyperlink r:id="rId7" w:history="1">
        <w:r w:rsidRPr="00F4105F">
          <w:rPr>
            <w:rStyle w:val="Hyperlink"/>
            <w:noProof/>
          </w:rPr>
          <w:t>https://osf.io/xpr2n/wiki/home</w:t>
        </w:r>
      </w:hyperlink>
      <w:r>
        <w:rPr>
          <w:noProof/>
        </w:rPr>
        <w:t xml:space="preserve"> </w:t>
      </w:r>
    </w:p>
  </w:footnote>
  <w:footnote w:id="8">
    <w:p w14:paraId="07B30105" w14:textId="4665FECE" w:rsidR="00077932" w:rsidRDefault="00077932">
      <w:pPr>
        <w:pStyle w:val="FootnoteText"/>
      </w:pPr>
      <w:r>
        <w:rPr>
          <w:rStyle w:val="FootnoteReference"/>
        </w:rPr>
        <w:footnoteRef/>
      </w:r>
      <w:r>
        <w:t xml:space="preserve"> </w:t>
      </w:r>
      <w:hyperlink r:id="rId8" w:history="1">
        <w:r w:rsidRPr="00F4105F">
          <w:rPr>
            <w:rStyle w:val="Hyperlink"/>
            <w:noProof/>
          </w:rPr>
          <w:t>https://www.ukeof.org.uk/</w:t>
        </w:r>
      </w:hyperlink>
      <w:r>
        <w:rPr>
          <w:noProo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9A7"/>
    <w:multiLevelType w:val="hybridMultilevel"/>
    <w:tmpl w:val="B8AE7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E5394"/>
    <w:multiLevelType w:val="multilevel"/>
    <w:tmpl w:val="1CE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671FB"/>
    <w:multiLevelType w:val="hybridMultilevel"/>
    <w:tmpl w:val="01F2E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56DEF"/>
    <w:multiLevelType w:val="multilevel"/>
    <w:tmpl w:val="87BE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86818"/>
    <w:multiLevelType w:val="hybridMultilevel"/>
    <w:tmpl w:val="5F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7123"/>
    <w:multiLevelType w:val="hybridMultilevel"/>
    <w:tmpl w:val="595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526BF"/>
    <w:multiLevelType w:val="multilevel"/>
    <w:tmpl w:val="5BA89E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942874"/>
    <w:multiLevelType w:val="multilevel"/>
    <w:tmpl w:val="3EC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A35D7"/>
    <w:multiLevelType w:val="hybridMultilevel"/>
    <w:tmpl w:val="842ACE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A5562"/>
    <w:multiLevelType w:val="hybridMultilevel"/>
    <w:tmpl w:val="D36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F576F"/>
    <w:multiLevelType w:val="hybridMultilevel"/>
    <w:tmpl w:val="E584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D0A5A"/>
    <w:multiLevelType w:val="hybridMultilevel"/>
    <w:tmpl w:val="B324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A4256"/>
    <w:multiLevelType w:val="multilevel"/>
    <w:tmpl w:val="1D76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54DD0"/>
    <w:multiLevelType w:val="hybridMultilevel"/>
    <w:tmpl w:val="BCC6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A2486"/>
    <w:multiLevelType w:val="hybridMultilevel"/>
    <w:tmpl w:val="51C43A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ED30C2"/>
    <w:multiLevelType w:val="hybridMultilevel"/>
    <w:tmpl w:val="944A4A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683D3E"/>
    <w:multiLevelType w:val="multilevel"/>
    <w:tmpl w:val="55C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0C6DAF"/>
    <w:multiLevelType w:val="multilevel"/>
    <w:tmpl w:val="3682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F572C"/>
    <w:multiLevelType w:val="hybridMultilevel"/>
    <w:tmpl w:val="DEB20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B3AA2"/>
    <w:multiLevelType w:val="multilevel"/>
    <w:tmpl w:val="201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5D639D"/>
    <w:multiLevelType w:val="multilevel"/>
    <w:tmpl w:val="878ED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76F36BD"/>
    <w:multiLevelType w:val="hybridMultilevel"/>
    <w:tmpl w:val="4838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B6852"/>
    <w:multiLevelType w:val="hybridMultilevel"/>
    <w:tmpl w:val="BA9C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0D6A0F"/>
    <w:multiLevelType w:val="multilevel"/>
    <w:tmpl w:val="1572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60D19"/>
    <w:multiLevelType w:val="hybridMultilevel"/>
    <w:tmpl w:val="34EA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87D5A"/>
    <w:multiLevelType w:val="hybridMultilevel"/>
    <w:tmpl w:val="501A70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F20F9"/>
    <w:multiLevelType w:val="multilevel"/>
    <w:tmpl w:val="65F27F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7CD6C7F"/>
    <w:multiLevelType w:val="hybridMultilevel"/>
    <w:tmpl w:val="D0BA2C6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A72B34"/>
    <w:multiLevelType w:val="hybridMultilevel"/>
    <w:tmpl w:val="60422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E0197B"/>
    <w:multiLevelType w:val="hybridMultilevel"/>
    <w:tmpl w:val="832A5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327EA"/>
    <w:multiLevelType w:val="multilevel"/>
    <w:tmpl w:val="EFECD6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AED5845"/>
    <w:multiLevelType w:val="hybridMultilevel"/>
    <w:tmpl w:val="542C7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965C7F"/>
    <w:multiLevelType w:val="hybridMultilevel"/>
    <w:tmpl w:val="6D943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4638A"/>
    <w:multiLevelType w:val="multilevel"/>
    <w:tmpl w:val="F698F0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E4B7BC1"/>
    <w:multiLevelType w:val="hybridMultilevel"/>
    <w:tmpl w:val="FBA6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508CE"/>
    <w:multiLevelType w:val="hybridMultilevel"/>
    <w:tmpl w:val="FA82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513087"/>
    <w:multiLevelType w:val="hybridMultilevel"/>
    <w:tmpl w:val="AAF4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A47DB"/>
    <w:multiLevelType w:val="hybridMultilevel"/>
    <w:tmpl w:val="63B446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A7201F"/>
    <w:multiLevelType w:val="hybridMultilevel"/>
    <w:tmpl w:val="C728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76716"/>
    <w:multiLevelType w:val="hybridMultilevel"/>
    <w:tmpl w:val="17A4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924BD9"/>
    <w:multiLevelType w:val="hybridMultilevel"/>
    <w:tmpl w:val="2B16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77E78"/>
    <w:multiLevelType w:val="hybridMultilevel"/>
    <w:tmpl w:val="F2ECE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461B6D"/>
    <w:multiLevelType w:val="hybridMultilevel"/>
    <w:tmpl w:val="1C6E0B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34"/>
  </w:num>
  <w:num w:numId="4">
    <w:abstractNumId w:val="41"/>
  </w:num>
  <w:num w:numId="5">
    <w:abstractNumId w:val="21"/>
  </w:num>
  <w:num w:numId="6">
    <w:abstractNumId w:val="29"/>
  </w:num>
  <w:num w:numId="7">
    <w:abstractNumId w:val="36"/>
  </w:num>
  <w:num w:numId="8">
    <w:abstractNumId w:val="22"/>
  </w:num>
  <w:num w:numId="9">
    <w:abstractNumId w:val="13"/>
  </w:num>
  <w:num w:numId="10">
    <w:abstractNumId w:val="5"/>
  </w:num>
  <w:num w:numId="11">
    <w:abstractNumId w:val="4"/>
  </w:num>
  <w:num w:numId="12">
    <w:abstractNumId w:val="24"/>
  </w:num>
  <w:num w:numId="13">
    <w:abstractNumId w:val="9"/>
  </w:num>
  <w:num w:numId="14">
    <w:abstractNumId w:val="11"/>
  </w:num>
  <w:num w:numId="15">
    <w:abstractNumId w:val="32"/>
  </w:num>
  <w:num w:numId="16">
    <w:abstractNumId w:val="10"/>
  </w:num>
  <w:num w:numId="17">
    <w:abstractNumId w:val="38"/>
  </w:num>
  <w:num w:numId="18">
    <w:abstractNumId w:val="42"/>
  </w:num>
  <w:num w:numId="19">
    <w:abstractNumId w:val="8"/>
  </w:num>
  <w:num w:numId="20">
    <w:abstractNumId w:val="27"/>
  </w:num>
  <w:num w:numId="21">
    <w:abstractNumId w:val="37"/>
  </w:num>
  <w:num w:numId="22">
    <w:abstractNumId w:val="15"/>
  </w:num>
  <w:num w:numId="23">
    <w:abstractNumId w:val="14"/>
  </w:num>
  <w:num w:numId="24">
    <w:abstractNumId w:val="12"/>
  </w:num>
  <w:num w:numId="25">
    <w:abstractNumId w:val="26"/>
  </w:num>
  <w:num w:numId="26">
    <w:abstractNumId w:val="7"/>
  </w:num>
  <w:num w:numId="27">
    <w:abstractNumId w:val="6"/>
  </w:num>
  <w:num w:numId="28">
    <w:abstractNumId w:val="30"/>
  </w:num>
  <w:num w:numId="29">
    <w:abstractNumId w:val="16"/>
  </w:num>
  <w:num w:numId="30">
    <w:abstractNumId w:val="20"/>
  </w:num>
  <w:num w:numId="31">
    <w:abstractNumId w:val="33"/>
  </w:num>
  <w:num w:numId="32">
    <w:abstractNumId w:val="23"/>
  </w:num>
  <w:num w:numId="33">
    <w:abstractNumId w:val="19"/>
  </w:num>
  <w:num w:numId="34">
    <w:abstractNumId w:val="3"/>
  </w:num>
  <w:num w:numId="35">
    <w:abstractNumId w:val="1"/>
  </w:num>
  <w:num w:numId="36">
    <w:abstractNumId w:val="31"/>
  </w:num>
  <w:num w:numId="37">
    <w:abstractNumId w:val="28"/>
  </w:num>
  <w:num w:numId="38">
    <w:abstractNumId w:val="0"/>
  </w:num>
  <w:num w:numId="39">
    <w:abstractNumId w:val="35"/>
  </w:num>
  <w:num w:numId="40">
    <w:abstractNumId w:val="39"/>
  </w:num>
  <w:num w:numId="41">
    <w:abstractNumId w:val="40"/>
  </w:num>
  <w:num w:numId="42">
    <w:abstractNumId w:val="2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0"/>
    <w:rsid w:val="0000125F"/>
    <w:rsid w:val="0000175B"/>
    <w:rsid w:val="000113CB"/>
    <w:rsid w:val="00017E7F"/>
    <w:rsid w:val="000211B5"/>
    <w:rsid w:val="00030348"/>
    <w:rsid w:val="000306C8"/>
    <w:rsid w:val="00034BA0"/>
    <w:rsid w:val="00040B05"/>
    <w:rsid w:val="00040CFE"/>
    <w:rsid w:val="00043860"/>
    <w:rsid w:val="00050521"/>
    <w:rsid w:val="0005254A"/>
    <w:rsid w:val="00052C0B"/>
    <w:rsid w:val="0005552E"/>
    <w:rsid w:val="0005787C"/>
    <w:rsid w:val="000632DB"/>
    <w:rsid w:val="000645A7"/>
    <w:rsid w:val="00071226"/>
    <w:rsid w:val="00075318"/>
    <w:rsid w:val="00076C62"/>
    <w:rsid w:val="00077932"/>
    <w:rsid w:val="00080D75"/>
    <w:rsid w:val="00085ED0"/>
    <w:rsid w:val="000871D4"/>
    <w:rsid w:val="00087A68"/>
    <w:rsid w:val="000A00C7"/>
    <w:rsid w:val="000A5FD3"/>
    <w:rsid w:val="000A72EC"/>
    <w:rsid w:val="000B0286"/>
    <w:rsid w:val="000B0FB5"/>
    <w:rsid w:val="000B3C3F"/>
    <w:rsid w:val="000B65BB"/>
    <w:rsid w:val="000C1EAA"/>
    <w:rsid w:val="000C2855"/>
    <w:rsid w:val="000D21DA"/>
    <w:rsid w:val="000D5115"/>
    <w:rsid w:val="000D7735"/>
    <w:rsid w:val="000E0311"/>
    <w:rsid w:val="000E2748"/>
    <w:rsid w:val="000F6652"/>
    <w:rsid w:val="00103599"/>
    <w:rsid w:val="00106240"/>
    <w:rsid w:val="001134CE"/>
    <w:rsid w:val="0012292F"/>
    <w:rsid w:val="00132C88"/>
    <w:rsid w:val="00132EA2"/>
    <w:rsid w:val="00143FD9"/>
    <w:rsid w:val="00146640"/>
    <w:rsid w:val="001548C7"/>
    <w:rsid w:val="0016446A"/>
    <w:rsid w:val="00171E26"/>
    <w:rsid w:val="0017456C"/>
    <w:rsid w:val="001846ED"/>
    <w:rsid w:val="00193848"/>
    <w:rsid w:val="001A70E9"/>
    <w:rsid w:val="001B1AB2"/>
    <w:rsid w:val="001D0AAB"/>
    <w:rsid w:val="001F2744"/>
    <w:rsid w:val="001F4A72"/>
    <w:rsid w:val="001F5582"/>
    <w:rsid w:val="001F59D3"/>
    <w:rsid w:val="002031CC"/>
    <w:rsid w:val="00207FD4"/>
    <w:rsid w:val="00213B81"/>
    <w:rsid w:val="002221F9"/>
    <w:rsid w:val="00225D74"/>
    <w:rsid w:val="00230743"/>
    <w:rsid w:val="00230B0A"/>
    <w:rsid w:val="00237A73"/>
    <w:rsid w:val="0024134E"/>
    <w:rsid w:val="002433EF"/>
    <w:rsid w:val="00243CE2"/>
    <w:rsid w:val="002504ED"/>
    <w:rsid w:val="00264626"/>
    <w:rsid w:val="002672A0"/>
    <w:rsid w:val="002741B2"/>
    <w:rsid w:val="00276626"/>
    <w:rsid w:val="00286370"/>
    <w:rsid w:val="00290D58"/>
    <w:rsid w:val="00295BE3"/>
    <w:rsid w:val="002B052B"/>
    <w:rsid w:val="002B6AE8"/>
    <w:rsid w:val="002C22C8"/>
    <w:rsid w:val="002C44DC"/>
    <w:rsid w:val="002C52FA"/>
    <w:rsid w:val="002C56AD"/>
    <w:rsid w:val="002D3087"/>
    <w:rsid w:val="002E5D8D"/>
    <w:rsid w:val="002E615B"/>
    <w:rsid w:val="002E6948"/>
    <w:rsid w:val="002E75A0"/>
    <w:rsid w:val="003013B1"/>
    <w:rsid w:val="0030669E"/>
    <w:rsid w:val="003201F3"/>
    <w:rsid w:val="00322B09"/>
    <w:rsid w:val="00323273"/>
    <w:rsid w:val="00323AB2"/>
    <w:rsid w:val="0033291B"/>
    <w:rsid w:val="00341CCB"/>
    <w:rsid w:val="003557DA"/>
    <w:rsid w:val="00381FDF"/>
    <w:rsid w:val="00387E86"/>
    <w:rsid w:val="00391C75"/>
    <w:rsid w:val="0039232D"/>
    <w:rsid w:val="003A7BE2"/>
    <w:rsid w:val="003B130E"/>
    <w:rsid w:val="003B50A5"/>
    <w:rsid w:val="003C0464"/>
    <w:rsid w:val="003C05FA"/>
    <w:rsid w:val="003C08FF"/>
    <w:rsid w:val="003C4135"/>
    <w:rsid w:val="003C44CD"/>
    <w:rsid w:val="003D45A8"/>
    <w:rsid w:val="003E1DB4"/>
    <w:rsid w:val="003E3AB8"/>
    <w:rsid w:val="003F1933"/>
    <w:rsid w:val="003F3A2D"/>
    <w:rsid w:val="003F4EC3"/>
    <w:rsid w:val="003F52DD"/>
    <w:rsid w:val="003F5B1C"/>
    <w:rsid w:val="003F69B9"/>
    <w:rsid w:val="004005FB"/>
    <w:rsid w:val="00402229"/>
    <w:rsid w:val="00403236"/>
    <w:rsid w:val="00403623"/>
    <w:rsid w:val="00404C7A"/>
    <w:rsid w:val="00406BF2"/>
    <w:rsid w:val="004117BA"/>
    <w:rsid w:val="00420D2C"/>
    <w:rsid w:val="00424100"/>
    <w:rsid w:val="0042521B"/>
    <w:rsid w:val="004258FD"/>
    <w:rsid w:val="004273E6"/>
    <w:rsid w:val="00433327"/>
    <w:rsid w:val="00441428"/>
    <w:rsid w:val="00443C18"/>
    <w:rsid w:val="00447028"/>
    <w:rsid w:val="00447D6E"/>
    <w:rsid w:val="00450B4F"/>
    <w:rsid w:val="0045178F"/>
    <w:rsid w:val="00452F35"/>
    <w:rsid w:val="00453B25"/>
    <w:rsid w:val="00455A98"/>
    <w:rsid w:val="00456360"/>
    <w:rsid w:val="00456BB2"/>
    <w:rsid w:val="00460FAC"/>
    <w:rsid w:val="0046274A"/>
    <w:rsid w:val="00474705"/>
    <w:rsid w:val="00474CE4"/>
    <w:rsid w:val="0048180D"/>
    <w:rsid w:val="00483144"/>
    <w:rsid w:val="004853FB"/>
    <w:rsid w:val="00485CB4"/>
    <w:rsid w:val="00491ACD"/>
    <w:rsid w:val="00494487"/>
    <w:rsid w:val="004973E3"/>
    <w:rsid w:val="004B5F50"/>
    <w:rsid w:val="004C2B69"/>
    <w:rsid w:val="004C2E03"/>
    <w:rsid w:val="004D0D2A"/>
    <w:rsid w:val="004E5831"/>
    <w:rsid w:val="004F79A6"/>
    <w:rsid w:val="00504178"/>
    <w:rsid w:val="0051285D"/>
    <w:rsid w:val="0051513D"/>
    <w:rsid w:val="0051734E"/>
    <w:rsid w:val="005219F0"/>
    <w:rsid w:val="00523B8F"/>
    <w:rsid w:val="00535E00"/>
    <w:rsid w:val="00541682"/>
    <w:rsid w:val="00545480"/>
    <w:rsid w:val="0054579E"/>
    <w:rsid w:val="005508DC"/>
    <w:rsid w:val="00555A3E"/>
    <w:rsid w:val="00562128"/>
    <w:rsid w:val="00562539"/>
    <w:rsid w:val="00570043"/>
    <w:rsid w:val="00570370"/>
    <w:rsid w:val="00571D27"/>
    <w:rsid w:val="005731E6"/>
    <w:rsid w:val="00576649"/>
    <w:rsid w:val="00584339"/>
    <w:rsid w:val="00585C56"/>
    <w:rsid w:val="00595C2A"/>
    <w:rsid w:val="005A0F5E"/>
    <w:rsid w:val="005A2394"/>
    <w:rsid w:val="005A2A95"/>
    <w:rsid w:val="005A7708"/>
    <w:rsid w:val="005B1FB3"/>
    <w:rsid w:val="005B3C02"/>
    <w:rsid w:val="005B7440"/>
    <w:rsid w:val="005C4901"/>
    <w:rsid w:val="005C4AA2"/>
    <w:rsid w:val="005C76A5"/>
    <w:rsid w:val="005D0FBD"/>
    <w:rsid w:val="005E7DE7"/>
    <w:rsid w:val="005F0048"/>
    <w:rsid w:val="005F14F7"/>
    <w:rsid w:val="005F7A9B"/>
    <w:rsid w:val="00602CBD"/>
    <w:rsid w:val="0060640D"/>
    <w:rsid w:val="006123D2"/>
    <w:rsid w:val="006175D3"/>
    <w:rsid w:val="00621B09"/>
    <w:rsid w:val="006313F7"/>
    <w:rsid w:val="00631D9F"/>
    <w:rsid w:val="00631ECB"/>
    <w:rsid w:val="00635E4A"/>
    <w:rsid w:val="00636668"/>
    <w:rsid w:val="0063676A"/>
    <w:rsid w:val="00636BE0"/>
    <w:rsid w:val="00653A87"/>
    <w:rsid w:val="006629FD"/>
    <w:rsid w:val="0066443D"/>
    <w:rsid w:val="00670139"/>
    <w:rsid w:val="006769A5"/>
    <w:rsid w:val="00676A32"/>
    <w:rsid w:val="00680C58"/>
    <w:rsid w:val="00685E72"/>
    <w:rsid w:val="006A0685"/>
    <w:rsid w:val="006A62A5"/>
    <w:rsid w:val="006A7706"/>
    <w:rsid w:val="006A7DE2"/>
    <w:rsid w:val="006B1154"/>
    <w:rsid w:val="006B51DD"/>
    <w:rsid w:val="006B7455"/>
    <w:rsid w:val="006C00B1"/>
    <w:rsid w:val="006C08AE"/>
    <w:rsid w:val="006C43E6"/>
    <w:rsid w:val="006C4DC1"/>
    <w:rsid w:val="006C54D4"/>
    <w:rsid w:val="006D3A4F"/>
    <w:rsid w:val="006D6A4A"/>
    <w:rsid w:val="006D72F7"/>
    <w:rsid w:val="006E734E"/>
    <w:rsid w:val="00703627"/>
    <w:rsid w:val="00704449"/>
    <w:rsid w:val="00717058"/>
    <w:rsid w:val="007202EA"/>
    <w:rsid w:val="00720B5F"/>
    <w:rsid w:val="007226A1"/>
    <w:rsid w:val="00722984"/>
    <w:rsid w:val="00732117"/>
    <w:rsid w:val="00740622"/>
    <w:rsid w:val="00740FDB"/>
    <w:rsid w:val="007443A8"/>
    <w:rsid w:val="007446E7"/>
    <w:rsid w:val="00747AAF"/>
    <w:rsid w:val="00754FFE"/>
    <w:rsid w:val="007579F7"/>
    <w:rsid w:val="007626E6"/>
    <w:rsid w:val="00765D8E"/>
    <w:rsid w:val="00771ED6"/>
    <w:rsid w:val="00774768"/>
    <w:rsid w:val="00774CFA"/>
    <w:rsid w:val="0078439D"/>
    <w:rsid w:val="00787F2F"/>
    <w:rsid w:val="00794877"/>
    <w:rsid w:val="007A5234"/>
    <w:rsid w:val="007A620A"/>
    <w:rsid w:val="007A7DFA"/>
    <w:rsid w:val="007B1EB4"/>
    <w:rsid w:val="007C009F"/>
    <w:rsid w:val="007C1DCE"/>
    <w:rsid w:val="007C35E7"/>
    <w:rsid w:val="007E40A0"/>
    <w:rsid w:val="007E4C98"/>
    <w:rsid w:val="007E6AEE"/>
    <w:rsid w:val="007E6F0E"/>
    <w:rsid w:val="007F4E5A"/>
    <w:rsid w:val="007F7316"/>
    <w:rsid w:val="008006BF"/>
    <w:rsid w:val="00805DB7"/>
    <w:rsid w:val="008146B8"/>
    <w:rsid w:val="00815101"/>
    <w:rsid w:val="00823168"/>
    <w:rsid w:val="00824556"/>
    <w:rsid w:val="00833202"/>
    <w:rsid w:val="00846724"/>
    <w:rsid w:val="008568E9"/>
    <w:rsid w:val="00860807"/>
    <w:rsid w:val="0086336E"/>
    <w:rsid w:val="00863807"/>
    <w:rsid w:val="0086740C"/>
    <w:rsid w:val="00874A81"/>
    <w:rsid w:val="008773DF"/>
    <w:rsid w:val="008823DA"/>
    <w:rsid w:val="00882D8B"/>
    <w:rsid w:val="0088638E"/>
    <w:rsid w:val="00890D70"/>
    <w:rsid w:val="00894046"/>
    <w:rsid w:val="00896A79"/>
    <w:rsid w:val="008B1C63"/>
    <w:rsid w:val="008C21B8"/>
    <w:rsid w:val="008D142A"/>
    <w:rsid w:val="008D1E3A"/>
    <w:rsid w:val="008D2499"/>
    <w:rsid w:val="008D33E0"/>
    <w:rsid w:val="00906B2C"/>
    <w:rsid w:val="00930149"/>
    <w:rsid w:val="00934A79"/>
    <w:rsid w:val="00936D60"/>
    <w:rsid w:val="00940254"/>
    <w:rsid w:val="00946685"/>
    <w:rsid w:val="00950F75"/>
    <w:rsid w:val="0095520F"/>
    <w:rsid w:val="00963BA2"/>
    <w:rsid w:val="00972207"/>
    <w:rsid w:val="00982348"/>
    <w:rsid w:val="009972C8"/>
    <w:rsid w:val="009A2E7E"/>
    <w:rsid w:val="009A6E9B"/>
    <w:rsid w:val="009B10D3"/>
    <w:rsid w:val="009B4742"/>
    <w:rsid w:val="009B4E2F"/>
    <w:rsid w:val="009C2CED"/>
    <w:rsid w:val="009C63B3"/>
    <w:rsid w:val="009C6697"/>
    <w:rsid w:val="009D1A88"/>
    <w:rsid w:val="009E1DC0"/>
    <w:rsid w:val="009E2587"/>
    <w:rsid w:val="009E450E"/>
    <w:rsid w:val="009E531C"/>
    <w:rsid w:val="009F640D"/>
    <w:rsid w:val="00A044EE"/>
    <w:rsid w:val="00A10BAC"/>
    <w:rsid w:val="00A169C8"/>
    <w:rsid w:val="00A20A43"/>
    <w:rsid w:val="00A21ACF"/>
    <w:rsid w:val="00A25664"/>
    <w:rsid w:val="00A31707"/>
    <w:rsid w:val="00A45860"/>
    <w:rsid w:val="00A4685B"/>
    <w:rsid w:val="00A52B50"/>
    <w:rsid w:val="00A558CB"/>
    <w:rsid w:val="00A57561"/>
    <w:rsid w:val="00A60F3C"/>
    <w:rsid w:val="00A62488"/>
    <w:rsid w:val="00A62F11"/>
    <w:rsid w:val="00A730F2"/>
    <w:rsid w:val="00A81748"/>
    <w:rsid w:val="00A850E6"/>
    <w:rsid w:val="00A919D2"/>
    <w:rsid w:val="00AA6A0C"/>
    <w:rsid w:val="00AB47C7"/>
    <w:rsid w:val="00AB6791"/>
    <w:rsid w:val="00AB6B5D"/>
    <w:rsid w:val="00AB7677"/>
    <w:rsid w:val="00AC353F"/>
    <w:rsid w:val="00AC37C3"/>
    <w:rsid w:val="00AD524E"/>
    <w:rsid w:val="00AD6174"/>
    <w:rsid w:val="00AD6CA6"/>
    <w:rsid w:val="00AD7314"/>
    <w:rsid w:val="00AD7E60"/>
    <w:rsid w:val="00AE5A2D"/>
    <w:rsid w:val="00AE7F22"/>
    <w:rsid w:val="00AF3B0D"/>
    <w:rsid w:val="00AF4DE3"/>
    <w:rsid w:val="00B0019F"/>
    <w:rsid w:val="00B015C6"/>
    <w:rsid w:val="00B02A6C"/>
    <w:rsid w:val="00B107C3"/>
    <w:rsid w:val="00B16A7E"/>
    <w:rsid w:val="00B22307"/>
    <w:rsid w:val="00B25FA2"/>
    <w:rsid w:val="00B264FD"/>
    <w:rsid w:val="00B310B6"/>
    <w:rsid w:val="00B31FCD"/>
    <w:rsid w:val="00B346AB"/>
    <w:rsid w:val="00B37B11"/>
    <w:rsid w:val="00B43D2B"/>
    <w:rsid w:val="00B52206"/>
    <w:rsid w:val="00B5252F"/>
    <w:rsid w:val="00B62712"/>
    <w:rsid w:val="00B645CD"/>
    <w:rsid w:val="00B66389"/>
    <w:rsid w:val="00B76D34"/>
    <w:rsid w:val="00B77E97"/>
    <w:rsid w:val="00B8028A"/>
    <w:rsid w:val="00B80AE5"/>
    <w:rsid w:val="00B86077"/>
    <w:rsid w:val="00B923FF"/>
    <w:rsid w:val="00BA185E"/>
    <w:rsid w:val="00BA3C45"/>
    <w:rsid w:val="00BA7444"/>
    <w:rsid w:val="00BB1D46"/>
    <w:rsid w:val="00BB4EAF"/>
    <w:rsid w:val="00BC31DB"/>
    <w:rsid w:val="00BC5A1D"/>
    <w:rsid w:val="00BE1626"/>
    <w:rsid w:val="00C01425"/>
    <w:rsid w:val="00C14FD3"/>
    <w:rsid w:val="00C21245"/>
    <w:rsid w:val="00C21EE1"/>
    <w:rsid w:val="00C22A13"/>
    <w:rsid w:val="00C455DC"/>
    <w:rsid w:val="00C54D2B"/>
    <w:rsid w:val="00C553F7"/>
    <w:rsid w:val="00C555D1"/>
    <w:rsid w:val="00C57C7D"/>
    <w:rsid w:val="00C62736"/>
    <w:rsid w:val="00C640FE"/>
    <w:rsid w:val="00C75178"/>
    <w:rsid w:val="00C76589"/>
    <w:rsid w:val="00C80DDD"/>
    <w:rsid w:val="00C835B0"/>
    <w:rsid w:val="00C84C51"/>
    <w:rsid w:val="00C87442"/>
    <w:rsid w:val="00C93E35"/>
    <w:rsid w:val="00C95321"/>
    <w:rsid w:val="00CB5FA7"/>
    <w:rsid w:val="00CD0390"/>
    <w:rsid w:val="00CD2727"/>
    <w:rsid w:val="00CD2F39"/>
    <w:rsid w:val="00CE585D"/>
    <w:rsid w:val="00CE5FBC"/>
    <w:rsid w:val="00CE7DA8"/>
    <w:rsid w:val="00CF26EB"/>
    <w:rsid w:val="00CF415C"/>
    <w:rsid w:val="00CF5098"/>
    <w:rsid w:val="00CF6754"/>
    <w:rsid w:val="00CF755F"/>
    <w:rsid w:val="00D06D27"/>
    <w:rsid w:val="00D116F4"/>
    <w:rsid w:val="00D1668E"/>
    <w:rsid w:val="00D20007"/>
    <w:rsid w:val="00D30A94"/>
    <w:rsid w:val="00D355F3"/>
    <w:rsid w:val="00D36D8E"/>
    <w:rsid w:val="00D373F6"/>
    <w:rsid w:val="00D42679"/>
    <w:rsid w:val="00D50598"/>
    <w:rsid w:val="00D536C4"/>
    <w:rsid w:val="00D53CF4"/>
    <w:rsid w:val="00D62569"/>
    <w:rsid w:val="00D65725"/>
    <w:rsid w:val="00D85AA6"/>
    <w:rsid w:val="00D93D49"/>
    <w:rsid w:val="00D94887"/>
    <w:rsid w:val="00D94BFE"/>
    <w:rsid w:val="00DB0B26"/>
    <w:rsid w:val="00DB4F2C"/>
    <w:rsid w:val="00DC0375"/>
    <w:rsid w:val="00DC29A8"/>
    <w:rsid w:val="00DC2C1C"/>
    <w:rsid w:val="00DD1D6F"/>
    <w:rsid w:val="00DD25F5"/>
    <w:rsid w:val="00DD2BD4"/>
    <w:rsid w:val="00DE37BD"/>
    <w:rsid w:val="00DE698F"/>
    <w:rsid w:val="00DF4FAD"/>
    <w:rsid w:val="00DF57D2"/>
    <w:rsid w:val="00E01FBE"/>
    <w:rsid w:val="00E03943"/>
    <w:rsid w:val="00E05071"/>
    <w:rsid w:val="00E15469"/>
    <w:rsid w:val="00E2561C"/>
    <w:rsid w:val="00E323B2"/>
    <w:rsid w:val="00E34B2B"/>
    <w:rsid w:val="00E3644A"/>
    <w:rsid w:val="00E456DC"/>
    <w:rsid w:val="00E45DE5"/>
    <w:rsid w:val="00E47DEB"/>
    <w:rsid w:val="00E62DC7"/>
    <w:rsid w:val="00E643ED"/>
    <w:rsid w:val="00E65E75"/>
    <w:rsid w:val="00E73267"/>
    <w:rsid w:val="00E80083"/>
    <w:rsid w:val="00E818FE"/>
    <w:rsid w:val="00E85D13"/>
    <w:rsid w:val="00E90E73"/>
    <w:rsid w:val="00E91E90"/>
    <w:rsid w:val="00E97E80"/>
    <w:rsid w:val="00EA0900"/>
    <w:rsid w:val="00EA248B"/>
    <w:rsid w:val="00EB37B2"/>
    <w:rsid w:val="00EB3F52"/>
    <w:rsid w:val="00EB4BF2"/>
    <w:rsid w:val="00EB7D55"/>
    <w:rsid w:val="00EC4E82"/>
    <w:rsid w:val="00EC5F1E"/>
    <w:rsid w:val="00ED367E"/>
    <w:rsid w:val="00EE0F28"/>
    <w:rsid w:val="00EE1595"/>
    <w:rsid w:val="00EE50B5"/>
    <w:rsid w:val="00EF031C"/>
    <w:rsid w:val="00EF2668"/>
    <w:rsid w:val="00F028F4"/>
    <w:rsid w:val="00F046A8"/>
    <w:rsid w:val="00F05F47"/>
    <w:rsid w:val="00F147CF"/>
    <w:rsid w:val="00F15BC3"/>
    <w:rsid w:val="00F30C09"/>
    <w:rsid w:val="00F30E30"/>
    <w:rsid w:val="00F341C3"/>
    <w:rsid w:val="00F37C5E"/>
    <w:rsid w:val="00F40514"/>
    <w:rsid w:val="00F42627"/>
    <w:rsid w:val="00F446DC"/>
    <w:rsid w:val="00F4634D"/>
    <w:rsid w:val="00F5790F"/>
    <w:rsid w:val="00F57C58"/>
    <w:rsid w:val="00F66595"/>
    <w:rsid w:val="00F8306A"/>
    <w:rsid w:val="00F852F0"/>
    <w:rsid w:val="00F91D3F"/>
    <w:rsid w:val="00FA4684"/>
    <w:rsid w:val="00FC02D9"/>
    <w:rsid w:val="00FC4666"/>
    <w:rsid w:val="00FC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6C37"/>
  <w15:chartTrackingRefBased/>
  <w15:docId w15:val="{B2A38199-9137-429A-A85C-DE78C566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CF"/>
    <w:rPr>
      <w:color w:val="000000" w:themeColor="text1"/>
    </w:rPr>
  </w:style>
  <w:style w:type="paragraph" w:styleId="Heading1">
    <w:name w:val="heading 1"/>
    <w:basedOn w:val="Normal"/>
    <w:next w:val="Normal"/>
    <w:link w:val="Heading1Char"/>
    <w:uiPriority w:val="9"/>
    <w:qFormat/>
    <w:rsid w:val="004747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1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6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64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BB"/>
    <w:pPr>
      <w:ind w:left="720"/>
      <w:contextualSpacing/>
    </w:pPr>
  </w:style>
  <w:style w:type="character" w:customStyle="1" w:styleId="Heading1Char">
    <w:name w:val="Heading 1 Char"/>
    <w:basedOn w:val="DefaultParagraphFont"/>
    <w:link w:val="Heading1"/>
    <w:uiPriority w:val="9"/>
    <w:rsid w:val="004747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61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6640"/>
    <w:rPr>
      <w:rFonts w:asciiTheme="majorHAnsi" w:eastAsiaTheme="majorEastAsia" w:hAnsiTheme="majorHAnsi" w:cstheme="majorBidi"/>
      <w:color w:val="1F4D78" w:themeColor="accent1" w:themeShade="7F"/>
      <w:sz w:val="24"/>
      <w:szCs w:val="24"/>
    </w:rPr>
  </w:style>
  <w:style w:type="paragraph" w:customStyle="1" w:styleId="Pa14">
    <w:name w:val="Pa14"/>
    <w:basedOn w:val="Normal"/>
    <w:next w:val="Normal"/>
    <w:uiPriority w:val="99"/>
    <w:rsid w:val="004C2B69"/>
    <w:pPr>
      <w:autoSpaceDE w:val="0"/>
      <w:autoSpaceDN w:val="0"/>
      <w:adjustRightInd w:val="0"/>
      <w:spacing w:after="0" w:line="244" w:lineRule="atLeast"/>
    </w:pPr>
    <w:rPr>
      <w:rFonts w:ascii="Helvetica LT Std" w:hAnsi="Helvetica LT Std"/>
      <w:sz w:val="24"/>
      <w:szCs w:val="24"/>
    </w:rPr>
  </w:style>
  <w:style w:type="character" w:customStyle="1" w:styleId="A1">
    <w:name w:val="A1"/>
    <w:uiPriority w:val="99"/>
    <w:rsid w:val="004C2B69"/>
    <w:rPr>
      <w:rFonts w:cs="Helvetica LT Std"/>
      <w:color w:val="000000"/>
      <w:sz w:val="18"/>
      <w:szCs w:val="18"/>
    </w:rPr>
  </w:style>
  <w:style w:type="paragraph" w:customStyle="1" w:styleId="Pa15">
    <w:name w:val="Pa15"/>
    <w:basedOn w:val="Normal"/>
    <w:next w:val="Normal"/>
    <w:uiPriority w:val="99"/>
    <w:rsid w:val="004C2B69"/>
    <w:pPr>
      <w:autoSpaceDE w:val="0"/>
      <w:autoSpaceDN w:val="0"/>
      <w:adjustRightInd w:val="0"/>
      <w:spacing w:after="0" w:line="241" w:lineRule="atLeast"/>
    </w:pPr>
    <w:rPr>
      <w:rFonts w:ascii="Helvetica LT Std" w:hAnsi="Helvetica LT Std"/>
      <w:sz w:val="24"/>
      <w:szCs w:val="24"/>
    </w:rPr>
  </w:style>
  <w:style w:type="paragraph" w:customStyle="1" w:styleId="Pa16">
    <w:name w:val="Pa16"/>
    <w:basedOn w:val="Normal"/>
    <w:next w:val="Normal"/>
    <w:uiPriority w:val="99"/>
    <w:rsid w:val="004C2B69"/>
    <w:pPr>
      <w:autoSpaceDE w:val="0"/>
      <w:autoSpaceDN w:val="0"/>
      <w:adjustRightInd w:val="0"/>
      <w:spacing w:after="0" w:line="241" w:lineRule="atLeast"/>
    </w:pPr>
    <w:rPr>
      <w:rFonts w:ascii="Helvetica LT Std" w:hAnsi="Helvetica LT Std"/>
      <w:sz w:val="24"/>
      <w:szCs w:val="24"/>
    </w:rPr>
  </w:style>
  <w:style w:type="character" w:customStyle="1" w:styleId="A10">
    <w:name w:val="A10"/>
    <w:uiPriority w:val="99"/>
    <w:rsid w:val="004C2B69"/>
    <w:rPr>
      <w:rFonts w:cs="Helvetica LT Std"/>
      <w:color w:val="000000"/>
      <w:sz w:val="20"/>
      <w:szCs w:val="20"/>
    </w:rPr>
  </w:style>
  <w:style w:type="paragraph" w:styleId="FootnoteText">
    <w:name w:val="footnote text"/>
    <w:basedOn w:val="Normal"/>
    <w:link w:val="FootnoteTextChar"/>
    <w:uiPriority w:val="99"/>
    <w:semiHidden/>
    <w:unhideWhenUsed/>
    <w:rsid w:val="00237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A73"/>
    <w:rPr>
      <w:sz w:val="20"/>
      <w:szCs w:val="20"/>
    </w:rPr>
  </w:style>
  <w:style w:type="character" w:styleId="FootnoteReference">
    <w:name w:val="footnote reference"/>
    <w:basedOn w:val="DefaultParagraphFont"/>
    <w:uiPriority w:val="99"/>
    <w:semiHidden/>
    <w:unhideWhenUsed/>
    <w:rsid w:val="00237A73"/>
    <w:rPr>
      <w:vertAlign w:val="superscript"/>
    </w:rPr>
  </w:style>
  <w:style w:type="table" w:styleId="TableGrid">
    <w:name w:val="Table Grid"/>
    <w:basedOn w:val="TableNormal"/>
    <w:uiPriority w:val="39"/>
    <w:rsid w:val="0023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5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8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70043"/>
    <w:rPr>
      <w:color w:val="0563C1" w:themeColor="hyperlink"/>
      <w:u w:val="single"/>
    </w:rPr>
  </w:style>
  <w:style w:type="character" w:customStyle="1" w:styleId="Heading4Char">
    <w:name w:val="Heading 4 Char"/>
    <w:basedOn w:val="DefaultParagraphFont"/>
    <w:link w:val="Heading4"/>
    <w:uiPriority w:val="9"/>
    <w:rsid w:val="009F640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C7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A5"/>
    <w:rPr>
      <w:rFonts w:ascii="Segoe UI" w:hAnsi="Segoe UI" w:cs="Segoe UI"/>
      <w:sz w:val="18"/>
      <w:szCs w:val="18"/>
    </w:rPr>
  </w:style>
  <w:style w:type="character" w:styleId="CommentReference">
    <w:name w:val="annotation reference"/>
    <w:basedOn w:val="DefaultParagraphFont"/>
    <w:uiPriority w:val="99"/>
    <w:semiHidden/>
    <w:unhideWhenUsed/>
    <w:rsid w:val="00CD2727"/>
    <w:rPr>
      <w:sz w:val="16"/>
      <w:szCs w:val="16"/>
    </w:rPr>
  </w:style>
  <w:style w:type="paragraph" w:styleId="CommentText">
    <w:name w:val="annotation text"/>
    <w:basedOn w:val="Normal"/>
    <w:link w:val="CommentTextChar"/>
    <w:uiPriority w:val="99"/>
    <w:unhideWhenUsed/>
    <w:rsid w:val="00CD2727"/>
    <w:pPr>
      <w:spacing w:line="240" w:lineRule="auto"/>
    </w:pPr>
    <w:rPr>
      <w:sz w:val="20"/>
      <w:szCs w:val="20"/>
    </w:rPr>
  </w:style>
  <w:style w:type="character" w:customStyle="1" w:styleId="CommentTextChar">
    <w:name w:val="Comment Text Char"/>
    <w:basedOn w:val="DefaultParagraphFont"/>
    <w:link w:val="CommentText"/>
    <w:uiPriority w:val="99"/>
    <w:rsid w:val="00CD2727"/>
    <w:rPr>
      <w:sz w:val="20"/>
      <w:szCs w:val="20"/>
    </w:rPr>
  </w:style>
  <w:style w:type="paragraph" w:styleId="CommentSubject">
    <w:name w:val="annotation subject"/>
    <w:basedOn w:val="CommentText"/>
    <w:next w:val="CommentText"/>
    <w:link w:val="CommentSubjectChar"/>
    <w:uiPriority w:val="99"/>
    <w:semiHidden/>
    <w:unhideWhenUsed/>
    <w:rsid w:val="00CD2727"/>
    <w:rPr>
      <w:b/>
      <w:bCs/>
    </w:rPr>
  </w:style>
  <w:style w:type="character" w:customStyle="1" w:styleId="CommentSubjectChar">
    <w:name w:val="Comment Subject Char"/>
    <w:basedOn w:val="CommentTextChar"/>
    <w:link w:val="CommentSubject"/>
    <w:uiPriority w:val="99"/>
    <w:semiHidden/>
    <w:rsid w:val="00CD2727"/>
    <w:rPr>
      <w:b/>
      <w:bCs/>
      <w:sz w:val="20"/>
      <w:szCs w:val="20"/>
    </w:rPr>
  </w:style>
  <w:style w:type="paragraph" w:customStyle="1" w:styleId="paragraph">
    <w:name w:val="paragraph"/>
    <w:basedOn w:val="Normal"/>
    <w:rsid w:val="00774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4768"/>
  </w:style>
  <w:style w:type="character" w:customStyle="1" w:styleId="eop">
    <w:name w:val="eop"/>
    <w:basedOn w:val="DefaultParagraphFont"/>
    <w:rsid w:val="00774768"/>
  </w:style>
  <w:style w:type="character" w:customStyle="1" w:styleId="UnresolvedMention1">
    <w:name w:val="Unresolved Mention1"/>
    <w:basedOn w:val="DefaultParagraphFont"/>
    <w:uiPriority w:val="99"/>
    <w:semiHidden/>
    <w:unhideWhenUsed/>
    <w:rsid w:val="00DE698F"/>
    <w:rPr>
      <w:color w:val="605E5C"/>
      <w:shd w:val="clear" w:color="auto" w:fill="E1DFDD"/>
    </w:rPr>
  </w:style>
  <w:style w:type="paragraph" w:styleId="Revision">
    <w:name w:val="Revision"/>
    <w:hidden/>
    <w:uiPriority w:val="99"/>
    <w:semiHidden/>
    <w:rsid w:val="00D20007"/>
    <w:pPr>
      <w:spacing w:after="0" w:line="240" w:lineRule="auto"/>
    </w:pPr>
  </w:style>
  <w:style w:type="paragraph" w:styleId="NormalWeb">
    <w:name w:val="Normal (Web)"/>
    <w:basedOn w:val="Normal"/>
    <w:uiPriority w:val="99"/>
    <w:semiHidden/>
    <w:unhideWhenUsed/>
    <w:rsid w:val="00225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77932"/>
    <w:rPr>
      <w:color w:val="605E5C"/>
      <w:shd w:val="clear" w:color="auto" w:fill="E1DFDD"/>
    </w:rPr>
  </w:style>
  <w:style w:type="paragraph" w:customStyle="1" w:styleId="TitlingLine1">
    <w:name w:val="Titling Line 1"/>
    <w:basedOn w:val="Normal"/>
    <w:next w:val="Normal"/>
    <w:rsid w:val="00562539"/>
    <w:pPr>
      <w:spacing w:before="120" w:after="120" w:line="230" w:lineRule="exact"/>
    </w:pPr>
    <w:rPr>
      <w:rFonts w:ascii="Arial" w:eastAsia="Times New Roman" w:hAnsi="Arial" w:cs="Arial"/>
      <w:b/>
      <w:bCs/>
      <w:caps/>
      <w:sz w:val="20"/>
      <w:szCs w:val="20"/>
      <w:lang w:eastAsia="en-GB"/>
    </w:rPr>
  </w:style>
  <w:style w:type="paragraph" w:styleId="Header">
    <w:name w:val="header"/>
    <w:basedOn w:val="Normal"/>
    <w:link w:val="HeaderChar"/>
    <w:uiPriority w:val="99"/>
    <w:unhideWhenUsed/>
    <w:rsid w:val="00AE7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F22"/>
  </w:style>
  <w:style w:type="paragraph" w:styleId="Footer">
    <w:name w:val="footer"/>
    <w:basedOn w:val="Normal"/>
    <w:link w:val="FooterChar"/>
    <w:uiPriority w:val="99"/>
    <w:unhideWhenUsed/>
    <w:rsid w:val="00AE7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3524">
      <w:bodyDiv w:val="1"/>
      <w:marLeft w:val="0"/>
      <w:marRight w:val="0"/>
      <w:marTop w:val="0"/>
      <w:marBottom w:val="0"/>
      <w:divBdr>
        <w:top w:val="none" w:sz="0" w:space="0" w:color="auto"/>
        <w:left w:val="none" w:sz="0" w:space="0" w:color="auto"/>
        <w:bottom w:val="none" w:sz="0" w:space="0" w:color="auto"/>
        <w:right w:val="none" w:sz="0" w:space="0" w:color="auto"/>
      </w:divBdr>
    </w:div>
    <w:div w:id="1500388285">
      <w:bodyDiv w:val="1"/>
      <w:marLeft w:val="0"/>
      <w:marRight w:val="0"/>
      <w:marTop w:val="0"/>
      <w:marBottom w:val="0"/>
      <w:divBdr>
        <w:top w:val="none" w:sz="0" w:space="0" w:color="auto"/>
        <w:left w:val="none" w:sz="0" w:space="0" w:color="auto"/>
        <w:bottom w:val="none" w:sz="0" w:space="0" w:color="auto"/>
        <w:right w:val="none" w:sz="0" w:space="0" w:color="auto"/>
      </w:divBdr>
      <w:divsChild>
        <w:div w:id="1344476189">
          <w:marLeft w:val="0"/>
          <w:marRight w:val="0"/>
          <w:marTop w:val="0"/>
          <w:marBottom w:val="0"/>
          <w:divBdr>
            <w:top w:val="none" w:sz="0" w:space="0" w:color="auto"/>
            <w:left w:val="none" w:sz="0" w:space="0" w:color="auto"/>
            <w:bottom w:val="none" w:sz="0" w:space="0" w:color="auto"/>
            <w:right w:val="none" w:sz="0" w:space="0" w:color="auto"/>
          </w:divBdr>
        </w:div>
        <w:div w:id="900018465">
          <w:marLeft w:val="0"/>
          <w:marRight w:val="0"/>
          <w:marTop w:val="0"/>
          <w:marBottom w:val="0"/>
          <w:divBdr>
            <w:top w:val="none" w:sz="0" w:space="0" w:color="auto"/>
            <w:left w:val="none" w:sz="0" w:space="0" w:color="auto"/>
            <w:bottom w:val="none" w:sz="0" w:space="0" w:color="auto"/>
            <w:right w:val="none" w:sz="0" w:space="0" w:color="auto"/>
          </w:divBdr>
        </w:div>
        <w:div w:id="1986086817">
          <w:marLeft w:val="0"/>
          <w:marRight w:val="0"/>
          <w:marTop w:val="0"/>
          <w:marBottom w:val="0"/>
          <w:divBdr>
            <w:top w:val="none" w:sz="0" w:space="0" w:color="auto"/>
            <w:left w:val="none" w:sz="0" w:space="0" w:color="auto"/>
            <w:bottom w:val="none" w:sz="0" w:space="0" w:color="auto"/>
            <w:right w:val="none" w:sz="0" w:space="0" w:color="auto"/>
          </w:divBdr>
        </w:div>
        <w:div w:id="586810058">
          <w:marLeft w:val="0"/>
          <w:marRight w:val="0"/>
          <w:marTop w:val="0"/>
          <w:marBottom w:val="0"/>
          <w:divBdr>
            <w:top w:val="none" w:sz="0" w:space="0" w:color="auto"/>
            <w:left w:val="none" w:sz="0" w:space="0" w:color="auto"/>
            <w:bottom w:val="none" w:sz="0" w:space="0" w:color="auto"/>
            <w:right w:val="none" w:sz="0" w:space="0" w:color="auto"/>
          </w:divBdr>
        </w:div>
        <w:div w:id="742408593">
          <w:marLeft w:val="0"/>
          <w:marRight w:val="0"/>
          <w:marTop w:val="0"/>
          <w:marBottom w:val="0"/>
          <w:divBdr>
            <w:top w:val="none" w:sz="0" w:space="0" w:color="auto"/>
            <w:left w:val="none" w:sz="0" w:space="0" w:color="auto"/>
            <w:bottom w:val="none" w:sz="0" w:space="0" w:color="auto"/>
            <w:right w:val="none" w:sz="0" w:space="0" w:color="auto"/>
          </w:divBdr>
        </w:div>
        <w:div w:id="999969253">
          <w:marLeft w:val="0"/>
          <w:marRight w:val="0"/>
          <w:marTop w:val="0"/>
          <w:marBottom w:val="0"/>
          <w:divBdr>
            <w:top w:val="none" w:sz="0" w:space="0" w:color="auto"/>
            <w:left w:val="none" w:sz="0" w:space="0" w:color="auto"/>
            <w:bottom w:val="none" w:sz="0" w:space="0" w:color="auto"/>
            <w:right w:val="none" w:sz="0" w:space="0" w:color="auto"/>
          </w:divBdr>
        </w:div>
        <w:div w:id="1849520734">
          <w:marLeft w:val="0"/>
          <w:marRight w:val="0"/>
          <w:marTop w:val="0"/>
          <w:marBottom w:val="0"/>
          <w:divBdr>
            <w:top w:val="none" w:sz="0" w:space="0" w:color="auto"/>
            <w:left w:val="none" w:sz="0" w:space="0" w:color="auto"/>
            <w:bottom w:val="none" w:sz="0" w:space="0" w:color="auto"/>
            <w:right w:val="none" w:sz="0" w:space="0" w:color="auto"/>
          </w:divBdr>
        </w:div>
        <w:div w:id="339241519">
          <w:marLeft w:val="0"/>
          <w:marRight w:val="0"/>
          <w:marTop w:val="0"/>
          <w:marBottom w:val="0"/>
          <w:divBdr>
            <w:top w:val="none" w:sz="0" w:space="0" w:color="auto"/>
            <w:left w:val="none" w:sz="0" w:space="0" w:color="auto"/>
            <w:bottom w:val="none" w:sz="0" w:space="0" w:color="auto"/>
            <w:right w:val="none" w:sz="0" w:space="0" w:color="auto"/>
          </w:divBdr>
        </w:div>
        <w:div w:id="1798450949">
          <w:marLeft w:val="0"/>
          <w:marRight w:val="0"/>
          <w:marTop w:val="0"/>
          <w:marBottom w:val="0"/>
          <w:divBdr>
            <w:top w:val="none" w:sz="0" w:space="0" w:color="auto"/>
            <w:left w:val="none" w:sz="0" w:space="0" w:color="auto"/>
            <w:bottom w:val="none" w:sz="0" w:space="0" w:color="auto"/>
            <w:right w:val="none" w:sz="0" w:space="0" w:color="auto"/>
          </w:divBdr>
        </w:div>
        <w:div w:id="1951617952">
          <w:marLeft w:val="0"/>
          <w:marRight w:val="0"/>
          <w:marTop w:val="0"/>
          <w:marBottom w:val="0"/>
          <w:divBdr>
            <w:top w:val="none" w:sz="0" w:space="0" w:color="auto"/>
            <w:left w:val="none" w:sz="0" w:space="0" w:color="auto"/>
            <w:bottom w:val="none" w:sz="0" w:space="0" w:color="auto"/>
            <w:right w:val="none" w:sz="0" w:space="0" w:color="auto"/>
          </w:divBdr>
        </w:div>
        <w:div w:id="577906383">
          <w:marLeft w:val="0"/>
          <w:marRight w:val="0"/>
          <w:marTop w:val="0"/>
          <w:marBottom w:val="0"/>
          <w:divBdr>
            <w:top w:val="none" w:sz="0" w:space="0" w:color="auto"/>
            <w:left w:val="none" w:sz="0" w:space="0" w:color="auto"/>
            <w:bottom w:val="none" w:sz="0" w:space="0" w:color="auto"/>
            <w:right w:val="none" w:sz="0" w:space="0" w:color="auto"/>
          </w:divBdr>
        </w:div>
        <w:div w:id="1750425715">
          <w:marLeft w:val="0"/>
          <w:marRight w:val="0"/>
          <w:marTop w:val="0"/>
          <w:marBottom w:val="0"/>
          <w:divBdr>
            <w:top w:val="none" w:sz="0" w:space="0" w:color="auto"/>
            <w:left w:val="none" w:sz="0" w:space="0" w:color="auto"/>
            <w:bottom w:val="none" w:sz="0" w:space="0" w:color="auto"/>
            <w:right w:val="none" w:sz="0" w:space="0" w:color="auto"/>
          </w:divBdr>
        </w:div>
        <w:div w:id="1600945447">
          <w:marLeft w:val="0"/>
          <w:marRight w:val="0"/>
          <w:marTop w:val="0"/>
          <w:marBottom w:val="0"/>
          <w:divBdr>
            <w:top w:val="none" w:sz="0" w:space="0" w:color="auto"/>
            <w:left w:val="none" w:sz="0" w:space="0" w:color="auto"/>
            <w:bottom w:val="none" w:sz="0" w:space="0" w:color="auto"/>
            <w:right w:val="none" w:sz="0" w:space="0" w:color="auto"/>
          </w:divBdr>
        </w:div>
        <w:div w:id="2116975118">
          <w:marLeft w:val="0"/>
          <w:marRight w:val="0"/>
          <w:marTop w:val="0"/>
          <w:marBottom w:val="0"/>
          <w:divBdr>
            <w:top w:val="none" w:sz="0" w:space="0" w:color="auto"/>
            <w:left w:val="none" w:sz="0" w:space="0" w:color="auto"/>
            <w:bottom w:val="none" w:sz="0" w:space="0" w:color="auto"/>
            <w:right w:val="none" w:sz="0" w:space="0" w:color="auto"/>
          </w:divBdr>
        </w:div>
        <w:div w:id="205215095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
        <w:div w:id="15041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ukeof.org.uk/" TargetMode="External"/><Relationship Id="rId3" Type="http://schemas.openxmlformats.org/officeDocument/2006/relationships/hyperlink" Target="https://www.leru.org/publications/open-science-and-its-role-in-universities-a-roadmap-for-cultural-change" TargetMode="External"/><Relationship Id="rId7" Type="http://schemas.openxmlformats.org/officeDocument/2006/relationships/hyperlink" Target="https://osf.io/xpr2n/wiki/home" TargetMode="External"/><Relationship Id="rId2" Type="http://schemas.openxmlformats.org/officeDocument/2006/relationships/hyperlink" Target="https://ec.europa.eu/info/research-and-innovation/strategy/goals-research-and-innovation-policy/open-science_en" TargetMode="External"/><Relationship Id="rId1" Type="http://schemas.openxmlformats.org/officeDocument/2006/relationships/hyperlink" Target="https://www.ucl.ac.uk/research/sites/research/files/uclresearchstrategy2019_final.pdf" TargetMode="External"/><Relationship Id="rId6" Type="http://schemas.openxmlformats.org/officeDocument/2006/relationships/hyperlink" Target="https://www.ouvrirlascience.fr/passport-for-open-science-a-practical-guide-for-phd-students/" TargetMode="External"/><Relationship Id="rId5" Type="http://schemas.openxmlformats.org/officeDocument/2006/relationships/hyperlink" Target="https://www.leru.org/files/Implementing-open-science.pdf" TargetMode="External"/><Relationship Id="rId4" Type="http://schemas.openxmlformats.org/officeDocument/2006/relationships/hyperlink" Target="https://www.opengov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CD6C76DBA4384EAA311B3AA544F7FE" ma:contentTypeVersion="12" ma:contentTypeDescription="Create a new document." ma:contentTypeScope="" ma:versionID="aed55736c5c48df643023140647cc1d6">
  <xsd:schema xmlns:xsd="http://www.w3.org/2001/XMLSchema" xmlns:xs="http://www.w3.org/2001/XMLSchema" xmlns:p="http://schemas.microsoft.com/office/2006/metadata/properties" xmlns:ns3="1af07461-e017-472e-a15f-9e764d638875" xmlns:ns4="fe694d4b-117f-44e1-8719-6272be3fe32f" targetNamespace="http://schemas.microsoft.com/office/2006/metadata/properties" ma:root="true" ma:fieldsID="806a8aa6084e23a662515f6677d6fd13" ns3:_="" ns4:_="">
    <xsd:import namespace="1af07461-e017-472e-a15f-9e764d638875"/>
    <xsd:import namespace="fe694d4b-117f-44e1-8719-6272be3fe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7461-e017-472e-a15f-9e764d6388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94d4b-117f-44e1-8719-6272be3fe3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9A32C-E1F9-4888-9747-706216F2A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46A3F-C440-480F-82CE-193400712C7A}">
  <ds:schemaRefs>
    <ds:schemaRef ds:uri="http://schemas.openxmlformats.org/officeDocument/2006/bibliography"/>
  </ds:schemaRefs>
</ds:datastoreItem>
</file>

<file path=customXml/itemProps3.xml><?xml version="1.0" encoding="utf-8"?>
<ds:datastoreItem xmlns:ds="http://schemas.openxmlformats.org/officeDocument/2006/customXml" ds:itemID="{EB893294-86FB-43DE-8CF4-E9E993BFF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07461-e017-472e-a15f-9e764d638875"/>
    <ds:schemaRef ds:uri="fe694d4b-117f-44e1-8719-6272be3fe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4C0CC-42C8-4C78-8D4A-755A5984B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Wallis</dc:creator>
  <cp:keywords/>
  <dc:description/>
  <cp:lastModifiedBy>Carrington, Chris</cp:lastModifiedBy>
  <cp:revision>3</cp:revision>
  <dcterms:created xsi:type="dcterms:W3CDTF">2021-07-22T11:04:00Z</dcterms:created>
  <dcterms:modified xsi:type="dcterms:W3CDTF">2021-07-22T11:14:00Z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0x0101001ECD6C76DBA4384EAA311B3AA544F7FE</vt:lpwstr>
  </property>
</Properties>
</file>