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004" w:rsidRPr="00185464" w:rsidRDefault="00676004" w:rsidP="00676004">
      <w:pPr>
        <w:rPr>
          <w:rFonts w:ascii="Arial" w:eastAsiaTheme="minorEastAsia" w:hAnsi="Arial" w:cs="Arial"/>
          <w:noProof/>
          <w:sz w:val="24"/>
          <w:szCs w:val="24"/>
          <w:lang w:eastAsia="en-GB"/>
        </w:rPr>
      </w:pPr>
      <w:r w:rsidRPr="00185464">
        <w:rPr>
          <w:rFonts w:ascii="Arial" w:eastAsiaTheme="minorEastAsia" w:hAnsi="Arial" w:cs="Arial"/>
          <w:noProof/>
          <w:sz w:val="24"/>
          <w:szCs w:val="24"/>
          <w:lang w:eastAsia="en-GB"/>
        </w:rPr>
        <w:t>Queen Square Library</w:t>
      </w:r>
    </w:p>
    <w:p w:rsidR="00676004" w:rsidRPr="00185464" w:rsidRDefault="00676004" w:rsidP="00676004">
      <w:pPr>
        <w:rPr>
          <w:rFonts w:ascii="Arial" w:eastAsiaTheme="minorEastAsia" w:hAnsi="Arial" w:cs="Arial"/>
          <w:noProof/>
          <w:sz w:val="24"/>
          <w:szCs w:val="24"/>
          <w:lang w:eastAsia="en-GB"/>
        </w:rPr>
      </w:pPr>
      <w:r w:rsidRPr="00185464">
        <w:rPr>
          <w:rFonts w:ascii="Arial" w:eastAsiaTheme="minorEastAsia" w:hAnsi="Arial" w:cs="Arial"/>
          <w:noProof/>
          <w:sz w:val="24"/>
          <w:szCs w:val="24"/>
          <w:lang w:eastAsia="en-GB"/>
        </w:rPr>
        <w:t xml:space="preserve">UCL Institute of Neurology &amp; The National Hospital for Neurology &amp; Neurosurgery (UCLH) </w:t>
      </w:r>
    </w:p>
    <w:p w:rsidR="00676004" w:rsidRPr="00185464" w:rsidRDefault="00676004" w:rsidP="00676004">
      <w:pPr>
        <w:tabs>
          <w:tab w:val="left" w:pos="-1440"/>
          <w:tab w:val="left" w:pos="-720"/>
          <w:tab w:val="left" w:pos="1440"/>
        </w:tabs>
        <w:suppressAutoHyphens/>
        <w:rPr>
          <w:rFonts w:ascii="Arial" w:hAnsi="Arial" w:cs="Arial"/>
          <w:b/>
          <w:sz w:val="24"/>
          <w:szCs w:val="24"/>
        </w:rPr>
      </w:pPr>
    </w:p>
    <w:p w:rsidR="00676004" w:rsidRPr="00185464" w:rsidRDefault="00676004" w:rsidP="00676004">
      <w:pPr>
        <w:tabs>
          <w:tab w:val="left" w:pos="-1440"/>
          <w:tab w:val="left" w:pos="-720"/>
          <w:tab w:val="left" w:pos="1440"/>
        </w:tabs>
        <w:suppressAutoHyphens/>
        <w:rPr>
          <w:rFonts w:ascii="Arial" w:hAnsi="Arial" w:cs="Arial"/>
          <w:b/>
          <w:sz w:val="24"/>
          <w:szCs w:val="24"/>
        </w:rPr>
      </w:pPr>
      <w:proofErr w:type="gramStart"/>
      <w:r w:rsidRPr="00185464">
        <w:rPr>
          <w:rFonts w:ascii="Arial" w:hAnsi="Arial" w:cs="Arial"/>
          <w:b/>
          <w:sz w:val="24"/>
          <w:szCs w:val="24"/>
        </w:rPr>
        <w:t>Collection development, selection, retention and disposal policy.</w:t>
      </w:r>
      <w:proofErr w:type="gramEnd"/>
      <w:r w:rsidRPr="00185464">
        <w:rPr>
          <w:rFonts w:ascii="Arial" w:hAnsi="Arial" w:cs="Arial"/>
          <w:b/>
          <w:sz w:val="24"/>
          <w:szCs w:val="24"/>
        </w:rPr>
        <w:t xml:space="preserve"> </w:t>
      </w:r>
      <w:r w:rsidRPr="00185464">
        <w:rPr>
          <w:rFonts w:ascii="Arial" w:hAnsi="Arial" w:cs="Arial"/>
          <w:b/>
          <w:sz w:val="24"/>
          <w:szCs w:val="24"/>
        </w:rPr>
        <w:br/>
      </w:r>
      <w:r w:rsidR="00D407D2">
        <w:rPr>
          <w:rFonts w:ascii="Arial" w:hAnsi="Arial" w:cs="Arial"/>
          <w:sz w:val="24"/>
          <w:szCs w:val="24"/>
        </w:rPr>
        <w:t>September</w:t>
      </w:r>
      <w:r w:rsidRPr="00185464">
        <w:rPr>
          <w:rFonts w:ascii="Arial" w:hAnsi="Arial" w:cs="Arial"/>
          <w:sz w:val="24"/>
          <w:szCs w:val="24"/>
        </w:rPr>
        <w:t xml:space="preserve"> 2014</w:t>
      </w:r>
      <w:r w:rsidRPr="00185464">
        <w:rPr>
          <w:rFonts w:ascii="Arial" w:hAnsi="Arial" w:cs="Arial"/>
          <w:b/>
          <w:sz w:val="24"/>
          <w:szCs w:val="24"/>
        </w:rPr>
        <w:t xml:space="preserve"> </w:t>
      </w:r>
    </w:p>
    <w:p w:rsidR="008774A9" w:rsidRPr="00185464" w:rsidRDefault="008774A9">
      <w:pPr>
        <w:rPr>
          <w:sz w:val="24"/>
          <w:szCs w:val="24"/>
        </w:rPr>
      </w:pPr>
    </w:p>
    <w:p w:rsidR="00676004" w:rsidRPr="004C055B" w:rsidRDefault="00676004" w:rsidP="00676004">
      <w:pPr>
        <w:tabs>
          <w:tab w:val="left" w:pos="-1440"/>
          <w:tab w:val="left" w:pos="-720"/>
          <w:tab w:val="left" w:pos="1440"/>
        </w:tabs>
        <w:suppressAutoHyphens/>
        <w:jc w:val="both"/>
        <w:rPr>
          <w:rFonts w:ascii="Arial" w:hAnsi="Arial"/>
          <w:color w:val="000000" w:themeColor="text1"/>
          <w:sz w:val="24"/>
          <w:szCs w:val="24"/>
        </w:rPr>
      </w:pPr>
      <w:r w:rsidRPr="00185464">
        <w:rPr>
          <w:rFonts w:ascii="Arial" w:hAnsi="Arial"/>
          <w:sz w:val="24"/>
          <w:szCs w:val="24"/>
        </w:rPr>
        <w:t xml:space="preserve">This policy covers the materials and resources the library aims to obtain and provide access to, and the print materials the library will retain on a long-term basis.  </w:t>
      </w:r>
      <w:r w:rsidR="00121817" w:rsidRPr="00185464">
        <w:rPr>
          <w:rFonts w:ascii="Arial" w:hAnsi="Arial"/>
          <w:sz w:val="24"/>
          <w:szCs w:val="24"/>
        </w:rPr>
        <w:t xml:space="preserve"> </w:t>
      </w:r>
      <w:r w:rsidR="00121817" w:rsidRPr="004C055B">
        <w:rPr>
          <w:rFonts w:ascii="Arial" w:hAnsi="Arial"/>
          <w:color w:val="000000" w:themeColor="text1"/>
          <w:sz w:val="24"/>
          <w:szCs w:val="24"/>
        </w:rPr>
        <w:t xml:space="preserve">Please see separate policy on Queen Square Archives. </w:t>
      </w:r>
    </w:p>
    <w:p w:rsidR="00676004" w:rsidRPr="00185464" w:rsidRDefault="00676004" w:rsidP="00676004">
      <w:pPr>
        <w:tabs>
          <w:tab w:val="left" w:pos="-1440"/>
          <w:tab w:val="left" w:pos="-720"/>
          <w:tab w:val="left" w:pos="1440"/>
        </w:tabs>
        <w:suppressAutoHyphens/>
        <w:jc w:val="both"/>
        <w:rPr>
          <w:rFonts w:ascii="Arial" w:hAnsi="Arial"/>
          <w:sz w:val="24"/>
          <w:szCs w:val="24"/>
        </w:rPr>
      </w:pPr>
    </w:p>
    <w:p w:rsidR="00676004" w:rsidRPr="00185464" w:rsidRDefault="00676004" w:rsidP="00676004">
      <w:pPr>
        <w:tabs>
          <w:tab w:val="left" w:pos="-1440"/>
          <w:tab w:val="left" w:pos="-720"/>
          <w:tab w:val="left" w:pos="1440"/>
        </w:tabs>
        <w:suppressAutoHyphens/>
        <w:jc w:val="both"/>
        <w:rPr>
          <w:rFonts w:ascii="Arial" w:hAnsi="Arial"/>
          <w:sz w:val="24"/>
          <w:szCs w:val="24"/>
        </w:rPr>
      </w:pPr>
      <w:r w:rsidRPr="00185464">
        <w:rPr>
          <w:rFonts w:ascii="Arial" w:hAnsi="Arial"/>
          <w:sz w:val="24"/>
          <w:szCs w:val="24"/>
        </w:rPr>
        <w:t>The Library contains one of the best collections of neurology and neuroscience books, monographs and journals</w:t>
      </w:r>
      <w:r w:rsidR="00121817" w:rsidRPr="00185464">
        <w:rPr>
          <w:rFonts w:ascii="Arial" w:hAnsi="Arial"/>
          <w:sz w:val="24"/>
          <w:szCs w:val="24"/>
        </w:rPr>
        <w:t xml:space="preserve"> </w:t>
      </w:r>
      <w:r w:rsidR="00121817" w:rsidRPr="004C055B">
        <w:rPr>
          <w:rFonts w:ascii="Arial" w:hAnsi="Arial"/>
          <w:color w:val="000000" w:themeColor="text1"/>
          <w:sz w:val="24"/>
          <w:szCs w:val="24"/>
        </w:rPr>
        <w:t>in the world</w:t>
      </w:r>
      <w:r w:rsidRPr="00185464">
        <w:rPr>
          <w:rFonts w:ascii="Arial" w:hAnsi="Arial"/>
          <w:sz w:val="24"/>
          <w:szCs w:val="24"/>
        </w:rPr>
        <w:t xml:space="preserve">.  The strength of the collection is recognised within the University of London, the wider library and research communities, and by the British Library.  As part of the </w:t>
      </w:r>
      <w:proofErr w:type="spellStart"/>
      <w:r w:rsidRPr="00185464">
        <w:rPr>
          <w:rFonts w:ascii="Arial" w:hAnsi="Arial"/>
          <w:color w:val="000000" w:themeColor="text1"/>
          <w:sz w:val="24"/>
          <w:szCs w:val="24"/>
        </w:rPr>
        <w:t>Wellcome</w:t>
      </w:r>
      <w:proofErr w:type="spellEnd"/>
      <w:r w:rsidRPr="00185464">
        <w:rPr>
          <w:rFonts w:ascii="Arial" w:hAnsi="Arial"/>
          <w:color w:val="000000" w:themeColor="text1"/>
          <w:sz w:val="24"/>
          <w:szCs w:val="24"/>
        </w:rPr>
        <w:t xml:space="preserve"> Trust Mapping Medicine project</w:t>
      </w:r>
      <w:r w:rsidRPr="00185464">
        <w:rPr>
          <w:rFonts w:ascii="Arial" w:hAnsi="Arial"/>
          <w:sz w:val="24"/>
          <w:szCs w:val="24"/>
        </w:rPr>
        <w:t>, the 20</w:t>
      </w:r>
      <w:r w:rsidRPr="00185464">
        <w:rPr>
          <w:rFonts w:ascii="Arial" w:hAnsi="Arial"/>
          <w:sz w:val="24"/>
          <w:szCs w:val="24"/>
          <w:vertAlign w:val="superscript"/>
        </w:rPr>
        <w:t>th</w:t>
      </w:r>
      <w:r w:rsidRPr="00185464">
        <w:rPr>
          <w:rFonts w:ascii="Arial" w:hAnsi="Arial"/>
          <w:sz w:val="24"/>
          <w:szCs w:val="24"/>
        </w:rPr>
        <w:t xml:space="preserve"> Century book collection was compared with a number of Library collections in London and identified as 92% unique.</w:t>
      </w:r>
    </w:p>
    <w:p w:rsidR="00676004" w:rsidRPr="00185464" w:rsidRDefault="00676004" w:rsidP="00676004">
      <w:pPr>
        <w:tabs>
          <w:tab w:val="left" w:pos="-1440"/>
          <w:tab w:val="left" w:pos="-720"/>
          <w:tab w:val="left" w:pos="1440"/>
        </w:tabs>
        <w:suppressAutoHyphens/>
        <w:jc w:val="both"/>
        <w:rPr>
          <w:rFonts w:ascii="Arial" w:hAnsi="Arial"/>
          <w:sz w:val="24"/>
          <w:szCs w:val="24"/>
        </w:rPr>
      </w:pPr>
    </w:p>
    <w:p w:rsidR="00676004" w:rsidRPr="00185464" w:rsidRDefault="00676004" w:rsidP="00676004">
      <w:pPr>
        <w:tabs>
          <w:tab w:val="left" w:pos="-1440"/>
          <w:tab w:val="left" w:pos="-720"/>
          <w:tab w:val="left" w:pos="1440"/>
        </w:tabs>
        <w:suppressAutoHyphens/>
        <w:jc w:val="both"/>
        <w:rPr>
          <w:rFonts w:ascii="Arial" w:hAnsi="Arial"/>
          <w:sz w:val="24"/>
          <w:szCs w:val="24"/>
        </w:rPr>
      </w:pPr>
      <w:r w:rsidRPr="00185464">
        <w:rPr>
          <w:rFonts w:ascii="Arial" w:hAnsi="Arial"/>
          <w:sz w:val="24"/>
          <w:szCs w:val="24"/>
        </w:rPr>
        <w:t>The Library actively co-operates with other Libraries within UCL and the University of London, the British Library, participates in a number of co-operative document delivery schemes, and is a national and international source of reference in the core subject areas.</w:t>
      </w:r>
    </w:p>
    <w:p w:rsidR="00676004" w:rsidRPr="00185464" w:rsidRDefault="00676004" w:rsidP="00676004">
      <w:pPr>
        <w:tabs>
          <w:tab w:val="left" w:pos="-1440"/>
          <w:tab w:val="left" w:pos="-720"/>
          <w:tab w:val="left" w:pos="1440"/>
        </w:tabs>
        <w:suppressAutoHyphens/>
        <w:jc w:val="both"/>
        <w:rPr>
          <w:rFonts w:ascii="Arial" w:hAnsi="Arial"/>
          <w:sz w:val="24"/>
          <w:szCs w:val="24"/>
        </w:rPr>
      </w:pPr>
    </w:p>
    <w:p w:rsidR="00676004" w:rsidRPr="00185464" w:rsidRDefault="00676004" w:rsidP="00676004">
      <w:pPr>
        <w:tabs>
          <w:tab w:val="left" w:pos="-1440"/>
          <w:tab w:val="left" w:pos="-720"/>
          <w:tab w:val="left" w:pos="1440"/>
        </w:tabs>
        <w:suppressAutoHyphens/>
        <w:jc w:val="both"/>
        <w:rPr>
          <w:rFonts w:ascii="Arial" w:hAnsi="Arial"/>
          <w:sz w:val="24"/>
          <w:szCs w:val="24"/>
        </w:rPr>
      </w:pPr>
      <w:r w:rsidRPr="00185464">
        <w:rPr>
          <w:rFonts w:ascii="Arial" w:hAnsi="Arial"/>
          <w:sz w:val="24"/>
          <w:szCs w:val="24"/>
        </w:rPr>
        <w:t xml:space="preserve">The Library receives funding from the National Hospital for Neurology &amp; Neurosurgery (UCLH NHS Foundation Trust) and the Institute of Neurology (UCL) to provide services to all staff and students. The Library also provides free borrowing access to all other staff and students of UCL and UCLH and to  a number of NHS Trusts covered by a formal SLA, these include Great Ormond Street, Royal Free, </w:t>
      </w:r>
      <w:proofErr w:type="spellStart"/>
      <w:r w:rsidRPr="00185464">
        <w:rPr>
          <w:rFonts w:ascii="Arial" w:hAnsi="Arial"/>
          <w:sz w:val="24"/>
          <w:szCs w:val="24"/>
        </w:rPr>
        <w:t>Moorfields</w:t>
      </w:r>
      <w:proofErr w:type="spellEnd"/>
      <w:r w:rsidRPr="00185464">
        <w:rPr>
          <w:rFonts w:ascii="Arial" w:hAnsi="Arial"/>
          <w:sz w:val="24"/>
          <w:szCs w:val="24"/>
        </w:rPr>
        <w:t>, Eastman Dental and the Royal National Orthopaedic Hospital, as well as to a range of neurology related charities. Free reference access is provided to the wider research and clinical communities</w:t>
      </w:r>
      <w:r w:rsidR="00121817" w:rsidRPr="00185464">
        <w:rPr>
          <w:rFonts w:ascii="Arial" w:hAnsi="Arial"/>
          <w:color w:val="FF0000"/>
          <w:sz w:val="24"/>
          <w:szCs w:val="24"/>
        </w:rPr>
        <w:t xml:space="preserve">, </w:t>
      </w:r>
      <w:r w:rsidRPr="00185464">
        <w:rPr>
          <w:rFonts w:ascii="Arial" w:hAnsi="Arial"/>
          <w:sz w:val="24"/>
          <w:szCs w:val="24"/>
        </w:rPr>
        <w:t xml:space="preserve">and to others demonstrating a need to access the highly specialist resources, archives and services. </w:t>
      </w:r>
    </w:p>
    <w:p w:rsidR="00676004" w:rsidRPr="00185464" w:rsidRDefault="00676004" w:rsidP="00676004">
      <w:pPr>
        <w:tabs>
          <w:tab w:val="left" w:pos="-1440"/>
          <w:tab w:val="left" w:pos="-720"/>
          <w:tab w:val="left" w:pos="1440"/>
        </w:tabs>
        <w:suppressAutoHyphens/>
        <w:jc w:val="both"/>
        <w:rPr>
          <w:rFonts w:ascii="Arial" w:hAnsi="Arial"/>
          <w:sz w:val="24"/>
          <w:szCs w:val="24"/>
        </w:rPr>
      </w:pPr>
    </w:p>
    <w:p w:rsidR="00676004" w:rsidRPr="00185464" w:rsidRDefault="00121817" w:rsidP="00676004">
      <w:pPr>
        <w:tabs>
          <w:tab w:val="left" w:pos="-1440"/>
          <w:tab w:val="left" w:pos="-720"/>
          <w:tab w:val="left" w:pos="1440"/>
        </w:tabs>
        <w:suppressAutoHyphens/>
        <w:jc w:val="both"/>
        <w:rPr>
          <w:rFonts w:ascii="Arial" w:hAnsi="Arial"/>
          <w:b/>
          <w:color w:val="000000" w:themeColor="text1"/>
          <w:sz w:val="24"/>
          <w:szCs w:val="24"/>
          <w:u w:val="single"/>
        </w:rPr>
      </w:pPr>
      <w:r w:rsidRPr="00185464">
        <w:rPr>
          <w:rFonts w:ascii="Arial" w:hAnsi="Arial"/>
          <w:b/>
          <w:color w:val="000000" w:themeColor="text1"/>
          <w:sz w:val="24"/>
          <w:szCs w:val="24"/>
          <w:u w:val="single"/>
        </w:rPr>
        <w:t>Core Subject areas</w:t>
      </w:r>
    </w:p>
    <w:p w:rsidR="00676004" w:rsidRPr="00185464" w:rsidRDefault="00676004" w:rsidP="00676004">
      <w:pPr>
        <w:tabs>
          <w:tab w:val="left" w:pos="-1440"/>
          <w:tab w:val="left" w:pos="-720"/>
          <w:tab w:val="left" w:pos="1440"/>
        </w:tabs>
        <w:suppressAutoHyphens/>
        <w:jc w:val="both"/>
        <w:rPr>
          <w:rFonts w:ascii="Arial" w:hAnsi="Arial"/>
          <w:b/>
          <w:sz w:val="24"/>
          <w:szCs w:val="24"/>
          <w:u w:val="single"/>
        </w:rPr>
      </w:pPr>
    </w:p>
    <w:p w:rsidR="00676004" w:rsidRPr="00185464" w:rsidRDefault="00676004" w:rsidP="00676004">
      <w:pPr>
        <w:numPr>
          <w:ilvl w:val="0"/>
          <w:numId w:val="5"/>
        </w:numPr>
        <w:tabs>
          <w:tab w:val="left" w:pos="-1440"/>
          <w:tab w:val="left" w:pos="-720"/>
          <w:tab w:val="left" w:pos="1440"/>
        </w:tabs>
        <w:suppressAutoHyphens/>
        <w:jc w:val="both"/>
        <w:rPr>
          <w:rFonts w:ascii="Arial" w:hAnsi="Arial"/>
          <w:sz w:val="24"/>
          <w:szCs w:val="24"/>
        </w:rPr>
      </w:pPr>
      <w:r w:rsidRPr="00185464">
        <w:rPr>
          <w:rFonts w:ascii="Arial" w:hAnsi="Arial"/>
          <w:sz w:val="24"/>
          <w:szCs w:val="24"/>
        </w:rPr>
        <w:t>Clinical Neurology (all aspects including specific disorders, diagnosis, rehabilitation and therapy etc.)</w:t>
      </w:r>
    </w:p>
    <w:p w:rsidR="00676004" w:rsidRPr="00185464" w:rsidRDefault="00676004" w:rsidP="00676004">
      <w:pPr>
        <w:numPr>
          <w:ilvl w:val="0"/>
          <w:numId w:val="5"/>
        </w:numPr>
        <w:tabs>
          <w:tab w:val="left" w:pos="-1440"/>
          <w:tab w:val="left" w:pos="-720"/>
          <w:tab w:val="left" w:pos="1440"/>
        </w:tabs>
        <w:suppressAutoHyphens/>
        <w:jc w:val="both"/>
        <w:rPr>
          <w:rFonts w:ascii="Arial" w:hAnsi="Arial"/>
          <w:sz w:val="24"/>
          <w:szCs w:val="24"/>
        </w:rPr>
      </w:pPr>
      <w:r w:rsidRPr="00185464">
        <w:rPr>
          <w:rFonts w:ascii="Arial" w:hAnsi="Arial"/>
          <w:sz w:val="24"/>
          <w:szCs w:val="24"/>
        </w:rPr>
        <w:t>Neurosurgery</w:t>
      </w:r>
    </w:p>
    <w:p w:rsidR="00676004" w:rsidRPr="00185464" w:rsidRDefault="00676004" w:rsidP="00676004">
      <w:pPr>
        <w:numPr>
          <w:ilvl w:val="0"/>
          <w:numId w:val="5"/>
        </w:numPr>
        <w:tabs>
          <w:tab w:val="left" w:pos="-1440"/>
          <w:tab w:val="left" w:pos="-720"/>
          <w:tab w:val="left" w:pos="1440"/>
        </w:tabs>
        <w:suppressAutoHyphens/>
        <w:jc w:val="both"/>
        <w:rPr>
          <w:rFonts w:ascii="Arial" w:hAnsi="Arial"/>
          <w:sz w:val="24"/>
          <w:szCs w:val="24"/>
        </w:rPr>
      </w:pPr>
      <w:r w:rsidRPr="00185464">
        <w:rPr>
          <w:rFonts w:ascii="Arial" w:hAnsi="Arial"/>
          <w:sz w:val="24"/>
          <w:szCs w:val="24"/>
        </w:rPr>
        <w:t>Neuroscience (all aspects including physiology, human anatomy, comparative anatomy, cytology, immunology, endocrinology etc.)</w:t>
      </w:r>
    </w:p>
    <w:p w:rsidR="00676004" w:rsidRPr="00185464" w:rsidRDefault="00676004" w:rsidP="00676004">
      <w:pPr>
        <w:numPr>
          <w:ilvl w:val="0"/>
          <w:numId w:val="5"/>
        </w:numPr>
        <w:tabs>
          <w:tab w:val="left" w:pos="-1440"/>
          <w:tab w:val="left" w:pos="-720"/>
          <w:tab w:val="left" w:pos="1440"/>
        </w:tabs>
        <w:suppressAutoHyphens/>
        <w:jc w:val="both"/>
        <w:rPr>
          <w:rFonts w:ascii="Arial" w:hAnsi="Arial"/>
          <w:sz w:val="24"/>
          <w:szCs w:val="24"/>
        </w:rPr>
      </w:pPr>
      <w:r w:rsidRPr="00185464">
        <w:rPr>
          <w:rFonts w:ascii="Arial" w:hAnsi="Arial"/>
          <w:sz w:val="24"/>
          <w:szCs w:val="24"/>
        </w:rPr>
        <w:t>Neuropsychology</w:t>
      </w:r>
    </w:p>
    <w:p w:rsidR="00676004" w:rsidRPr="00185464" w:rsidRDefault="00676004" w:rsidP="00676004">
      <w:pPr>
        <w:numPr>
          <w:ilvl w:val="0"/>
          <w:numId w:val="5"/>
        </w:numPr>
        <w:tabs>
          <w:tab w:val="left" w:pos="-1440"/>
          <w:tab w:val="left" w:pos="-720"/>
          <w:tab w:val="left" w:pos="1440"/>
        </w:tabs>
        <w:suppressAutoHyphens/>
        <w:jc w:val="both"/>
        <w:rPr>
          <w:rFonts w:ascii="Arial" w:hAnsi="Arial"/>
          <w:sz w:val="24"/>
          <w:szCs w:val="24"/>
        </w:rPr>
      </w:pPr>
      <w:r w:rsidRPr="00185464">
        <w:rPr>
          <w:rFonts w:ascii="Arial" w:hAnsi="Arial"/>
          <w:sz w:val="24"/>
          <w:szCs w:val="24"/>
        </w:rPr>
        <w:t>Neuropsychiatry</w:t>
      </w:r>
    </w:p>
    <w:p w:rsidR="00676004" w:rsidRPr="00185464" w:rsidRDefault="00676004" w:rsidP="00676004">
      <w:pPr>
        <w:numPr>
          <w:ilvl w:val="0"/>
          <w:numId w:val="5"/>
        </w:numPr>
        <w:tabs>
          <w:tab w:val="left" w:pos="-1440"/>
          <w:tab w:val="left" w:pos="-720"/>
          <w:tab w:val="left" w:pos="1440"/>
        </w:tabs>
        <w:suppressAutoHyphens/>
        <w:jc w:val="both"/>
        <w:rPr>
          <w:rFonts w:ascii="Arial" w:hAnsi="Arial"/>
          <w:sz w:val="24"/>
          <w:szCs w:val="24"/>
        </w:rPr>
      </w:pPr>
      <w:r w:rsidRPr="00185464">
        <w:rPr>
          <w:rFonts w:ascii="Arial" w:hAnsi="Arial"/>
          <w:sz w:val="24"/>
          <w:szCs w:val="24"/>
        </w:rPr>
        <w:t>Neuroimaging</w:t>
      </w:r>
    </w:p>
    <w:p w:rsidR="00676004" w:rsidRPr="00185464" w:rsidRDefault="00676004" w:rsidP="00676004">
      <w:pPr>
        <w:tabs>
          <w:tab w:val="left" w:pos="-1440"/>
          <w:tab w:val="left" w:pos="-720"/>
          <w:tab w:val="left" w:pos="1440"/>
        </w:tabs>
        <w:suppressAutoHyphens/>
        <w:jc w:val="both"/>
        <w:rPr>
          <w:rFonts w:ascii="Arial" w:hAnsi="Arial"/>
          <w:sz w:val="24"/>
          <w:szCs w:val="24"/>
        </w:rPr>
      </w:pPr>
    </w:p>
    <w:p w:rsidR="00185464" w:rsidRDefault="00185464" w:rsidP="00185464">
      <w:pPr>
        <w:rPr>
          <w:rFonts w:ascii="Arial" w:hAnsi="Arial" w:cs="Arial"/>
          <w:sz w:val="24"/>
          <w:szCs w:val="24"/>
        </w:rPr>
      </w:pPr>
      <w:r w:rsidRPr="00185464">
        <w:rPr>
          <w:rFonts w:ascii="Arial" w:hAnsi="Arial" w:cs="Arial"/>
          <w:sz w:val="24"/>
          <w:szCs w:val="24"/>
        </w:rPr>
        <w:t>The collection excels in research</w:t>
      </w:r>
      <w:r w:rsidR="004C055B">
        <w:rPr>
          <w:rFonts w:ascii="Arial" w:hAnsi="Arial" w:cs="Arial"/>
          <w:sz w:val="24"/>
          <w:szCs w:val="24"/>
        </w:rPr>
        <w:t xml:space="preserve"> materials, </w:t>
      </w:r>
      <w:r w:rsidR="004C055B" w:rsidRPr="004C055B">
        <w:rPr>
          <w:rFonts w:ascii="Arial" w:hAnsi="Arial" w:cs="Arial"/>
          <w:color w:val="000000"/>
          <w:sz w:val="24"/>
          <w:szCs w:val="24"/>
        </w:rPr>
        <w:t xml:space="preserve">reflecting </w:t>
      </w:r>
      <w:r w:rsidR="004C055B">
        <w:rPr>
          <w:rFonts w:ascii="Arial" w:hAnsi="Arial" w:cs="Arial"/>
          <w:color w:val="000000"/>
          <w:sz w:val="24"/>
          <w:szCs w:val="24"/>
        </w:rPr>
        <w:t>Institute</w:t>
      </w:r>
      <w:r w:rsidR="004C055B" w:rsidRPr="004C055B">
        <w:rPr>
          <w:rFonts w:ascii="Arial" w:hAnsi="Arial" w:cs="Arial"/>
          <w:color w:val="000000"/>
          <w:sz w:val="24"/>
          <w:szCs w:val="24"/>
        </w:rPr>
        <w:t xml:space="preserve"> research priorities</w:t>
      </w:r>
      <w:r w:rsidRPr="00185464">
        <w:rPr>
          <w:rFonts w:ascii="Arial" w:hAnsi="Arial" w:cs="Arial"/>
          <w:sz w:val="24"/>
          <w:szCs w:val="24"/>
        </w:rPr>
        <w:t xml:space="preserve"> </w:t>
      </w:r>
      <w:r w:rsidR="004C055B">
        <w:rPr>
          <w:rFonts w:ascii="Arial" w:hAnsi="Arial" w:cs="Arial"/>
          <w:sz w:val="24"/>
          <w:szCs w:val="24"/>
        </w:rPr>
        <w:t xml:space="preserve">including neurodegeneration and dementia, movement disorders and motor physiology, and MS, as well as </w:t>
      </w:r>
      <w:r w:rsidRPr="00185464">
        <w:rPr>
          <w:rFonts w:ascii="Arial" w:hAnsi="Arial" w:cs="Arial"/>
          <w:sz w:val="24"/>
          <w:szCs w:val="24"/>
        </w:rPr>
        <w:t>clinical materials</w:t>
      </w:r>
      <w:r w:rsidR="004C055B">
        <w:rPr>
          <w:rFonts w:ascii="Arial" w:hAnsi="Arial" w:cs="Arial"/>
          <w:sz w:val="24"/>
          <w:szCs w:val="24"/>
        </w:rPr>
        <w:t xml:space="preserve"> supporting sub-specialties at NHNN,</w:t>
      </w:r>
      <w:r w:rsidRPr="00185464">
        <w:rPr>
          <w:rFonts w:ascii="Arial" w:hAnsi="Arial" w:cs="Arial"/>
          <w:sz w:val="24"/>
          <w:szCs w:val="24"/>
        </w:rPr>
        <w:t xml:space="preserve"> and it is strong in teaching material actively supporting the postgraduate level.</w:t>
      </w:r>
    </w:p>
    <w:p w:rsidR="004C055B" w:rsidRDefault="004C055B" w:rsidP="00185464">
      <w:pPr>
        <w:rPr>
          <w:rFonts w:ascii="Arial" w:hAnsi="Arial" w:cs="Arial"/>
          <w:sz w:val="24"/>
          <w:szCs w:val="24"/>
        </w:rPr>
      </w:pPr>
    </w:p>
    <w:p w:rsidR="00676004" w:rsidRPr="00185464" w:rsidRDefault="00676004" w:rsidP="00676004">
      <w:pPr>
        <w:tabs>
          <w:tab w:val="left" w:pos="-1440"/>
          <w:tab w:val="left" w:pos="-720"/>
          <w:tab w:val="left" w:pos="1440"/>
        </w:tabs>
        <w:suppressAutoHyphens/>
        <w:jc w:val="both"/>
        <w:rPr>
          <w:rFonts w:ascii="Arial" w:hAnsi="Arial"/>
          <w:b/>
          <w:color w:val="000000" w:themeColor="text1"/>
          <w:sz w:val="24"/>
          <w:szCs w:val="24"/>
          <w:u w:val="single"/>
        </w:rPr>
      </w:pPr>
      <w:r w:rsidRPr="00185464">
        <w:rPr>
          <w:rFonts w:ascii="Arial" w:hAnsi="Arial"/>
          <w:b/>
          <w:sz w:val="24"/>
          <w:szCs w:val="24"/>
          <w:u w:val="single"/>
        </w:rPr>
        <w:lastRenderedPageBreak/>
        <w:t>Book</w:t>
      </w:r>
      <w:r w:rsidR="006F1FB5" w:rsidRPr="00185464">
        <w:rPr>
          <w:rFonts w:ascii="Arial" w:hAnsi="Arial"/>
          <w:b/>
          <w:sz w:val="24"/>
          <w:szCs w:val="24"/>
          <w:u w:val="single"/>
        </w:rPr>
        <w:t xml:space="preserve"> – </w:t>
      </w:r>
      <w:r w:rsidR="00121817" w:rsidRPr="00185464">
        <w:rPr>
          <w:rFonts w:ascii="Arial" w:hAnsi="Arial"/>
          <w:b/>
          <w:sz w:val="24"/>
          <w:szCs w:val="24"/>
          <w:u w:val="single"/>
        </w:rPr>
        <w:t>(</w:t>
      </w:r>
      <w:r w:rsidR="00121817" w:rsidRPr="00185464">
        <w:rPr>
          <w:rFonts w:ascii="Arial" w:hAnsi="Arial"/>
          <w:b/>
          <w:color w:val="000000" w:themeColor="text1"/>
          <w:sz w:val="24"/>
          <w:szCs w:val="24"/>
          <w:u w:val="single"/>
        </w:rPr>
        <w:t>print and electronic)</w:t>
      </w:r>
    </w:p>
    <w:p w:rsidR="00676004" w:rsidRPr="00185464" w:rsidRDefault="00676004" w:rsidP="00676004">
      <w:pPr>
        <w:tabs>
          <w:tab w:val="left" w:pos="-1440"/>
          <w:tab w:val="left" w:pos="-720"/>
          <w:tab w:val="left" w:pos="1440"/>
        </w:tabs>
        <w:suppressAutoHyphens/>
        <w:jc w:val="both"/>
        <w:rPr>
          <w:rFonts w:ascii="Arial" w:hAnsi="Arial"/>
          <w:b/>
          <w:sz w:val="24"/>
          <w:szCs w:val="24"/>
        </w:rPr>
      </w:pPr>
    </w:p>
    <w:p w:rsidR="00676004" w:rsidRPr="00185464" w:rsidRDefault="00676004" w:rsidP="00676004">
      <w:pPr>
        <w:tabs>
          <w:tab w:val="left" w:pos="-1440"/>
          <w:tab w:val="left" w:pos="-720"/>
          <w:tab w:val="left" w:pos="1440"/>
        </w:tabs>
        <w:suppressAutoHyphens/>
        <w:ind w:left="360"/>
        <w:jc w:val="both"/>
        <w:rPr>
          <w:rFonts w:ascii="Arial" w:hAnsi="Arial"/>
          <w:b/>
          <w:sz w:val="24"/>
          <w:szCs w:val="24"/>
        </w:rPr>
      </w:pPr>
      <w:r w:rsidRPr="00185464">
        <w:rPr>
          <w:rFonts w:ascii="Arial" w:hAnsi="Arial"/>
          <w:b/>
          <w:sz w:val="24"/>
          <w:szCs w:val="24"/>
        </w:rPr>
        <w:t>Selection and acceptance policy</w:t>
      </w:r>
      <w:r w:rsidRPr="00185464">
        <w:rPr>
          <w:rFonts w:ascii="Arial" w:hAnsi="Arial"/>
          <w:sz w:val="24"/>
          <w:szCs w:val="24"/>
        </w:rPr>
        <w:t xml:space="preserve"> - within the confines of the budget (and resource implications for donations):</w:t>
      </w:r>
    </w:p>
    <w:p w:rsidR="00676004" w:rsidRPr="00185464" w:rsidRDefault="00676004" w:rsidP="00676004">
      <w:pPr>
        <w:numPr>
          <w:ilvl w:val="0"/>
          <w:numId w:val="1"/>
        </w:numPr>
        <w:tabs>
          <w:tab w:val="left" w:pos="-1440"/>
          <w:tab w:val="left" w:pos="-720"/>
          <w:tab w:val="left" w:pos="1440"/>
        </w:tabs>
        <w:suppressAutoHyphens/>
        <w:jc w:val="both"/>
        <w:rPr>
          <w:rFonts w:ascii="Arial" w:hAnsi="Arial"/>
          <w:b/>
          <w:sz w:val="24"/>
          <w:szCs w:val="24"/>
        </w:rPr>
      </w:pPr>
      <w:proofErr w:type="gramStart"/>
      <w:r w:rsidRPr="00185464">
        <w:rPr>
          <w:rFonts w:ascii="Arial" w:hAnsi="Arial"/>
          <w:sz w:val="24"/>
          <w:szCs w:val="24"/>
        </w:rPr>
        <w:t>the</w:t>
      </w:r>
      <w:proofErr w:type="gramEnd"/>
      <w:r w:rsidRPr="00185464">
        <w:rPr>
          <w:rFonts w:ascii="Arial" w:hAnsi="Arial"/>
          <w:sz w:val="24"/>
          <w:szCs w:val="24"/>
        </w:rPr>
        <w:t xml:space="preserve"> Library will purchase one copy of all books cited on the reading lists of Institute of Neurology run courses</w:t>
      </w:r>
      <w:r w:rsidR="00121817" w:rsidRPr="00185464">
        <w:rPr>
          <w:rFonts w:ascii="Arial" w:hAnsi="Arial"/>
          <w:sz w:val="24"/>
          <w:szCs w:val="24"/>
        </w:rPr>
        <w:t xml:space="preserve">, </w:t>
      </w:r>
      <w:r w:rsidR="00121817" w:rsidRPr="004C055B">
        <w:rPr>
          <w:rFonts w:ascii="Arial" w:hAnsi="Arial"/>
          <w:color w:val="000000" w:themeColor="text1"/>
          <w:sz w:val="24"/>
          <w:szCs w:val="24"/>
        </w:rPr>
        <w:t>in both print and electronic form where available</w:t>
      </w:r>
      <w:r w:rsidRPr="004C055B">
        <w:rPr>
          <w:rFonts w:ascii="Arial" w:hAnsi="Arial"/>
          <w:color w:val="000000" w:themeColor="text1"/>
          <w:sz w:val="24"/>
          <w:szCs w:val="24"/>
        </w:rPr>
        <w:t>.</w:t>
      </w:r>
      <w:r w:rsidRPr="00185464">
        <w:rPr>
          <w:rFonts w:ascii="Arial" w:hAnsi="Arial"/>
          <w:sz w:val="24"/>
          <w:szCs w:val="24"/>
        </w:rPr>
        <w:t xml:space="preserve">  Where items are identified by course tutors as basic texts, more than one copy will be purchased. </w:t>
      </w:r>
    </w:p>
    <w:p w:rsidR="00676004" w:rsidRPr="00185464" w:rsidRDefault="00676004" w:rsidP="00676004">
      <w:pPr>
        <w:numPr>
          <w:ilvl w:val="0"/>
          <w:numId w:val="1"/>
        </w:numPr>
        <w:tabs>
          <w:tab w:val="left" w:pos="-1440"/>
          <w:tab w:val="left" w:pos="-720"/>
          <w:tab w:val="left" w:pos="1440"/>
        </w:tabs>
        <w:suppressAutoHyphens/>
        <w:jc w:val="both"/>
        <w:rPr>
          <w:rFonts w:ascii="Arial" w:hAnsi="Arial"/>
          <w:b/>
          <w:sz w:val="24"/>
          <w:szCs w:val="24"/>
        </w:rPr>
      </w:pPr>
      <w:proofErr w:type="gramStart"/>
      <w:r w:rsidRPr="00185464">
        <w:rPr>
          <w:rFonts w:ascii="Arial" w:hAnsi="Arial"/>
          <w:sz w:val="24"/>
          <w:szCs w:val="24"/>
        </w:rPr>
        <w:t>the</w:t>
      </w:r>
      <w:proofErr w:type="gramEnd"/>
      <w:r w:rsidRPr="00185464">
        <w:rPr>
          <w:rFonts w:ascii="Arial" w:hAnsi="Arial"/>
          <w:sz w:val="24"/>
          <w:szCs w:val="24"/>
        </w:rPr>
        <w:t xml:space="preserve"> Library will purchase one copy of books suggested by members of Institute and Hospital staff, and other Library users based at Queen Square.  If necessary, priority will be given to books of interest to more than one department or group.</w:t>
      </w:r>
    </w:p>
    <w:p w:rsidR="00676004" w:rsidRPr="00185464" w:rsidRDefault="00676004" w:rsidP="00676004">
      <w:pPr>
        <w:numPr>
          <w:ilvl w:val="0"/>
          <w:numId w:val="1"/>
        </w:numPr>
        <w:tabs>
          <w:tab w:val="left" w:pos="-1440"/>
          <w:tab w:val="left" w:pos="-720"/>
          <w:tab w:val="left" w:pos="1440"/>
        </w:tabs>
        <w:suppressAutoHyphens/>
        <w:jc w:val="both"/>
        <w:rPr>
          <w:rFonts w:ascii="Arial" w:hAnsi="Arial"/>
          <w:b/>
          <w:sz w:val="24"/>
          <w:szCs w:val="24"/>
        </w:rPr>
      </w:pPr>
      <w:proofErr w:type="gramStart"/>
      <w:r w:rsidRPr="00185464">
        <w:rPr>
          <w:rFonts w:ascii="Arial" w:hAnsi="Arial"/>
          <w:sz w:val="24"/>
          <w:szCs w:val="24"/>
        </w:rPr>
        <w:t>the</w:t>
      </w:r>
      <w:proofErr w:type="gramEnd"/>
      <w:r w:rsidRPr="00185464">
        <w:rPr>
          <w:rFonts w:ascii="Arial" w:hAnsi="Arial"/>
          <w:sz w:val="24"/>
          <w:szCs w:val="24"/>
        </w:rPr>
        <w:t xml:space="preserve"> Library will purchase new editions when they are published of any books already held in Library stock that have been widely used.</w:t>
      </w:r>
    </w:p>
    <w:p w:rsidR="00676004" w:rsidRPr="00185464" w:rsidRDefault="00676004" w:rsidP="00676004">
      <w:pPr>
        <w:numPr>
          <w:ilvl w:val="0"/>
          <w:numId w:val="1"/>
        </w:numPr>
        <w:tabs>
          <w:tab w:val="left" w:pos="-1440"/>
          <w:tab w:val="left" w:pos="-720"/>
          <w:tab w:val="left" w:pos="1440"/>
        </w:tabs>
        <w:suppressAutoHyphens/>
        <w:jc w:val="both"/>
        <w:rPr>
          <w:rFonts w:ascii="Arial" w:hAnsi="Arial"/>
          <w:b/>
          <w:sz w:val="24"/>
          <w:szCs w:val="24"/>
        </w:rPr>
      </w:pPr>
      <w:proofErr w:type="gramStart"/>
      <w:r w:rsidRPr="00185464">
        <w:rPr>
          <w:rFonts w:ascii="Arial" w:hAnsi="Arial"/>
          <w:sz w:val="24"/>
          <w:szCs w:val="24"/>
        </w:rPr>
        <w:t>the</w:t>
      </w:r>
      <w:proofErr w:type="gramEnd"/>
      <w:r w:rsidRPr="00185464">
        <w:rPr>
          <w:rFonts w:ascii="Arial" w:hAnsi="Arial"/>
          <w:sz w:val="24"/>
          <w:szCs w:val="24"/>
        </w:rPr>
        <w:t xml:space="preserve"> Library will obtain either from the authors or by purchase copies of books written by members of Institute and Hospital staff.</w:t>
      </w:r>
      <w:r w:rsidRPr="00185464">
        <w:rPr>
          <w:rFonts w:ascii="Arial" w:hAnsi="Arial"/>
          <w:b/>
          <w:sz w:val="24"/>
          <w:szCs w:val="24"/>
        </w:rPr>
        <w:t xml:space="preserve"> </w:t>
      </w:r>
    </w:p>
    <w:p w:rsidR="00676004" w:rsidRPr="00185464" w:rsidRDefault="00676004" w:rsidP="00676004">
      <w:pPr>
        <w:numPr>
          <w:ilvl w:val="0"/>
          <w:numId w:val="1"/>
        </w:numPr>
        <w:tabs>
          <w:tab w:val="left" w:pos="-1440"/>
          <w:tab w:val="left" w:pos="-720"/>
          <w:tab w:val="left" w:pos="1440"/>
        </w:tabs>
        <w:suppressAutoHyphens/>
        <w:jc w:val="both"/>
        <w:rPr>
          <w:rFonts w:ascii="Arial" w:hAnsi="Arial"/>
          <w:b/>
          <w:sz w:val="24"/>
          <w:szCs w:val="24"/>
        </w:rPr>
      </w:pPr>
      <w:r w:rsidRPr="00185464">
        <w:rPr>
          <w:rFonts w:ascii="Arial" w:hAnsi="Arial"/>
          <w:sz w:val="24"/>
          <w:szCs w:val="24"/>
        </w:rPr>
        <w:t xml:space="preserve">The Library will add to stock all donated items where their subject directly relates to the core subject areas listed above, in closely related fields, or they are written by Institute or Hospital staff. </w:t>
      </w:r>
    </w:p>
    <w:p w:rsidR="00676004" w:rsidRPr="004C055B" w:rsidRDefault="00676004" w:rsidP="00676004">
      <w:pPr>
        <w:numPr>
          <w:ilvl w:val="0"/>
          <w:numId w:val="1"/>
        </w:numPr>
        <w:tabs>
          <w:tab w:val="left" w:pos="-1440"/>
          <w:tab w:val="left" w:pos="-720"/>
          <w:tab w:val="left" w:pos="1440"/>
        </w:tabs>
        <w:suppressAutoHyphens/>
        <w:jc w:val="both"/>
        <w:rPr>
          <w:rFonts w:ascii="Arial" w:hAnsi="Arial"/>
          <w:b/>
          <w:color w:val="000000" w:themeColor="text1"/>
          <w:sz w:val="24"/>
          <w:szCs w:val="24"/>
        </w:rPr>
      </w:pPr>
      <w:proofErr w:type="gramStart"/>
      <w:r w:rsidRPr="004C055B">
        <w:rPr>
          <w:rFonts w:ascii="Arial" w:hAnsi="Arial"/>
          <w:color w:val="000000" w:themeColor="text1"/>
          <w:sz w:val="24"/>
          <w:szCs w:val="24"/>
        </w:rPr>
        <w:t>the</w:t>
      </w:r>
      <w:proofErr w:type="gramEnd"/>
      <w:r w:rsidRPr="004C055B">
        <w:rPr>
          <w:rFonts w:ascii="Arial" w:hAnsi="Arial"/>
          <w:color w:val="000000" w:themeColor="text1"/>
          <w:sz w:val="24"/>
          <w:szCs w:val="24"/>
        </w:rPr>
        <w:t xml:space="preserve"> Library will purchase other books </w:t>
      </w:r>
      <w:r w:rsidR="00991865" w:rsidRPr="004C055B">
        <w:rPr>
          <w:rFonts w:ascii="Arial" w:hAnsi="Arial"/>
          <w:color w:val="000000" w:themeColor="text1"/>
          <w:sz w:val="24"/>
          <w:szCs w:val="24"/>
        </w:rPr>
        <w:t xml:space="preserve">within core and related subject areas </w:t>
      </w:r>
      <w:r w:rsidRPr="004C055B">
        <w:rPr>
          <w:rFonts w:ascii="Arial" w:hAnsi="Arial"/>
          <w:color w:val="000000" w:themeColor="text1"/>
          <w:sz w:val="24"/>
          <w:szCs w:val="24"/>
        </w:rPr>
        <w:t>as suggested by Library staff and users</w:t>
      </w:r>
      <w:r w:rsidR="00991865" w:rsidRPr="004C055B">
        <w:rPr>
          <w:rFonts w:ascii="Arial" w:hAnsi="Arial"/>
          <w:color w:val="000000" w:themeColor="text1"/>
          <w:sz w:val="24"/>
          <w:szCs w:val="24"/>
        </w:rPr>
        <w:t>, subject to budget and availability</w:t>
      </w:r>
      <w:r w:rsidRPr="004C055B">
        <w:rPr>
          <w:rFonts w:ascii="Arial" w:hAnsi="Arial"/>
          <w:color w:val="000000" w:themeColor="text1"/>
          <w:sz w:val="24"/>
          <w:szCs w:val="24"/>
        </w:rPr>
        <w:t>.</w:t>
      </w:r>
    </w:p>
    <w:p w:rsidR="00676004" w:rsidRPr="00185464" w:rsidRDefault="00676004" w:rsidP="00676004">
      <w:pPr>
        <w:tabs>
          <w:tab w:val="left" w:pos="-1440"/>
          <w:tab w:val="left" w:pos="-720"/>
          <w:tab w:val="left" w:pos="1440"/>
        </w:tabs>
        <w:suppressAutoHyphens/>
        <w:jc w:val="both"/>
        <w:rPr>
          <w:rFonts w:ascii="Arial" w:hAnsi="Arial"/>
          <w:b/>
          <w:sz w:val="24"/>
          <w:szCs w:val="24"/>
        </w:rPr>
      </w:pPr>
    </w:p>
    <w:p w:rsidR="00676004" w:rsidRPr="00185464" w:rsidRDefault="00676004" w:rsidP="00676004">
      <w:pPr>
        <w:tabs>
          <w:tab w:val="left" w:pos="-1440"/>
          <w:tab w:val="left" w:pos="-720"/>
          <w:tab w:val="left" w:pos="1440"/>
        </w:tabs>
        <w:suppressAutoHyphens/>
        <w:ind w:left="360"/>
        <w:jc w:val="both"/>
        <w:rPr>
          <w:rFonts w:ascii="Arial" w:hAnsi="Arial"/>
          <w:sz w:val="24"/>
          <w:szCs w:val="24"/>
        </w:rPr>
      </w:pPr>
      <w:r w:rsidRPr="00185464">
        <w:rPr>
          <w:rFonts w:ascii="Arial" w:hAnsi="Arial"/>
          <w:b/>
          <w:sz w:val="24"/>
          <w:szCs w:val="24"/>
        </w:rPr>
        <w:t xml:space="preserve">Retention policy - </w:t>
      </w:r>
      <w:r w:rsidRPr="00185464">
        <w:rPr>
          <w:rFonts w:ascii="Arial" w:hAnsi="Arial"/>
          <w:sz w:val="24"/>
          <w:szCs w:val="24"/>
        </w:rPr>
        <w:t>within the limits of space available:</w:t>
      </w:r>
    </w:p>
    <w:p w:rsidR="00121817" w:rsidRPr="004C055B" w:rsidRDefault="00676004" w:rsidP="00676004">
      <w:pPr>
        <w:numPr>
          <w:ilvl w:val="0"/>
          <w:numId w:val="2"/>
        </w:numPr>
        <w:tabs>
          <w:tab w:val="left" w:pos="-1440"/>
          <w:tab w:val="left" w:pos="-720"/>
          <w:tab w:val="left" w:pos="1440"/>
        </w:tabs>
        <w:suppressAutoHyphens/>
        <w:jc w:val="both"/>
        <w:rPr>
          <w:rFonts w:ascii="Arial" w:hAnsi="Arial"/>
          <w:color w:val="000000" w:themeColor="text1"/>
          <w:sz w:val="24"/>
          <w:szCs w:val="24"/>
        </w:rPr>
      </w:pPr>
      <w:proofErr w:type="gramStart"/>
      <w:r w:rsidRPr="004C055B">
        <w:rPr>
          <w:rFonts w:ascii="Arial" w:hAnsi="Arial"/>
          <w:color w:val="000000" w:themeColor="text1"/>
          <w:sz w:val="24"/>
          <w:szCs w:val="24"/>
        </w:rPr>
        <w:t>the</w:t>
      </w:r>
      <w:proofErr w:type="gramEnd"/>
      <w:r w:rsidRPr="004C055B">
        <w:rPr>
          <w:rFonts w:ascii="Arial" w:hAnsi="Arial"/>
          <w:color w:val="000000" w:themeColor="text1"/>
          <w:sz w:val="24"/>
          <w:szCs w:val="24"/>
        </w:rPr>
        <w:t xml:space="preserve"> Library will retain one copy of all books</w:t>
      </w:r>
      <w:r w:rsidR="00121817" w:rsidRPr="004C055B">
        <w:rPr>
          <w:rFonts w:ascii="Arial" w:hAnsi="Arial"/>
          <w:color w:val="000000" w:themeColor="text1"/>
          <w:sz w:val="24"/>
          <w:szCs w:val="24"/>
        </w:rPr>
        <w:t xml:space="preserve"> in core subject areas which are of historical value, or unique to the collection or </w:t>
      </w:r>
      <w:r w:rsidRPr="004C055B">
        <w:rPr>
          <w:rFonts w:ascii="Arial" w:hAnsi="Arial"/>
          <w:color w:val="000000" w:themeColor="text1"/>
          <w:sz w:val="24"/>
          <w:szCs w:val="24"/>
        </w:rPr>
        <w:t>by Institute and Hospital staff.</w:t>
      </w:r>
      <w:r w:rsidR="00121817" w:rsidRPr="004C055B">
        <w:rPr>
          <w:rFonts w:ascii="Arial" w:hAnsi="Arial"/>
          <w:color w:val="000000" w:themeColor="text1"/>
          <w:sz w:val="24"/>
          <w:szCs w:val="24"/>
        </w:rPr>
        <w:t xml:space="preserve"> </w:t>
      </w:r>
    </w:p>
    <w:p w:rsidR="00185464" w:rsidRPr="004C055B" w:rsidRDefault="00185464" w:rsidP="00185464">
      <w:pPr>
        <w:numPr>
          <w:ilvl w:val="0"/>
          <w:numId w:val="2"/>
        </w:numPr>
        <w:tabs>
          <w:tab w:val="left" w:pos="-1440"/>
          <w:tab w:val="left" w:pos="-720"/>
          <w:tab w:val="left" w:pos="1440"/>
        </w:tabs>
        <w:suppressAutoHyphens/>
        <w:jc w:val="both"/>
        <w:rPr>
          <w:rFonts w:ascii="Arial" w:hAnsi="Arial"/>
          <w:color w:val="000000" w:themeColor="text1"/>
          <w:sz w:val="24"/>
          <w:szCs w:val="24"/>
        </w:rPr>
      </w:pPr>
      <w:proofErr w:type="gramStart"/>
      <w:r w:rsidRPr="004C055B">
        <w:rPr>
          <w:rFonts w:ascii="Arial" w:hAnsi="Arial"/>
          <w:color w:val="000000" w:themeColor="text1"/>
          <w:sz w:val="24"/>
          <w:szCs w:val="24"/>
        </w:rPr>
        <w:t>furthermore</w:t>
      </w:r>
      <w:proofErr w:type="gramEnd"/>
      <w:r w:rsidRPr="004C055B">
        <w:rPr>
          <w:rFonts w:ascii="Arial" w:hAnsi="Arial"/>
          <w:color w:val="000000" w:themeColor="text1"/>
          <w:sz w:val="24"/>
          <w:szCs w:val="24"/>
        </w:rPr>
        <w:t>, as space allows, the library will retain additional books in core subject areas, for which there is likely to be an ongoing need.</w:t>
      </w:r>
    </w:p>
    <w:p w:rsidR="00676004" w:rsidRPr="00185464" w:rsidRDefault="00676004" w:rsidP="00676004">
      <w:pPr>
        <w:numPr>
          <w:ilvl w:val="0"/>
          <w:numId w:val="2"/>
        </w:numPr>
        <w:tabs>
          <w:tab w:val="left" w:pos="-1440"/>
          <w:tab w:val="left" w:pos="-720"/>
          <w:tab w:val="left" w:pos="1440"/>
        </w:tabs>
        <w:suppressAutoHyphens/>
        <w:jc w:val="both"/>
        <w:rPr>
          <w:rFonts w:ascii="Arial" w:hAnsi="Arial"/>
          <w:sz w:val="24"/>
          <w:szCs w:val="24"/>
        </w:rPr>
      </w:pPr>
      <w:proofErr w:type="gramStart"/>
      <w:r w:rsidRPr="00185464">
        <w:rPr>
          <w:rFonts w:ascii="Arial" w:hAnsi="Arial"/>
          <w:sz w:val="24"/>
          <w:szCs w:val="24"/>
        </w:rPr>
        <w:t>items</w:t>
      </w:r>
      <w:proofErr w:type="gramEnd"/>
      <w:r w:rsidRPr="00185464">
        <w:rPr>
          <w:rFonts w:ascii="Arial" w:hAnsi="Arial"/>
          <w:sz w:val="24"/>
          <w:szCs w:val="24"/>
        </w:rPr>
        <w:t xml:space="preserve"> within the areas identified above that are no longer current will be removed to store or transferred to the Historical collection.  </w:t>
      </w:r>
    </w:p>
    <w:p w:rsidR="00676004" w:rsidRPr="00185464" w:rsidRDefault="00676004" w:rsidP="00676004">
      <w:pPr>
        <w:numPr>
          <w:ilvl w:val="0"/>
          <w:numId w:val="2"/>
        </w:numPr>
        <w:tabs>
          <w:tab w:val="left" w:pos="-1440"/>
          <w:tab w:val="left" w:pos="-720"/>
          <w:tab w:val="left" w:pos="1440"/>
        </w:tabs>
        <w:suppressAutoHyphens/>
        <w:jc w:val="both"/>
        <w:rPr>
          <w:rFonts w:ascii="Arial" w:hAnsi="Arial"/>
          <w:sz w:val="24"/>
          <w:szCs w:val="24"/>
        </w:rPr>
      </w:pPr>
      <w:proofErr w:type="gramStart"/>
      <w:r w:rsidRPr="00185464">
        <w:rPr>
          <w:rFonts w:ascii="Arial" w:hAnsi="Arial"/>
          <w:sz w:val="24"/>
          <w:szCs w:val="24"/>
        </w:rPr>
        <w:t>all</w:t>
      </w:r>
      <w:proofErr w:type="gramEnd"/>
      <w:r w:rsidRPr="00185464">
        <w:rPr>
          <w:rFonts w:ascii="Arial" w:hAnsi="Arial"/>
          <w:sz w:val="24"/>
          <w:szCs w:val="24"/>
        </w:rPr>
        <w:t xml:space="preserve"> other items will be disposed of.</w:t>
      </w:r>
    </w:p>
    <w:p w:rsidR="00676004" w:rsidRPr="00185464" w:rsidRDefault="00676004" w:rsidP="00676004">
      <w:pPr>
        <w:numPr>
          <w:ilvl w:val="0"/>
          <w:numId w:val="2"/>
        </w:numPr>
        <w:tabs>
          <w:tab w:val="left" w:pos="-1440"/>
          <w:tab w:val="left" w:pos="-720"/>
          <w:tab w:val="left" w:pos="1440"/>
        </w:tabs>
        <w:suppressAutoHyphens/>
        <w:jc w:val="both"/>
        <w:rPr>
          <w:rFonts w:ascii="Arial" w:hAnsi="Arial"/>
          <w:sz w:val="24"/>
          <w:szCs w:val="24"/>
        </w:rPr>
      </w:pPr>
      <w:proofErr w:type="gramStart"/>
      <w:r w:rsidRPr="00185464">
        <w:rPr>
          <w:rFonts w:ascii="Arial" w:hAnsi="Arial"/>
          <w:sz w:val="24"/>
          <w:szCs w:val="24"/>
        </w:rPr>
        <w:t>in</w:t>
      </w:r>
      <w:proofErr w:type="gramEnd"/>
      <w:r w:rsidRPr="00185464">
        <w:rPr>
          <w:rFonts w:ascii="Arial" w:hAnsi="Arial"/>
          <w:sz w:val="24"/>
          <w:szCs w:val="24"/>
        </w:rPr>
        <w:t xml:space="preserve"> the event of a need to reduce print holdings, items in related fields and any duplicate items will be disposed of first. </w:t>
      </w:r>
    </w:p>
    <w:p w:rsidR="00676004" w:rsidRPr="00185464" w:rsidRDefault="00676004" w:rsidP="00676004">
      <w:pPr>
        <w:tabs>
          <w:tab w:val="left" w:pos="-1440"/>
          <w:tab w:val="left" w:pos="-720"/>
          <w:tab w:val="left" w:pos="1440"/>
        </w:tabs>
        <w:suppressAutoHyphens/>
        <w:jc w:val="both"/>
        <w:rPr>
          <w:rFonts w:ascii="Arial" w:hAnsi="Arial"/>
          <w:sz w:val="24"/>
          <w:szCs w:val="24"/>
        </w:rPr>
      </w:pPr>
    </w:p>
    <w:p w:rsidR="00676004" w:rsidRPr="00185464" w:rsidRDefault="00676004" w:rsidP="00676004">
      <w:pPr>
        <w:tabs>
          <w:tab w:val="left" w:pos="-1440"/>
          <w:tab w:val="left" w:pos="-720"/>
          <w:tab w:val="left" w:pos="1440"/>
        </w:tabs>
        <w:suppressAutoHyphens/>
        <w:jc w:val="both"/>
        <w:rPr>
          <w:rFonts w:ascii="Arial" w:hAnsi="Arial"/>
          <w:b/>
          <w:sz w:val="24"/>
          <w:szCs w:val="24"/>
          <w:u w:val="single"/>
        </w:rPr>
      </w:pPr>
      <w:r w:rsidRPr="00185464">
        <w:rPr>
          <w:rFonts w:ascii="Arial" w:hAnsi="Arial"/>
          <w:b/>
          <w:sz w:val="24"/>
          <w:szCs w:val="24"/>
          <w:u w:val="single"/>
        </w:rPr>
        <w:t>Journals (Print &amp; Electronic)</w:t>
      </w:r>
    </w:p>
    <w:p w:rsidR="00676004" w:rsidRPr="00185464" w:rsidRDefault="00676004" w:rsidP="00676004">
      <w:pPr>
        <w:tabs>
          <w:tab w:val="left" w:pos="-1440"/>
          <w:tab w:val="left" w:pos="-720"/>
          <w:tab w:val="left" w:pos="1440"/>
        </w:tabs>
        <w:suppressAutoHyphens/>
        <w:jc w:val="both"/>
        <w:rPr>
          <w:rFonts w:ascii="Arial" w:hAnsi="Arial"/>
          <w:b/>
          <w:sz w:val="24"/>
          <w:szCs w:val="24"/>
        </w:rPr>
      </w:pPr>
    </w:p>
    <w:p w:rsidR="00676004" w:rsidRPr="00185464" w:rsidRDefault="00676004" w:rsidP="00676004">
      <w:pPr>
        <w:tabs>
          <w:tab w:val="left" w:pos="-1440"/>
          <w:tab w:val="left" w:pos="-720"/>
          <w:tab w:val="left" w:pos="1440"/>
        </w:tabs>
        <w:suppressAutoHyphens/>
        <w:ind w:left="360"/>
        <w:jc w:val="both"/>
        <w:rPr>
          <w:rFonts w:ascii="Arial" w:hAnsi="Arial"/>
          <w:sz w:val="24"/>
          <w:szCs w:val="24"/>
        </w:rPr>
      </w:pPr>
      <w:r w:rsidRPr="00185464">
        <w:rPr>
          <w:rFonts w:ascii="Arial" w:hAnsi="Arial"/>
          <w:b/>
          <w:sz w:val="24"/>
          <w:szCs w:val="24"/>
        </w:rPr>
        <w:t xml:space="preserve">Selection Policy – </w:t>
      </w:r>
      <w:r w:rsidRPr="00185464">
        <w:rPr>
          <w:rFonts w:ascii="Arial" w:hAnsi="Arial"/>
          <w:sz w:val="24"/>
          <w:szCs w:val="24"/>
        </w:rPr>
        <w:t>within the confines of the budget:</w:t>
      </w:r>
    </w:p>
    <w:p w:rsidR="00676004" w:rsidRPr="00185464" w:rsidRDefault="00676004" w:rsidP="00676004">
      <w:pPr>
        <w:numPr>
          <w:ilvl w:val="0"/>
          <w:numId w:val="3"/>
        </w:numPr>
        <w:tabs>
          <w:tab w:val="left" w:pos="-1440"/>
          <w:tab w:val="left" w:pos="-720"/>
          <w:tab w:val="left" w:pos="1440"/>
        </w:tabs>
        <w:suppressAutoHyphens/>
        <w:jc w:val="both"/>
        <w:rPr>
          <w:rFonts w:ascii="Arial" w:hAnsi="Arial"/>
          <w:sz w:val="24"/>
          <w:szCs w:val="24"/>
        </w:rPr>
      </w:pPr>
      <w:r w:rsidRPr="00185464">
        <w:rPr>
          <w:rFonts w:ascii="Arial" w:hAnsi="Arial"/>
          <w:sz w:val="24"/>
          <w:szCs w:val="24"/>
        </w:rPr>
        <w:t xml:space="preserve">The Library will aim to provide access to </w:t>
      </w:r>
      <w:r w:rsidRPr="00185464">
        <w:rPr>
          <w:rFonts w:ascii="Arial" w:hAnsi="Arial"/>
          <w:b/>
          <w:sz w:val="24"/>
          <w:szCs w:val="24"/>
        </w:rPr>
        <w:t>print</w:t>
      </w:r>
      <w:r w:rsidRPr="00185464">
        <w:rPr>
          <w:rFonts w:ascii="Arial" w:hAnsi="Arial"/>
          <w:sz w:val="24"/>
          <w:szCs w:val="24"/>
        </w:rPr>
        <w:t xml:space="preserve"> copies of all journals identified as essential by Institute and Hospital Staff &amp; other users based at Queen Square, but priority will be given as follows:</w:t>
      </w:r>
    </w:p>
    <w:p w:rsidR="00676004" w:rsidRPr="00185464" w:rsidRDefault="00676004" w:rsidP="00676004">
      <w:pPr>
        <w:numPr>
          <w:ilvl w:val="0"/>
          <w:numId w:val="3"/>
        </w:numPr>
        <w:tabs>
          <w:tab w:val="clear" w:pos="360"/>
          <w:tab w:val="left" w:pos="-1440"/>
          <w:tab w:val="left" w:pos="-720"/>
          <w:tab w:val="num" w:pos="1080"/>
          <w:tab w:val="left" w:pos="1440"/>
        </w:tabs>
        <w:suppressAutoHyphens/>
        <w:ind w:left="1080"/>
        <w:jc w:val="both"/>
        <w:rPr>
          <w:rFonts w:ascii="Arial" w:hAnsi="Arial"/>
          <w:sz w:val="24"/>
          <w:szCs w:val="24"/>
        </w:rPr>
      </w:pPr>
      <w:proofErr w:type="gramStart"/>
      <w:r w:rsidRPr="00185464">
        <w:rPr>
          <w:rFonts w:ascii="Arial" w:hAnsi="Arial"/>
          <w:sz w:val="24"/>
          <w:szCs w:val="24"/>
        </w:rPr>
        <w:t>to</w:t>
      </w:r>
      <w:proofErr w:type="gramEnd"/>
      <w:r w:rsidRPr="00185464">
        <w:rPr>
          <w:rFonts w:ascii="Arial" w:hAnsi="Arial"/>
          <w:sz w:val="24"/>
          <w:szCs w:val="24"/>
        </w:rPr>
        <w:t xml:space="preserve"> print journals whose subjects fall within the core areas covered, and closely related fields, </w:t>
      </w:r>
      <w:r w:rsidRPr="00185464">
        <w:rPr>
          <w:rFonts w:ascii="Arial" w:hAnsi="Arial"/>
          <w:b/>
          <w:sz w:val="24"/>
          <w:szCs w:val="24"/>
        </w:rPr>
        <w:t>electronic access</w:t>
      </w:r>
      <w:r w:rsidRPr="00185464">
        <w:rPr>
          <w:rFonts w:ascii="Arial" w:hAnsi="Arial"/>
          <w:sz w:val="24"/>
          <w:szCs w:val="24"/>
        </w:rPr>
        <w:t xml:space="preserve"> would also be sought via UCL/NHS deals. Priority would be given to providing </w:t>
      </w:r>
      <w:r w:rsidRPr="00185464">
        <w:rPr>
          <w:rFonts w:ascii="Arial" w:hAnsi="Arial"/>
          <w:b/>
          <w:sz w:val="24"/>
          <w:szCs w:val="24"/>
        </w:rPr>
        <w:t xml:space="preserve">print </w:t>
      </w:r>
      <w:r w:rsidRPr="00185464">
        <w:rPr>
          <w:rFonts w:ascii="Arial" w:hAnsi="Arial"/>
          <w:sz w:val="24"/>
          <w:szCs w:val="24"/>
        </w:rPr>
        <w:t>access to titles of use to Hospital staff (where remote access to electronic versions for NHS users is not possible).</w:t>
      </w:r>
    </w:p>
    <w:p w:rsidR="00676004" w:rsidRPr="00185464" w:rsidRDefault="00676004" w:rsidP="00676004">
      <w:pPr>
        <w:numPr>
          <w:ilvl w:val="0"/>
          <w:numId w:val="4"/>
        </w:numPr>
        <w:tabs>
          <w:tab w:val="clear" w:pos="360"/>
          <w:tab w:val="left" w:pos="-1440"/>
          <w:tab w:val="left" w:pos="-720"/>
          <w:tab w:val="num" w:pos="1080"/>
          <w:tab w:val="left" w:pos="1440"/>
        </w:tabs>
        <w:suppressAutoHyphens/>
        <w:ind w:left="1080"/>
        <w:jc w:val="both"/>
        <w:rPr>
          <w:rFonts w:ascii="Arial" w:hAnsi="Arial"/>
          <w:sz w:val="24"/>
          <w:szCs w:val="24"/>
        </w:rPr>
      </w:pPr>
      <w:r w:rsidRPr="00185464">
        <w:rPr>
          <w:rFonts w:ascii="Arial" w:hAnsi="Arial"/>
          <w:sz w:val="24"/>
          <w:szCs w:val="24"/>
        </w:rPr>
        <w:t>Priority would be given to titles of use to a wide group of users, titles identified as of key significance by departments, and titles not otherwise locally available.</w:t>
      </w:r>
    </w:p>
    <w:p w:rsidR="00676004" w:rsidRPr="00185464" w:rsidRDefault="00676004" w:rsidP="00676004">
      <w:pPr>
        <w:numPr>
          <w:ilvl w:val="0"/>
          <w:numId w:val="4"/>
        </w:numPr>
        <w:tabs>
          <w:tab w:val="clear" w:pos="360"/>
          <w:tab w:val="left" w:pos="-1440"/>
          <w:tab w:val="left" w:pos="-720"/>
          <w:tab w:val="num" w:pos="1080"/>
          <w:tab w:val="left" w:pos="1440"/>
        </w:tabs>
        <w:suppressAutoHyphens/>
        <w:ind w:left="1080"/>
        <w:jc w:val="both"/>
        <w:rPr>
          <w:rFonts w:ascii="Arial" w:hAnsi="Arial"/>
          <w:sz w:val="24"/>
          <w:szCs w:val="24"/>
        </w:rPr>
      </w:pPr>
      <w:r w:rsidRPr="00185464">
        <w:rPr>
          <w:rFonts w:ascii="Arial" w:hAnsi="Arial"/>
          <w:sz w:val="24"/>
          <w:szCs w:val="24"/>
        </w:rPr>
        <w:lastRenderedPageBreak/>
        <w:t>Other factors which would be used as selection criteria could include Impact Factors, and the publication patterns of Institute and Hospital staff.</w:t>
      </w:r>
    </w:p>
    <w:p w:rsidR="00676004" w:rsidRPr="00185464" w:rsidRDefault="00676004" w:rsidP="00676004">
      <w:pPr>
        <w:tabs>
          <w:tab w:val="left" w:pos="-1440"/>
          <w:tab w:val="left" w:pos="-720"/>
          <w:tab w:val="left" w:pos="1440"/>
        </w:tabs>
        <w:suppressAutoHyphens/>
        <w:ind w:left="360"/>
        <w:jc w:val="both"/>
        <w:rPr>
          <w:rFonts w:ascii="Arial" w:hAnsi="Arial"/>
          <w:sz w:val="24"/>
          <w:szCs w:val="24"/>
        </w:rPr>
      </w:pPr>
    </w:p>
    <w:p w:rsidR="00676004" w:rsidRPr="00185464" w:rsidRDefault="00676004" w:rsidP="00676004">
      <w:pPr>
        <w:numPr>
          <w:ilvl w:val="0"/>
          <w:numId w:val="4"/>
        </w:numPr>
        <w:tabs>
          <w:tab w:val="left" w:pos="-1440"/>
          <w:tab w:val="left" w:pos="-720"/>
          <w:tab w:val="left" w:pos="1440"/>
        </w:tabs>
        <w:suppressAutoHyphens/>
        <w:jc w:val="both"/>
        <w:rPr>
          <w:rFonts w:ascii="Arial" w:hAnsi="Arial"/>
          <w:b/>
          <w:sz w:val="24"/>
          <w:szCs w:val="24"/>
        </w:rPr>
      </w:pPr>
      <w:proofErr w:type="gramStart"/>
      <w:r w:rsidRPr="00185464">
        <w:rPr>
          <w:rFonts w:ascii="Arial" w:hAnsi="Arial"/>
          <w:sz w:val="24"/>
          <w:szCs w:val="24"/>
        </w:rPr>
        <w:t>the</w:t>
      </w:r>
      <w:proofErr w:type="gramEnd"/>
      <w:r w:rsidRPr="00185464">
        <w:rPr>
          <w:rFonts w:ascii="Arial" w:hAnsi="Arial"/>
          <w:sz w:val="24"/>
          <w:szCs w:val="24"/>
        </w:rPr>
        <w:t xml:space="preserve"> Library will endeavour to provide and promote </w:t>
      </w:r>
      <w:r w:rsidRPr="00185464">
        <w:rPr>
          <w:rFonts w:ascii="Arial" w:hAnsi="Arial"/>
          <w:b/>
          <w:sz w:val="24"/>
          <w:szCs w:val="24"/>
        </w:rPr>
        <w:t>electronic access</w:t>
      </w:r>
      <w:r w:rsidRPr="00185464">
        <w:rPr>
          <w:rFonts w:ascii="Arial" w:hAnsi="Arial"/>
          <w:sz w:val="24"/>
          <w:szCs w:val="24"/>
        </w:rPr>
        <w:t xml:space="preserve"> to as wide </w:t>
      </w:r>
      <w:bookmarkStart w:id="0" w:name="_GoBack"/>
      <w:bookmarkEnd w:id="0"/>
      <w:r w:rsidRPr="00185464">
        <w:rPr>
          <w:rFonts w:ascii="Arial" w:hAnsi="Arial"/>
          <w:sz w:val="24"/>
          <w:szCs w:val="24"/>
        </w:rPr>
        <w:t xml:space="preserve">a range of journals as possible via UCL/UCLH and the NHS. The Library will not independently purchase specialist electronic journal subscriptions without making these available to the wider UCL or UCLH networks, unless restricted by the providers licence. The aim is to share the cost of subscriptions and work collaboratively with other Libraries within UCL &amp; UCLH to reduce unit cost and promote cross </w:t>
      </w:r>
      <w:proofErr w:type="spellStart"/>
      <w:r w:rsidRPr="00185464">
        <w:rPr>
          <w:rFonts w:ascii="Arial" w:hAnsi="Arial"/>
          <w:sz w:val="24"/>
          <w:szCs w:val="24"/>
        </w:rPr>
        <w:t>sectoral</w:t>
      </w:r>
      <w:proofErr w:type="spellEnd"/>
      <w:r w:rsidRPr="00185464">
        <w:rPr>
          <w:rFonts w:ascii="Arial" w:hAnsi="Arial"/>
          <w:sz w:val="24"/>
          <w:szCs w:val="24"/>
        </w:rPr>
        <w:t xml:space="preserve"> working and purchasing.  </w:t>
      </w:r>
    </w:p>
    <w:p w:rsidR="00676004" w:rsidRPr="00185464" w:rsidRDefault="00676004" w:rsidP="00676004">
      <w:pPr>
        <w:pStyle w:val="ListParagraph"/>
        <w:rPr>
          <w:rFonts w:ascii="Arial" w:hAnsi="Arial"/>
          <w:b/>
          <w:sz w:val="24"/>
          <w:szCs w:val="24"/>
        </w:rPr>
      </w:pPr>
    </w:p>
    <w:p w:rsidR="00676004" w:rsidRPr="00185464" w:rsidRDefault="00676004" w:rsidP="00676004">
      <w:pPr>
        <w:tabs>
          <w:tab w:val="left" w:pos="-1440"/>
          <w:tab w:val="left" w:pos="-720"/>
          <w:tab w:val="left" w:pos="1440"/>
        </w:tabs>
        <w:suppressAutoHyphens/>
        <w:ind w:left="360"/>
        <w:jc w:val="both"/>
        <w:rPr>
          <w:rFonts w:ascii="Arial" w:hAnsi="Arial"/>
          <w:b/>
          <w:sz w:val="24"/>
          <w:szCs w:val="24"/>
        </w:rPr>
      </w:pPr>
    </w:p>
    <w:p w:rsidR="00676004" w:rsidRPr="00185464" w:rsidRDefault="00676004" w:rsidP="00676004">
      <w:pPr>
        <w:tabs>
          <w:tab w:val="left" w:pos="-1440"/>
          <w:tab w:val="left" w:pos="-720"/>
          <w:tab w:val="left" w:pos="1440"/>
        </w:tabs>
        <w:suppressAutoHyphens/>
        <w:ind w:left="360"/>
        <w:jc w:val="both"/>
        <w:rPr>
          <w:rFonts w:ascii="Arial" w:hAnsi="Arial"/>
          <w:sz w:val="24"/>
          <w:szCs w:val="24"/>
        </w:rPr>
      </w:pPr>
      <w:r w:rsidRPr="00185464">
        <w:rPr>
          <w:rFonts w:ascii="Arial" w:hAnsi="Arial"/>
          <w:b/>
          <w:sz w:val="24"/>
          <w:szCs w:val="24"/>
        </w:rPr>
        <w:t>Retention policy (</w:t>
      </w:r>
      <w:r w:rsidRPr="00185464">
        <w:rPr>
          <w:rFonts w:ascii="Arial" w:hAnsi="Arial"/>
          <w:sz w:val="24"/>
          <w:szCs w:val="24"/>
        </w:rPr>
        <w:t>within the limits of space available)</w:t>
      </w:r>
    </w:p>
    <w:p w:rsidR="00676004" w:rsidRPr="00185464" w:rsidRDefault="00676004" w:rsidP="00676004">
      <w:pPr>
        <w:numPr>
          <w:ilvl w:val="0"/>
          <w:numId w:val="2"/>
        </w:numPr>
        <w:tabs>
          <w:tab w:val="left" w:pos="-1440"/>
          <w:tab w:val="left" w:pos="-720"/>
          <w:tab w:val="left" w:pos="1440"/>
        </w:tabs>
        <w:suppressAutoHyphens/>
        <w:jc w:val="both"/>
        <w:rPr>
          <w:rFonts w:ascii="Arial" w:hAnsi="Arial"/>
          <w:b/>
          <w:sz w:val="24"/>
          <w:szCs w:val="24"/>
        </w:rPr>
      </w:pPr>
      <w:proofErr w:type="gramStart"/>
      <w:r w:rsidRPr="00185464">
        <w:rPr>
          <w:rFonts w:ascii="Arial" w:hAnsi="Arial"/>
          <w:sz w:val="24"/>
          <w:szCs w:val="24"/>
        </w:rPr>
        <w:t>arrangements</w:t>
      </w:r>
      <w:proofErr w:type="gramEnd"/>
      <w:r w:rsidRPr="00185464">
        <w:rPr>
          <w:rFonts w:ascii="Arial" w:hAnsi="Arial"/>
          <w:sz w:val="24"/>
          <w:szCs w:val="24"/>
        </w:rPr>
        <w:t xml:space="preserve"> for reciprocal and collaborative archiving of print materials are made within the UCL, UCLH and wider Library networks.</w:t>
      </w:r>
    </w:p>
    <w:p w:rsidR="00676004" w:rsidRPr="00185464" w:rsidRDefault="00676004" w:rsidP="00676004">
      <w:pPr>
        <w:numPr>
          <w:ilvl w:val="0"/>
          <w:numId w:val="2"/>
        </w:numPr>
        <w:tabs>
          <w:tab w:val="left" w:pos="-1440"/>
          <w:tab w:val="left" w:pos="-720"/>
          <w:tab w:val="left" w:pos="1440"/>
        </w:tabs>
        <w:suppressAutoHyphens/>
        <w:jc w:val="both"/>
        <w:rPr>
          <w:rFonts w:ascii="Arial" w:hAnsi="Arial"/>
          <w:color w:val="FF0000"/>
          <w:sz w:val="24"/>
          <w:szCs w:val="24"/>
        </w:rPr>
      </w:pPr>
      <w:proofErr w:type="gramStart"/>
      <w:r w:rsidRPr="004C055B">
        <w:rPr>
          <w:rFonts w:ascii="Arial" w:hAnsi="Arial"/>
          <w:color w:val="000000" w:themeColor="text1"/>
          <w:sz w:val="24"/>
          <w:szCs w:val="24"/>
        </w:rPr>
        <w:t>the</w:t>
      </w:r>
      <w:proofErr w:type="gramEnd"/>
      <w:r w:rsidRPr="004C055B">
        <w:rPr>
          <w:rFonts w:ascii="Arial" w:hAnsi="Arial"/>
          <w:color w:val="000000" w:themeColor="text1"/>
          <w:sz w:val="24"/>
          <w:szCs w:val="24"/>
        </w:rPr>
        <w:t xml:space="preserve"> Library will retain all print journals in core subject areas.</w:t>
      </w:r>
      <w:r w:rsidR="00121817" w:rsidRPr="004C055B">
        <w:rPr>
          <w:rFonts w:ascii="Arial" w:hAnsi="Arial"/>
          <w:color w:val="000000" w:themeColor="text1"/>
          <w:sz w:val="24"/>
          <w:szCs w:val="24"/>
        </w:rPr>
        <w:t xml:space="preserve"> </w:t>
      </w:r>
      <w:r w:rsidRPr="004C055B">
        <w:rPr>
          <w:rFonts w:ascii="Arial" w:hAnsi="Arial"/>
          <w:color w:val="000000" w:themeColor="text1"/>
          <w:sz w:val="24"/>
          <w:szCs w:val="24"/>
        </w:rPr>
        <w:t>However, if for space reasons it were to become necessary to dispose of journal back-runs, holdings of journals would be reduced to those not available electronically</w:t>
      </w:r>
      <w:r w:rsidRPr="00185464">
        <w:rPr>
          <w:rFonts w:ascii="Arial" w:hAnsi="Arial"/>
          <w:color w:val="FF0000"/>
          <w:sz w:val="24"/>
          <w:szCs w:val="24"/>
        </w:rPr>
        <w:t>.</w:t>
      </w:r>
    </w:p>
    <w:p w:rsidR="00676004" w:rsidRPr="00185464" w:rsidRDefault="00676004" w:rsidP="00676004">
      <w:pPr>
        <w:numPr>
          <w:ilvl w:val="0"/>
          <w:numId w:val="2"/>
        </w:numPr>
        <w:tabs>
          <w:tab w:val="left" w:pos="-1440"/>
          <w:tab w:val="left" w:pos="-720"/>
          <w:tab w:val="left" w:pos="1440"/>
        </w:tabs>
        <w:suppressAutoHyphens/>
        <w:jc w:val="both"/>
        <w:rPr>
          <w:rFonts w:ascii="Arial" w:hAnsi="Arial"/>
          <w:sz w:val="24"/>
          <w:szCs w:val="24"/>
        </w:rPr>
      </w:pPr>
      <w:r w:rsidRPr="00185464">
        <w:rPr>
          <w:rFonts w:ascii="Arial" w:hAnsi="Arial"/>
          <w:sz w:val="24"/>
          <w:szCs w:val="24"/>
        </w:rPr>
        <w:t xml:space="preserve">The Library will retain print holdings of other titles only where there is demonstrable </w:t>
      </w:r>
      <w:proofErr w:type="gramStart"/>
      <w:r w:rsidRPr="00185464">
        <w:rPr>
          <w:rFonts w:ascii="Arial" w:hAnsi="Arial"/>
          <w:sz w:val="24"/>
          <w:szCs w:val="24"/>
        </w:rPr>
        <w:t>use,</w:t>
      </w:r>
      <w:proofErr w:type="gramEnd"/>
      <w:r w:rsidRPr="00185464">
        <w:rPr>
          <w:rFonts w:ascii="Arial" w:hAnsi="Arial"/>
          <w:sz w:val="24"/>
          <w:szCs w:val="24"/>
        </w:rPr>
        <w:t xml:space="preserve"> they are not available to all users electronically in the library or locally in another Library. One current year of science news &amp; current affairs journals will be kept where there is demonstrable use.</w:t>
      </w:r>
    </w:p>
    <w:p w:rsidR="00676004" w:rsidRPr="00185464" w:rsidRDefault="00676004" w:rsidP="00676004">
      <w:pPr>
        <w:tabs>
          <w:tab w:val="left" w:pos="-1440"/>
          <w:tab w:val="left" w:pos="-720"/>
          <w:tab w:val="left" w:pos="1440"/>
        </w:tabs>
        <w:suppressAutoHyphens/>
        <w:jc w:val="both"/>
        <w:rPr>
          <w:rFonts w:ascii="Arial" w:hAnsi="Arial"/>
          <w:sz w:val="24"/>
          <w:szCs w:val="24"/>
        </w:rPr>
      </w:pPr>
    </w:p>
    <w:p w:rsidR="00676004" w:rsidRPr="00185464" w:rsidRDefault="00676004" w:rsidP="00676004">
      <w:pPr>
        <w:tabs>
          <w:tab w:val="left" w:pos="-1440"/>
          <w:tab w:val="left" w:pos="-720"/>
          <w:tab w:val="left" w:pos="1440"/>
        </w:tabs>
        <w:suppressAutoHyphens/>
        <w:jc w:val="both"/>
        <w:rPr>
          <w:rFonts w:ascii="Arial" w:hAnsi="Arial"/>
          <w:b/>
          <w:sz w:val="24"/>
          <w:szCs w:val="24"/>
          <w:u w:val="single"/>
        </w:rPr>
      </w:pPr>
      <w:r w:rsidRPr="00185464">
        <w:rPr>
          <w:rFonts w:ascii="Arial" w:hAnsi="Arial"/>
          <w:b/>
          <w:sz w:val="24"/>
          <w:szCs w:val="24"/>
          <w:u w:val="single"/>
        </w:rPr>
        <w:t>Disposal Policy</w:t>
      </w:r>
    </w:p>
    <w:p w:rsidR="00676004" w:rsidRPr="00185464" w:rsidRDefault="00676004" w:rsidP="00676004">
      <w:pPr>
        <w:tabs>
          <w:tab w:val="left" w:pos="-1440"/>
          <w:tab w:val="left" w:pos="-720"/>
          <w:tab w:val="left" w:pos="1440"/>
        </w:tabs>
        <w:suppressAutoHyphens/>
        <w:jc w:val="both"/>
        <w:rPr>
          <w:rFonts w:ascii="Arial" w:hAnsi="Arial"/>
          <w:sz w:val="24"/>
          <w:szCs w:val="24"/>
        </w:rPr>
      </w:pPr>
    </w:p>
    <w:p w:rsidR="00676004" w:rsidRPr="00185464" w:rsidRDefault="00676004" w:rsidP="00676004">
      <w:pPr>
        <w:tabs>
          <w:tab w:val="left" w:pos="-1440"/>
          <w:tab w:val="left" w:pos="-720"/>
          <w:tab w:val="left" w:pos="1440"/>
        </w:tabs>
        <w:suppressAutoHyphens/>
        <w:jc w:val="both"/>
        <w:rPr>
          <w:rFonts w:ascii="Arial" w:hAnsi="Arial"/>
          <w:sz w:val="24"/>
          <w:szCs w:val="24"/>
        </w:rPr>
      </w:pPr>
      <w:r w:rsidRPr="00185464">
        <w:rPr>
          <w:rFonts w:ascii="Arial" w:hAnsi="Arial"/>
          <w:sz w:val="24"/>
          <w:szCs w:val="24"/>
        </w:rPr>
        <w:t>Decisions on subscription cancellation, and the retention and/or disposal of print material will take into due consideration: subject, availability in electronic format remotely, tie-ins with publisher deals for electronic access, impact on electronic and/or  print access to the wider UCL &amp; UCLH, availability in the Library (either in print or electronic format) to all Library users, demonstrable use, user feedback, consultation with other Libraries within the UCL/UCLH network and the wider Library community, and the Library’s national and Queen Square archive role.</w:t>
      </w:r>
    </w:p>
    <w:p w:rsidR="00676004" w:rsidRPr="00185464" w:rsidRDefault="00676004" w:rsidP="00676004">
      <w:pPr>
        <w:tabs>
          <w:tab w:val="left" w:pos="-1440"/>
          <w:tab w:val="left" w:pos="-720"/>
          <w:tab w:val="left" w:pos="1440"/>
        </w:tabs>
        <w:suppressAutoHyphens/>
        <w:jc w:val="both"/>
        <w:rPr>
          <w:rFonts w:ascii="Arial" w:hAnsi="Arial"/>
          <w:b/>
          <w:sz w:val="24"/>
          <w:szCs w:val="24"/>
          <w:u w:val="single"/>
        </w:rPr>
      </w:pPr>
    </w:p>
    <w:p w:rsidR="00676004" w:rsidRPr="00185464" w:rsidRDefault="00676004" w:rsidP="00676004">
      <w:pPr>
        <w:tabs>
          <w:tab w:val="left" w:pos="-1440"/>
          <w:tab w:val="left" w:pos="-720"/>
          <w:tab w:val="left" w:pos="1440"/>
        </w:tabs>
        <w:suppressAutoHyphens/>
        <w:jc w:val="both"/>
        <w:rPr>
          <w:rFonts w:ascii="Arial" w:hAnsi="Arial"/>
          <w:sz w:val="24"/>
          <w:szCs w:val="24"/>
        </w:rPr>
      </w:pPr>
      <w:r w:rsidRPr="00185464">
        <w:rPr>
          <w:rFonts w:ascii="Arial" w:hAnsi="Arial"/>
          <w:sz w:val="24"/>
          <w:szCs w:val="24"/>
        </w:rPr>
        <w:t>Items selected for disposal will be offered to Library users, to the wider not for profit/Library and archives, neurology and neuroscience communities, to commercial dealers (for a fee), to overseas charities (providing no significant costs are incurred), and as a last resort will be recycled.  Any items with a clear value will be sold, and the funds returned to an appropriate Library budget to be reinvested in the stock or the service.</w:t>
      </w:r>
    </w:p>
    <w:p w:rsidR="00676004" w:rsidRPr="00185464" w:rsidRDefault="00676004" w:rsidP="00676004">
      <w:pPr>
        <w:rPr>
          <w:sz w:val="24"/>
          <w:szCs w:val="24"/>
        </w:rPr>
      </w:pPr>
    </w:p>
    <w:p w:rsidR="00676004" w:rsidRPr="00185464" w:rsidRDefault="00676004">
      <w:pPr>
        <w:rPr>
          <w:sz w:val="24"/>
          <w:szCs w:val="24"/>
        </w:rPr>
      </w:pPr>
    </w:p>
    <w:sectPr w:rsidR="00676004" w:rsidRPr="001854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E01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391401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421159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484663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71AE5FC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004"/>
    <w:rsid w:val="00121817"/>
    <w:rsid w:val="00185464"/>
    <w:rsid w:val="004C055B"/>
    <w:rsid w:val="00676004"/>
    <w:rsid w:val="006F1FB5"/>
    <w:rsid w:val="008774A9"/>
    <w:rsid w:val="008D4502"/>
    <w:rsid w:val="00991865"/>
    <w:rsid w:val="009F59E6"/>
    <w:rsid w:val="00C15ACB"/>
    <w:rsid w:val="00D40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00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00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00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00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930174">
      <w:bodyDiv w:val="1"/>
      <w:marLeft w:val="0"/>
      <w:marRight w:val="0"/>
      <w:marTop w:val="0"/>
      <w:marBottom w:val="0"/>
      <w:divBdr>
        <w:top w:val="none" w:sz="0" w:space="0" w:color="auto"/>
        <w:left w:val="none" w:sz="0" w:space="0" w:color="auto"/>
        <w:bottom w:val="none" w:sz="0" w:space="0" w:color="auto"/>
        <w:right w:val="none" w:sz="0" w:space="0" w:color="auto"/>
      </w:divBdr>
    </w:div>
    <w:div w:id="105967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Lawson</dc:creator>
  <cp:lastModifiedBy>Sarah Lawson</cp:lastModifiedBy>
  <cp:revision>4</cp:revision>
  <cp:lastPrinted>2014-09-26T14:48:00Z</cp:lastPrinted>
  <dcterms:created xsi:type="dcterms:W3CDTF">2014-01-14T09:21:00Z</dcterms:created>
  <dcterms:modified xsi:type="dcterms:W3CDTF">2014-09-26T14:53:00Z</dcterms:modified>
</cp:coreProperties>
</file>