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2277" w14:textId="77777777" w:rsidR="000E3563" w:rsidRDefault="000E3563" w:rsidP="00495FE2">
      <w:pPr>
        <w:jc w:val="center"/>
        <w:rPr>
          <w:b/>
          <w:sz w:val="28"/>
          <w:szCs w:val="28"/>
        </w:rPr>
      </w:pPr>
    </w:p>
    <w:p w14:paraId="764D1337" w14:textId="5DFB3C17" w:rsidR="004662E5" w:rsidRDefault="00224F83" w:rsidP="0049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UCLH Principal Investigator Responsibilities</w:t>
      </w:r>
    </w:p>
    <w:p w14:paraId="4E726ADA" w14:textId="77777777" w:rsidR="00432631" w:rsidRDefault="00432631" w:rsidP="00495FE2">
      <w:pPr>
        <w:jc w:val="center"/>
        <w:rPr>
          <w:b/>
          <w:sz w:val="28"/>
          <w:szCs w:val="28"/>
        </w:rPr>
      </w:pPr>
    </w:p>
    <w:p w14:paraId="05E71381" w14:textId="665FD61E" w:rsidR="004662E5" w:rsidRDefault="00224F83" w:rsidP="006D45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 of UCLH Confirmation of Capacity and Capability</w:t>
      </w:r>
    </w:p>
    <w:p w14:paraId="05A62128" w14:textId="57413E6E" w:rsidR="000E3563" w:rsidRDefault="000E3563" w:rsidP="006D45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Version 1</w:t>
      </w:r>
      <w:r w:rsidR="001561F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(</w:t>
      </w:r>
      <w:r w:rsidR="001561F4">
        <w:rPr>
          <w:b/>
          <w:sz w:val="24"/>
          <w:szCs w:val="24"/>
        </w:rPr>
        <w:t>18</w:t>
      </w:r>
      <w:r w:rsidRPr="000E356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2021)</w:t>
      </w:r>
    </w:p>
    <w:p w14:paraId="1EEEB374" w14:textId="77777777" w:rsidR="004662E5" w:rsidRDefault="004662E5" w:rsidP="00495FE2">
      <w:pPr>
        <w:jc w:val="both"/>
        <w:rPr>
          <w:b/>
          <w:sz w:val="24"/>
          <w:szCs w:val="24"/>
        </w:rPr>
      </w:pPr>
    </w:p>
    <w:p w14:paraId="4F829FA2" w14:textId="77777777" w:rsidR="00432631" w:rsidRDefault="00432631" w:rsidP="00432631">
      <w:pPr>
        <w:ind w:left="720"/>
        <w:jc w:val="both"/>
        <w:rPr>
          <w:b/>
        </w:rPr>
      </w:pPr>
    </w:p>
    <w:p w14:paraId="7E65582F" w14:textId="4D5F99FE" w:rsidR="004662E5" w:rsidRDefault="006D45FD" w:rsidP="00495FE2">
      <w:pPr>
        <w:jc w:val="both"/>
      </w:pPr>
      <w:r>
        <w:t>A condition</w:t>
      </w:r>
      <w:r w:rsidR="00224F83">
        <w:t xml:space="preserve"> of UCLH confirmation of Capacity and Capability, </w:t>
      </w:r>
      <w:r w:rsidR="00432631">
        <w:t xml:space="preserve">is for the Principal Investigator (PI) to confirm their agreement to comply with the responsibilities outlined within this document. </w:t>
      </w:r>
      <w:r w:rsidR="00C1355B">
        <w:t>PI’s are requested to read and sign this document for each study submitted for Capacity and Capability at UCLH.</w:t>
      </w:r>
      <w:r w:rsidR="005A040A">
        <w:t xml:space="preserve"> </w:t>
      </w:r>
    </w:p>
    <w:p w14:paraId="67A384BB" w14:textId="0727E383" w:rsidR="005A040A" w:rsidRDefault="005A040A" w:rsidP="00495FE2">
      <w:pPr>
        <w:jc w:val="both"/>
      </w:pPr>
    </w:p>
    <w:p w14:paraId="204FC972" w14:textId="08FF1C14" w:rsidR="005A040A" w:rsidRDefault="005A040A" w:rsidP="00495FE2">
      <w:pPr>
        <w:jc w:val="both"/>
      </w:pPr>
      <w:r>
        <w:t>This document is managed by the Joint Research Office (JRO), for studies taking place at UCLH.</w:t>
      </w:r>
    </w:p>
    <w:p w14:paraId="10F50EF8" w14:textId="58ACCACA" w:rsidR="004662E5" w:rsidRDefault="004662E5" w:rsidP="00495FE2">
      <w:pPr>
        <w:jc w:val="both"/>
      </w:pPr>
    </w:p>
    <w:p w14:paraId="6CE2AC55" w14:textId="47C63CC4" w:rsidR="00597ACB" w:rsidRPr="006D45FD" w:rsidRDefault="00597ACB" w:rsidP="00995E60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6D45FD">
        <w:rPr>
          <w:b/>
          <w:bCs/>
        </w:rPr>
        <w:t>Legislation</w:t>
      </w:r>
      <w:r>
        <w:rPr>
          <w:b/>
          <w:bCs/>
        </w:rPr>
        <w:t>, regulations</w:t>
      </w:r>
      <w:r w:rsidRPr="006D45FD">
        <w:rPr>
          <w:b/>
          <w:bCs/>
        </w:rPr>
        <w:t xml:space="preserve"> and other requirements</w:t>
      </w:r>
    </w:p>
    <w:p w14:paraId="4E945F1C" w14:textId="77777777" w:rsidR="00597ACB" w:rsidRDefault="00597ACB" w:rsidP="00597ACB">
      <w:pPr>
        <w:jc w:val="both"/>
      </w:pPr>
    </w:p>
    <w:p w14:paraId="77EC9034" w14:textId="2945111D" w:rsidR="00432631" w:rsidRDefault="00432631" w:rsidP="00597ACB">
      <w:pPr>
        <w:jc w:val="both"/>
      </w:pPr>
      <w:r>
        <w:t xml:space="preserve">PI’s </w:t>
      </w:r>
      <w:r w:rsidR="00597ACB">
        <w:t xml:space="preserve">should </w:t>
      </w:r>
      <w:r>
        <w:t xml:space="preserve">comply </w:t>
      </w:r>
      <w:r w:rsidR="003E531D">
        <w:t xml:space="preserve">with </w:t>
      </w:r>
      <w:r>
        <w:t>the following legislations and policies:</w:t>
      </w:r>
    </w:p>
    <w:p w14:paraId="701DE279" w14:textId="77777777" w:rsidR="00432631" w:rsidRDefault="00432631" w:rsidP="00495FE2">
      <w:pPr>
        <w:jc w:val="both"/>
      </w:pPr>
    </w:p>
    <w:p w14:paraId="244BF85E" w14:textId="63F8CBE2" w:rsidR="004662E5" w:rsidRDefault="00224F83" w:rsidP="00495FE2">
      <w:pPr>
        <w:numPr>
          <w:ilvl w:val="0"/>
          <w:numId w:val="6"/>
        </w:numPr>
        <w:jc w:val="both"/>
      </w:pPr>
      <w:r>
        <w:t xml:space="preserve">Applicable </w:t>
      </w:r>
      <w:r w:rsidR="003E531D">
        <w:t xml:space="preserve">JRO and </w:t>
      </w:r>
      <w:r>
        <w:t xml:space="preserve">UCLH </w:t>
      </w:r>
      <w:r w:rsidR="001561F4">
        <w:t xml:space="preserve">(Trust and divisional) </w:t>
      </w:r>
      <w:r>
        <w:t xml:space="preserve">policies, </w:t>
      </w:r>
      <w:r w:rsidR="00826421">
        <w:t>processes,</w:t>
      </w:r>
      <w:r>
        <w:t xml:space="preserve"> and Standard Operating Procedures (SOPs), </w:t>
      </w:r>
    </w:p>
    <w:p w14:paraId="1183F170" w14:textId="658F960E" w:rsidR="004662E5" w:rsidRDefault="00224F83" w:rsidP="00495FE2">
      <w:pPr>
        <w:numPr>
          <w:ilvl w:val="0"/>
          <w:numId w:val="6"/>
        </w:numPr>
        <w:jc w:val="both"/>
      </w:pPr>
      <w:r>
        <w:t>Terms of</w:t>
      </w:r>
      <w:r w:rsidR="00432631">
        <w:t xml:space="preserve"> </w:t>
      </w:r>
      <w:r>
        <w:t>contractual agreement(s), including site agreements</w:t>
      </w:r>
      <w:r w:rsidR="00626363">
        <w:t xml:space="preserve">, </w:t>
      </w:r>
      <w:r w:rsidR="00826421">
        <w:t>material,</w:t>
      </w:r>
      <w:r w:rsidR="00626363">
        <w:t xml:space="preserve"> and financial transfer,</w:t>
      </w:r>
      <w:r>
        <w:t xml:space="preserve"> and/or Organisation Information Document</w:t>
      </w:r>
      <w:r w:rsidR="003E531D">
        <w:t xml:space="preserve"> (OID)</w:t>
      </w:r>
      <w:r>
        <w:t xml:space="preserve"> and</w:t>
      </w:r>
      <w:r w:rsidR="003E531D">
        <w:t xml:space="preserve"> the</w:t>
      </w:r>
      <w:r>
        <w:t xml:space="preserve"> Schedule of Events/SoeCAT</w:t>
      </w:r>
    </w:p>
    <w:p w14:paraId="2CADBD85" w14:textId="77777777" w:rsidR="003E531D" w:rsidRDefault="003E531D" w:rsidP="003E531D">
      <w:pPr>
        <w:ind w:left="360"/>
        <w:jc w:val="both"/>
      </w:pPr>
    </w:p>
    <w:p w14:paraId="4E5D1A6E" w14:textId="05FFC83A" w:rsidR="004662E5" w:rsidRDefault="00224F83" w:rsidP="00495FE2">
      <w:pPr>
        <w:numPr>
          <w:ilvl w:val="0"/>
          <w:numId w:val="6"/>
        </w:numPr>
        <w:jc w:val="both"/>
      </w:pPr>
      <w:r>
        <w:t>A</w:t>
      </w:r>
      <w:r w:rsidR="002E08B2">
        <w:t xml:space="preserve">pplicable regulations including but not </w:t>
      </w:r>
      <w:r>
        <w:t>limited to:</w:t>
      </w:r>
    </w:p>
    <w:p w14:paraId="64CBBE82" w14:textId="77777777" w:rsidR="004662E5" w:rsidRDefault="00224F83" w:rsidP="00495FE2">
      <w:pPr>
        <w:numPr>
          <w:ilvl w:val="1"/>
          <w:numId w:val="6"/>
        </w:numPr>
        <w:jc w:val="both"/>
      </w:pPr>
      <w:r>
        <w:t>General Data Protection Regulation (2016/679) and the UK Data Protection Act (2018); Caldicott Principles; UCLH Information Governance Policy</w:t>
      </w:r>
    </w:p>
    <w:p w14:paraId="7758652E" w14:textId="77777777" w:rsidR="004662E5" w:rsidRDefault="00224F83" w:rsidP="00495FE2">
      <w:pPr>
        <w:numPr>
          <w:ilvl w:val="1"/>
          <w:numId w:val="6"/>
        </w:numPr>
        <w:jc w:val="both"/>
      </w:pPr>
      <w:r>
        <w:t>Human Tissue Act (2004) and the HTA Codes of Practice</w:t>
      </w:r>
    </w:p>
    <w:p w14:paraId="152E7B64" w14:textId="77777777" w:rsidR="004662E5" w:rsidRDefault="00224F83" w:rsidP="00495FE2">
      <w:pPr>
        <w:numPr>
          <w:ilvl w:val="1"/>
          <w:numId w:val="6"/>
        </w:numPr>
        <w:jc w:val="both"/>
      </w:pPr>
      <w:r>
        <w:t>Human Tissue Regulations 2007 (Quality and Safety for Human Application)</w:t>
      </w:r>
    </w:p>
    <w:p w14:paraId="33407189" w14:textId="77777777" w:rsidR="004662E5" w:rsidRDefault="00224F83" w:rsidP="00495FE2">
      <w:pPr>
        <w:numPr>
          <w:ilvl w:val="1"/>
          <w:numId w:val="6"/>
        </w:numPr>
        <w:jc w:val="both"/>
      </w:pPr>
      <w:r>
        <w:t>U.K Policy Framework for Health and Social Care Research and subsequent amendments</w:t>
      </w:r>
    </w:p>
    <w:p w14:paraId="4A50762D" w14:textId="204C64DF" w:rsidR="004662E5" w:rsidRDefault="00224F83" w:rsidP="00495FE2">
      <w:pPr>
        <w:numPr>
          <w:ilvl w:val="1"/>
          <w:numId w:val="6"/>
        </w:numPr>
        <w:jc w:val="both"/>
      </w:pPr>
      <w:r>
        <w:t>Good Clinical Practice Guidance (ICH-GCP)</w:t>
      </w:r>
    </w:p>
    <w:p w14:paraId="2DC6726A" w14:textId="77777777" w:rsidR="003E531D" w:rsidRDefault="003E531D" w:rsidP="003E531D">
      <w:pPr>
        <w:ind w:left="1080"/>
        <w:jc w:val="both"/>
      </w:pPr>
    </w:p>
    <w:p w14:paraId="0BD27B49" w14:textId="77777777" w:rsidR="004662E5" w:rsidRDefault="00224F83" w:rsidP="00495FE2">
      <w:pPr>
        <w:numPr>
          <w:ilvl w:val="0"/>
          <w:numId w:val="6"/>
        </w:numPr>
        <w:jc w:val="both"/>
      </w:pPr>
      <w:r>
        <w:t>All applicable regulatory approvals, including but not limited to:</w:t>
      </w:r>
    </w:p>
    <w:p w14:paraId="24D05851" w14:textId="7509362B" w:rsidR="004662E5" w:rsidRDefault="00224F83" w:rsidP="00495FE2">
      <w:pPr>
        <w:numPr>
          <w:ilvl w:val="1"/>
          <w:numId w:val="6"/>
        </w:numPr>
        <w:jc w:val="both"/>
      </w:pPr>
      <w:r>
        <w:t xml:space="preserve">NHS Research Ethics Committee </w:t>
      </w:r>
      <w:r w:rsidR="00FF053C">
        <w:t>Favorable</w:t>
      </w:r>
      <w:r>
        <w:t xml:space="preserve"> Opinion</w:t>
      </w:r>
    </w:p>
    <w:p w14:paraId="67D8E920" w14:textId="77777777" w:rsidR="004662E5" w:rsidRDefault="00224F83" w:rsidP="00495FE2">
      <w:pPr>
        <w:numPr>
          <w:ilvl w:val="1"/>
          <w:numId w:val="6"/>
        </w:numPr>
        <w:jc w:val="both"/>
      </w:pPr>
      <w:r>
        <w:t>HRA Approval</w:t>
      </w:r>
    </w:p>
    <w:p w14:paraId="07745854" w14:textId="77777777" w:rsidR="004662E5" w:rsidRDefault="00224F83" w:rsidP="00495FE2">
      <w:pPr>
        <w:numPr>
          <w:ilvl w:val="1"/>
          <w:numId w:val="6"/>
        </w:numPr>
        <w:jc w:val="both"/>
      </w:pPr>
      <w:r>
        <w:t>MHRA Notice of Acceptance/No Objection</w:t>
      </w:r>
    </w:p>
    <w:p w14:paraId="37275021" w14:textId="638635D8" w:rsidR="003E531D" w:rsidRDefault="00224F83" w:rsidP="003E531D">
      <w:pPr>
        <w:numPr>
          <w:ilvl w:val="1"/>
          <w:numId w:val="6"/>
        </w:numPr>
        <w:jc w:val="both"/>
      </w:pPr>
      <w:r>
        <w:t>Confidentiality Advisory Group Approval (CAG)</w:t>
      </w:r>
    </w:p>
    <w:p w14:paraId="2ECC7DCE" w14:textId="77777777" w:rsidR="003E531D" w:rsidRDefault="003E531D" w:rsidP="003E531D">
      <w:pPr>
        <w:jc w:val="both"/>
      </w:pPr>
    </w:p>
    <w:p w14:paraId="26EE8359" w14:textId="3034E7B2" w:rsidR="00432631" w:rsidRPr="00597261" w:rsidRDefault="00626363" w:rsidP="00495FE2">
      <w:pPr>
        <w:numPr>
          <w:ilvl w:val="0"/>
          <w:numId w:val="6"/>
        </w:numPr>
        <w:jc w:val="both"/>
      </w:pPr>
      <w:r>
        <w:t>All</w:t>
      </w:r>
      <w:r w:rsidR="00432631" w:rsidRPr="00597261">
        <w:t xml:space="preserve"> applicable, guidance and requirements from other UCLH governance structures, such as Information Governance, the Data Access Committee</w:t>
      </w:r>
      <w:r w:rsidR="0032759F" w:rsidRPr="00597261">
        <w:t>, U</w:t>
      </w:r>
      <w:r w:rsidR="00227B4D" w:rsidRPr="00597261">
        <w:t>se of</w:t>
      </w:r>
      <w:r w:rsidR="0032759F" w:rsidRPr="00597261">
        <w:t xml:space="preserve"> Medicines Committee, Genetic Modifications Safety Committee, Medical Devices </w:t>
      </w:r>
      <w:r w:rsidR="00826421" w:rsidRPr="00597261">
        <w:t>Committee,</w:t>
      </w:r>
      <w:r w:rsidR="003E531D">
        <w:t xml:space="preserve"> and the</w:t>
      </w:r>
      <w:r w:rsidR="0032759F" w:rsidRPr="00597261">
        <w:t xml:space="preserve"> </w:t>
      </w:r>
      <w:r w:rsidR="0032759F" w:rsidRPr="00597261">
        <w:rPr>
          <w:shd w:val="clear" w:color="auto" w:fill="FFFFFF"/>
        </w:rPr>
        <w:t>Clinical Effectiveness Steering Group (CESG)</w:t>
      </w:r>
      <w:r>
        <w:rPr>
          <w:shd w:val="clear" w:color="auto" w:fill="FFFFFF"/>
        </w:rPr>
        <w:t>.</w:t>
      </w:r>
      <w:r w:rsidR="00432631" w:rsidRPr="00597261">
        <w:t xml:space="preserve"> </w:t>
      </w:r>
    </w:p>
    <w:p w14:paraId="1DD1AAAF" w14:textId="3FAABABD" w:rsidR="003E531D" w:rsidRDefault="00301D09" w:rsidP="003E531D">
      <w:pPr>
        <w:numPr>
          <w:ilvl w:val="0"/>
          <w:numId w:val="6"/>
        </w:numPr>
        <w:ind w:right="-340"/>
        <w:jc w:val="both"/>
      </w:pPr>
      <w:r>
        <w:lastRenderedPageBreak/>
        <w:t xml:space="preserve">For human tissue, </w:t>
      </w:r>
      <w:r w:rsidR="008E45C2">
        <w:t xml:space="preserve">the PI should ensure that </w:t>
      </w:r>
      <w:r>
        <w:t xml:space="preserve">once NHS REC’s ‘Notice of </w:t>
      </w:r>
      <w:r w:rsidR="00FF053C">
        <w:t>Favorable</w:t>
      </w:r>
      <w:r>
        <w:t xml:space="preserve"> Opinion’ for the study has expired,</w:t>
      </w:r>
      <w:r w:rsidR="008E45C2">
        <w:t xml:space="preserve"> they</w:t>
      </w:r>
      <w:r w:rsidR="00942366">
        <w:t xml:space="preserve"> </w:t>
      </w:r>
      <w:r w:rsidR="008E45C2">
        <w:t xml:space="preserve">consult with the </w:t>
      </w:r>
      <w:r w:rsidR="00FF053C">
        <w:t>sponsor and</w:t>
      </w:r>
      <w:r>
        <w:t xml:space="preserve"> ensure</w:t>
      </w:r>
      <w:r w:rsidR="008E45C2">
        <w:t xml:space="preserve"> the sponsor has taken</w:t>
      </w:r>
      <w:r w:rsidR="003E531D">
        <w:t xml:space="preserve"> and advised on</w:t>
      </w:r>
      <w:r w:rsidR="008E45C2">
        <w:t xml:space="preserve"> the relevant actions </w:t>
      </w:r>
      <w:r w:rsidR="003E531D">
        <w:t>including</w:t>
      </w:r>
      <w:r w:rsidR="008E45C2">
        <w:t>:</w:t>
      </w:r>
    </w:p>
    <w:p w14:paraId="334700E7" w14:textId="77777777" w:rsidR="003E531D" w:rsidRDefault="003E531D" w:rsidP="003E531D">
      <w:pPr>
        <w:ind w:left="360" w:right="-340"/>
        <w:jc w:val="both"/>
      </w:pPr>
    </w:p>
    <w:p w14:paraId="2D5CB567" w14:textId="1869A4AD" w:rsidR="00301D09" w:rsidRDefault="003E531D" w:rsidP="00301D09">
      <w:pPr>
        <w:numPr>
          <w:ilvl w:val="1"/>
          <w:numId w:val="6"/>
        </w:numPr>
        <w:ind w:right="-340"/>
        <w:jc w:val="both"/>
      </w:pPr>
      <w:r>
        <w:t>i</w:t>
      </w:r>
      <w:r w:rsidR="00942366">
        <w:t>nstruct</w:t>
      </w:r>
      <w:r>
        <w:t>ing the PI on the</w:t>
      </w:r>
      <w:r w:rsidR="00942366">
        <w:t xml:space="preserve"> </w:t>
      </w:r>
      <w:r w:rsidR="00301D09">
        <w:t>dispos</w:t>
      </w:r>
      <w:r>
        <w:t>al of</w:t>
      </w:r>
      <w:r w:rsidR="00301D09">
        <w:t xml:space="preserve"> any remaining tissues in accordance with the study protocol and Human Tissue Act 2004 </w:t>
      </w:r>
    </w:p>
    <w:p w14:paraId="3F625162" w14:textId="65FD6B20" w:rsidR="00301D09" w:rsidRDefault="008E45C2" w:rsidP="00FF053C">
      <w:pPr>
        <w:numPr>
          <w:ilvl w:val="1"/>
          <w:numId w:val="6"/>
        </w:numPr>
        <w:ind w:right="-340"/>
        <w:jc w:val="both"/>
      </w:pPr>
      <w:r>
        <w:t xml:space="preserve">made </w:t>
      </w:r>
      <w:r w:rsidR="00942366">
        <w:t>an application to</w:t>
      </w:r>
      <w:r w:rsidR="00301D09">
        <w:t xml:space="preserve"> the NHS REC for the use of remaining tissue</w:t>
      </w:r>
      <w:r w:rsidR="003E531D">
        <w:t xml:space="preserve"> (where applicable)</w:t>
      </w:r>
      <w:r w:rsidR="00942366">
        <w:t xml:space="preserve"> </w:t>
      </w:r>
    </w:p>
    <w:p w14:paraId="7641DB9B" w14:textId="127AB612" w:rsidR="008E45C2" w:rsidRDefault="00FF053C" w:rsidP="008E45C2">
      <w:pPr>
        <w:numPr>
          <w:ilvl w:val="1"/>
          <w:numId w:val="6"/>
        </w:numPr>
        <w:ind w:right="-340"/>
        <w:jc w:val="both"/>
      </w:pPr>
      <w:r>
        <w:t>provided instruction</w:t>
      </w:r>
      <w:r w:rsidR="008E45C2">
        <w:t xml:space="preserve"> to transfer any remaining tissue to a HTA licensed tissue bank </w:t>
      </w:r>
      <w:r w:rsidR="003E531D">
        <w:t>(where applicable)</w:t>
      </w:r>
    </w:p>
    <w:p w14:paraId="2D040FAD" w14:textId="5792C145" w:rsidR="008E45C2" w:rsidRDefault="008E45C2" w:rsidP="0024294C">
      <w:pPr>
        <w:ind w:left="1080" w:right="-340"/>
        <w:jc w:val="both"/>
      </w:pPr>
    </w:p>
    <w:p w14:paraId="1C8CD9AD" w14:textId="02FECB45" w:rsidR="009930AB" w:rsidRPr="00F553B8" w:rsidRDefault="009930AB" w:rsidP="00495FE2">
      <w:pPr>
        <w:numPr>
          <w:ilvl w:val="0"/>
          <w:numId w:val="6"/>
        </w:numPr>
        <w:jc w:val="both"/>
        <w:rPr>
          <w:rStyle w:val="Hyperlink"/>
          <w:b/>
          <w:bCs/>
          <w:color w:val="auto"/>
          <w:u w:val="none"/>
          <w:lang w:val="en-GB"/>
        </w:rPr>
      </w:pPr>
      <w:r>
        <w:t xml:space="preserve">UCLH’s </w:t>
      </w:r>
      <w:hyperlink r:id="rId8" w:history="1">
        <w:r w:rsidRPr="00AD4436">
          <w:rPr>
            <w:rStyle w:val="Hyperlink"/>
            <w:i/>
            <w:iCs/>
            <w:lang w:val="en-GB"/>
          </w:rPr>
          <w:t>Standards of Business Conduct Policy</w:t>
        </w:r>
      </w:hyperlink>
    </w:p>
    <w:p w14:paraId="4A9E6C75" w14:textId="1A2609CB" w:rsidR="00F553B8" w:rsidRPr="003E531D" w:rsidRDefault="00F553B8" w:rsidP="00495FE2">
      <w:pPr>
        <w:numPr>
          <w:ilvl w:val="0"/>
          <w:numId w:val="6"/>
        </w:numPr>
        <w:jc w:val="both"/>
        <w:rPr>
          <w:b/>
          <w:bCs/>
          <w:lang w:val="en-GB"/>
        </w:rPr>
      </w:pPr>
      <w:r>
        <w:t>UCLH infection control policies/guidance and other pandemic or major change directives, policies or guidance issued by UCLH, the UCLH clinical division or the JRO</w:t>
      </w:r>
    </w:p>
    <w:p w14:paraId="40527621" w14:textId="1924486A" w:rsidR="003E531D" w:rsidRPr="003E531D" w:rsidRDefault="003E531D" w:rsidP="003E531D">
      <w:pPr>
        <w:numPr>
          <w:ilvl w:val="0"/>
          <w:numId w:val="6"/>
        </w:numPr>
        <w:jc w:val="both"/>
      </w:pPr>
      <w:r>
        <w:t xml:space="preserve">All other relevant UCLH Policies and training requirements </w:t>
      </w:r>
    </w:p>
    <w:p w14:paraId="3AAB47D7" w14:textId="49621ADC" w:rsidR="004662E5" w:rsidRDefault="004662E5" w:rsidP="00495FE2">
      <w:pPr>
        <w:jc w:val="both"/>
        <w:rPr>
          <w:b/>
        </w:rPr>
      </w:pPr>
    </w:p>
    <w:p w14:paraId="53AD4110" w14:textId="77777777" w:rsidR="00C1355B" w:rsidRDefault="00C1355B" w:rsidP="00495FE2">
      <w:pPr>
        <w:jc w:val="both"/>
        <w:rPr>
          <w:b/>
        </w:rPr>
      </w:pPr>
    </w:p>
    <w:p w14:paraId="57EFC3B1" w14:textId="77777777" w:rsidR="004662E5" w:rsidRDefault="00224F83" w:rsidP="00495FE2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Responsibilities of the PI and the Research Team:</w:t>
      </w:r>
    </w:p>
    <w:p w14:paraId="24334D2C" w14:textId="77777777" w:rsidR="004662E5" w:rsidRDefault="004662E5" w:rsidP="00495FE2">
      <w:pPr>
        <w:jc w:val="both"/>
        <w:rPr>
          <w:b/>
        </w:rPr>
      </w:pPr>
    </w:p>
    <w:p w14:paraId="5F244BBA" w14:textId="3861EC4B" w:rsidR="004662E5" w:rsidRDefault="00597ACB" w:rsidP="00495FE2">
      <w:pPr>
        <w:jc w:val="both"/>
      </w:pPr>
      <w:r>
        <w:t>PIs</w:t>
      </w:r>
      <w:r w:rsidR="00224F83">
        <w:t xml:space="preserve"> </w:t>
      </w:r>
      <w:r w:rsidR="00626363">
        <w:t>should</w:t>
      </w:r>
      <w:r w:rsidR="00224F83">
        <w:t xml:space="preserve"> </w:t>
      </w:r>
      <w:r>
        <w:t>comply with the following responsibilities</w:t>
      </w:r>
      <w:r w:rsidR="00224F83">
        <w:t>:</w:t>
      </w:r>
    </w:p>
    <w:p w14:paraId="46EF46BF" w14:textId="77777777" w:rsidR="00597ACB" w:rsidRDefault="00597ACB" w:rsidP="00495FE2">
      <w:pPr>
        <w:jc w:val="both"/>
      </w:pPr>
    </w:p>
    <w:p w14:paraId="7DC9466D" w14:textId="77777777" w:rsidR="009131A4" w:rsidRDefault="009131A4" w:rsidP="009131A4">
      <w:pPr>
        <w:numPr>
          <w:ilvl w:val="0"/>
          <w:numId w:val="5"/>
        </w:numPr>
        <w:jc w:val="both"/>
      </w:pPr>
      <w:r>
        <w:t>Maintain oversight of all research activities</w:t>
      </w:r>
    </w:p>
    <w:p w14:paraId="41C89BC7" w14:textId="7B348433" w:rsidR="009131A4" w:rsidRDefault="009131A4" w:rsidP="009131A4">
      <w:pPr>
        <w:numPr>
          <w:ilvl w:val="0"/>
          <w:numId w:val="5"/>
        </w:numPr>
        <w:jc w:val="both"/>
      </w:pPr>
      <w:r>
        <w:t>Ensure the study is run in accordance with sponsor requirements, including the approved protocol, contracts/agreements, and other conditions</w:t>
      </w:r>
    </w:p>
    <w:p w14:paraId="64330C49" w14:textId="3D5FBC5C" w:rsidR="009131A4" w:rsidRDefault="009131A4" w:rsidP="009131A4">
      <w:pPr>
        <w:numPr>
          <w:ilvl w:val="0"/>
          <w:numId w:val="5"/>
        </w:numPr>
        <w:jc w:val="both"/>
      </w:pPr>
      <w:r>
        <w:t xml:space="preserve">Ensure the study is run in accordance with the division/UCLH </w:t>
      </w:r>
      <w:r w:rsidR="00E617FF">
        <w:t>requirements</w:t>
      </w:r>
    </w:p>
    <w:p w14:paraId="3F863012" w14:textId="78AFBBD7" w:rsidR="00E617FF" w:rsidRDefault="00E617FF" w:rsidP="009131A4">
      <w:pPr>
        <w:numPr>
          <w:ilvl w:val="0"/>
          <w:numId w:val="5"/>
        </w:numPr>
        <w:jc w:val="both"/>
      </w:pPr>
      <w:r>
        <w:t xml:space="preserve">Ensure any change </w:t>
      </w:r>
      <w:r w:rsidR="00307B48">
        <w:t xml:space="preserve">which is </w:t>
      </w:r>
      <w:r>
        <w:t>relevant to the transfer/ share of data and use of IP within the study are declared to the JRO</w:t>
      </w:r>
    </w:p>
    <w:p w14:paraId="03192737" w14:textId="6D4259F6" w:rsidR="00A435B7" w:rsidRDefault="00A435B7" w:rsidP="009131A4">
      <w:pPr>
        <w:numPr>
          <w:ilvl w:val="0"/>
          <w:numId w:val="5"/>
        </w:numPr>
        <w:jc w:val="both"/>
      </w:pPr>
      <w:r>
        <w:t>Respond to all requests relating to the study</w:t>
      </w:r>
      <w:r w:rsidR="00307B48">
        <w:t xml:space="preserve"> </w:t>
      </w:r>
      <w:r>
        <w:t>from the sponsor and the JRO</w:t>
      </w:r>
    </w:p>
    <w:p w14:paraId="0E7A07FF" w14:textId="4DD3AC02" w:rsidR="004662E5" w:rsidRDefault="00034248" w:rsidP="00495FE2">
      <w:pPr>
        <w:numPr>
          <w:ilvl w:val="0"/>
          <w:numId w:val="5"/>
        </w:numPr>
        <w:jc w:val="both"/>
      </w:pPr>
      <w:r>
        <w:t>P</w:t>
      </w:r>
      <w:r w:rsidR="00224F83">
        <w:t xml:space="preserve">repare and maintain a UCLH Investigator Site </w:t>
      </w:r>
      <w:r w:rsidR="0000398C">
        <w:t>File</w:t>
      </w:r>
      <w:r w:rsidR="00626363">
        <w:t xml:space="preserve"> (ISF)</w:t>
      </w:r>
      <w:r w:rsidR="0000398C">
        <w:t xml:space="preserve"> </w:t>
      </w:r>
      <w:r w:rsidR="00626363">
        <w:t xml:space="preserve">which contains </w:t>
      </w:r>
      <w:r w:rsidR="00224F83">
        <w:t>all relevant documentation in accordance with Sponsor and host SOPs</w:t>
      </w:r>
      <w:r w:rsidR="009D1860">
        <w:t xml:space="preserve"> including an up-to-date delegation log </w:t>
      </w:r>
      <w:r w:rsidR="00224F83">
        <w:t>(</w:t>
      </w:r>
      <w:r w:rsidR="00224F83">
        <w:rPr>
          <w:i/>
        </w:rPr>
        <w:t xml:space="preserve">refer to </w:t>
      </w:r>
      <w:hyperlink r:id="rId9" w:history="1">
        <w:r w:rsidR="00224F83" w:rsidRPr="00424933">
          <w:rPr>
            <w:rStyle w:val="Hyperlink"/>
            <w:i/>
          </w:rPr>
          <w:t>UCLH SOP 8: Essential Documents and the ISF/TMF</w:t>
        </w:r>
      </w:hyperlink>
      <w:r w:rsidR="00224F83" w:rsidRPr="0000398C">
        <w:rPr>
          <w:rStyle w:val="Hyperlink"/>
        </w:rPr>
        <w:t>,</w:t>
      </w:r>
    </w:p>
    <w:p w14:paraId="012C380C" w14:textId="6424A7B3" w:rsidR="004662E5" w:rsidRDefault="00597ACB" w:rsidP="00626363">
      <w:pPr>
        <w:numPr>
          <w:ilvl w:val="0"/>
          <w:numId w:val="5"/>
        </w:numPr>
        <w:jc w:val="both"/>
      </w:pPr>
      <w:r>
        <w:t>Ensure a</w:t>
      </w:r>
      <w:r w:rsidR="00224F83">
        <w:t xml:space="preserve">ll research staff are suitably trained, </w:t>
      </w:r>
      <w:r w:rsidR="00626363">
        <w:t>qualified,</w:t>
      </w:r>
      <w:r w:rsidR="00224F83">
        <w:t xml:space="preserve"> and experienced to carry out </w:t>
      </w:r>
      <w:r>
        <w:t xml:space="preserve">their required </w:t>
      </w:r>
      <w:r w:rsidR="00626363">
        <w:t>duties (throughout the life course of the stud</w:t>
      </w:r>
      <w:r w:rsidR="009D1860">
        <w:t>y).</w:t>
      </w:r>
      <w:r w:rsidR="008F1C22">
        <w:t xml:space="preserve">This </w:t>
      </w:r>
      <w:r w:rsidR="00626363">
        <w:t>includes</w:t>
      </w:r>
      <w:r w:rsidR="00A73384">
        <w:t xml:space="preserve"> Epic Research Add-on training and </w:t>
      </w:r>
      <w:r w:rsidR="00224F83">
        <w:t>Good Clinical Practice (GCP) training (</w:t>
      </w:r>
      <w:r w:rsidR="008F1C22">
        <w:t>Clinical Trials of Investigational Medicinal Products</w:t>
      </w:r>
      <w:r w:rsidR="00224F83">
        <w:t>)</w:t>
      </w:r>
      <w:r w:rsidR="00A73384">
        <w:t xml:space="preserve">, renewable </w:t>
      </w:r>
      <w:r w:rsidR="00626363">
        <w:t xml:space="preserve">every 2 years </w:t>
      </w:r>
    </w:p>
    <w:p w14:paraId="6E470AD4" w14:textId="79CEED51" w:rsidR="004662E5" w:rsidRDefault="00597ACB" w:rsidP="00495FE2">
      <w:pPr>
        <w:numPr>
          <w:ilvl w:val="0"/>
          <w:numId w:val="5"/>
        </w:numPr>
        <w:jc w:val="both"/>
      </w:pPr>
      <w:r>
        <w:t>F</w:t>
      </w:r>
      <w:r w:rsidR="00224F83">
        <w:t xml:space="preserve">ollow the </w:t>
      </w:r>
      <w:hyperlink r:id="rId10" w:history="1">
        <w:r w:rsidR="00224F83" w:rsidRPr="00AD4436">
          <w:rPr>
            <w:rStyle w:val="Hyperlink"/>
            <w:i/>
          </w:rPr>
          <w:t>UCLH SOP: Monitors Access to UCLH EHRS (EpicCare Link UCLH)</w:t>
        </w:r>
      </w:hyperlink>
      <w:r w:rsidR="00224F83">
        <w:rPr>
          <w:i/>
        </w:rPr>
        <w:t xml:space="preserve"> </w:t>
      </w:r>
      <w:r w:rsidR="00224F83">
        <w:t>for facilitating monitor access to UCLH EHRS</w:t>
      </w:r>
      <w:r w:rsidR="004A34C4">
        <w:t xml:space="preserve"> including responsibility for </w:t>
      </w:r>
      <w:r w:rsidR="00224F83">
        <w:t>monitors sign</w:t>
      </w:r>
      <w:r w:rsidR="004A34C4">
        <w:t>ing</w:t>
      </w:r>
      <w:r w:rsidR="00224F83">
        <w:t xml:space="preserve"> the ‘Monitors Code of Conduct’ document prior to accessing patient records</w:t>
      </w:r>
    </w:p>
    <w:p w14:paraId="1C6FE2E9" w14:textId="4107580D" w:rsidR="005A040A" w:rsidRDefault="005A040A" w:rsidP="00495FE2">
      <w:pPr>
        <w:numPr>
          <w:ilvl w:val="0"/>
          <w:numId w:val="5"/>
        </w:numPr>
        <w:jc w:val="both"/>
      </w:pPr>
      <w:r>
        <w:t xml:space="preserve">Facilitate any audits or monitoring activity as required by the sponsor or the </w:t>
      </w:r>
      <w:r w:rsidR="001561F4">
        <w:t>JRO.</w:t>
      </w:r>
    </w:p>
    <w:p w14:paraId="2E235C18" w14:textId="7407B371" w:rsidR="00271741" w:rsidRPr="00631597" w:rsidRDefault="00271741" w:rsidP="00495FE2">
      <w:pPr>
        <w:numPr>
          <w:ilvl w:val="0"/>
          <w:numId w:val="5"/>
        </w:numPr>
        <w:jc w:val="both"/>
      </w:pPr>
      <w:r w:rsidRPr="00631597">
        <w:t>During periods of pandemic or local and national emergencies</w:t>
      </w:r>
      <w:r w:rsidR="001561F4">
        <w:t xml:space="preserve"> or local need </w:t>
      </w:r>
      <w:r w:rsidRPr="00631597">
        <w:t xml:space="preserve">release appropriate research staff to support urgent public health studies and/or urgent clinical care requirements at UCLH </w:t>
      </w:r>
    </w:p>
    <w:p w14:paraId="053A3093" w14:textId="38A5E62B" w:rsidR="00301D09" w:rsidRDefault="00301D09" w:rsidP="00495FE2">
      <w:pPr>
        <w:jc w:val="both"/>
      </w:pPr>
    </w:p>
    <w:p w14:paraId="4F7BD3EA" w14:textId="25822DB3" w:rsidR="00C1355B" w:rsidRDefault="00C1355B" w:rsidP="00495FE2">
      <w:pPr>
        <w:jc w:val="both"/>
      </w:pPr>
    </w:p>
    <w:p w14:paraId="0E200545" w14:textId="7D76E85A" w:rsidR="009D1860" w:rsidRDefault="009D1860" w:rsidP="00495FE2">
      <w:pPr>
        <w:jc w:val="both"/>
      </w:pPr>
    </w:p>
    <w:p w14:paraId="55BCBF0D" w14:textId="77777777" w:rsidR="009D1860" w:rsidRDefault="009D1860" w:rsidP="00495FE2">
      <w:pPr>
        <w:jc w:val="both"/>
      </w:pPr>
    </w:p>
    <w:p w14:paraId="0C248BFD" w14:textId="6C4B2CA4" w:rsidR="004662E5" w:rsidRPr="00F17DF3" w:rsidRDefault="00224F83" w:rsidP="00495FE2">
      <w:pPr>
        <w:numPr>
          <w:ilvl w:val="0"/>
          <w:numId w:val="2"/>
        </w:numPr>
        <w:ind w:right="-340"/>
        <w:jc w:val="both"/>
        <w:rPr>
          <w:b/>
        </w:rPr>
      </w:pPr>
      <w:r>
        <w:rPr>
          <w:b/>
          <w:u w:val="single"/>
        </w:rPr>
        <w:t>Reporting Requirements</w:t>
      </w:r>
    </w:p>
    <w:p w14:paraId="1AFC7EA0" w14:textId="63927B17" w:rsidR="00F17DF3" w:rsidRDefault="00F17DF3" w:rsidP="00F17DF3">
      <w:pPr>
        <w:ind w:right="-340"/>
        <w:jc w:val="both"/>
        <w:rPr>
          <w:b/>
          <w:u w:val="single"/>
        </w:rPr>
      </w:pPr>
    </w:p>
    <w:p w14:paraId="120142DB" w14:textId="37F18B50" w:rsidR="00F17DF3" w:rsidRDefault="009D1860" w:rsidP="00F17DF3">
      <w:pPr>
        <w:jc w:val="both"/>
      </w:pPr>
      <w:r>
        <w:t xml:space="preserve">The </w:t>
      </w:r>
      <w:r w:rsidR="00F17DF3">
        <w:t xml:space="preserve">PI should report the following requirements within UCLH. </w:t>
      </w:r>
    </w:p>
    <w:p w14:paraId="05891FB0" w14:textId="556E89F9" w:rsidR="00F17DF3" w:rsidRDefault="00F17DF3" w:rsidP="00F17DF3">
      <w:pPr>
        <w:ind w:right="-340"/>
        <w:jc w:val="both"/>
        <w:rPr>
          <w:b/>
        </w:rPr>
      </w:pPr>
    </w:p>
    <w:p w14:paraId="77873936" w14:textId="77777777" w:rsidR="004662E5" w:rsidRPr="00271741" w:rsidRDefault="00224F83" w:rsidP="00495FE2">
      <w:pPr>
        <w:ind w:right="-340"/>
        <w:jc w:val="both"/>
        <w:rPr>
          <w:b/>
          <w:i/>
          <w:iCs/>
        </w:rPr>
      </w:pPr>
      <w:r w:rsidRPr="00271741">
        <w:rPr>
          <w:b/>
          <w:i/>
          <w:iCs/>
        </w:rPr>
        <w:t>Research Events and Incidents</w:t>
      </w:r>
    </w:p>
    <w:p w14:paraId="1ED401DF" w14:textId="43D1F648" w:rsidR="004662E5" w:rsidRPr="009930AB" w:rsidRDefault="00224F83" w:rsidP="00495FE2">
      <w:pPr>
        <w:ind w:right="-340"/>
        <w:jc w:val="both"/>
      </w:pPr>
      <w:r>
        <w:t xml:space="preserve"> </w:t>
      </w:r>
    </w:p>
    <w:p w14:paraId="465884EE" w14:textId="46F92113" w:rsidR="004662E5" w:rsidRPr="00C1355B" w:rsidRDefault="00C1355B" w:rsidP="00495FE2">
      <w:pPr>
        <w:ind w:right="-340"/>
        <w:jc w:val="both"/>
      </w:pPr>
      <w:r>
        <w:t>PIs should</w:t>
      </w:r>
      <w:r w:rsidR="00B66D4D">
        <w:t xml:space="preserve"> report </w:t>
      </w:r>
      <w:r>
        <w:t xml:space="preserve">all </w:t>
      </w:r>
      <w:r w:rsidR="00B66D4D">
        <w:t xml:space="preserve">incidents which are </w:t>
      </w:r>
      <w:r>
        <w:t xml:space="preserve">related to </w:t>
      </w:r>
      <w:r w:rsidR="00B66D4D">
        <w:t>research procedures at UCLH</w:t>
      </w:r>
      <w:r>
        <w:t xml:space="preserve"> (in accordance with </w:t>
      </w:r>
      <w:r w:rsidR="00224F83">
        <w:t xml:space="preserve">the </w:t>
      </w:r>
      <w:hyperlink r:id="rId11" w:history="1">
        <w:r w:rsidR="00224F83" w:rsidRPr="00424933">
          <w:rPr>
            <w:rStyle w:val="Hyperlink"/>
            <w:i/>
          </w:rPr>
          <w:t>UCLH SOP for Reporting Research Incidents and Events</w:t>
        </w:r>
        <w:r w:rsidR="00224F83" w:rsidRPr="00424933">
          <w:rPr>
            <w:rStyle w:val="Hyperlink"/>
          </w:rPr>
          <w:t>)</w:t>
        </w:r>
        <w:r w:rsidRPr="00424933">
          <w:rPr>
            <w:rStyle w:val="Hyperlink"/>
          </w:rPr>
          <w:t>.</w:t>
        </w:r>
      </w:hyperlink>
      <w:r>
        <w:rPr>
          <w:rStyle w:val="Hyperlink"/>
          <w:u w:val="none"/>
        </w:rPr>
        <w:t xml:space="preserve"> </w:t>
      </w:r>
      <w:r w:rsidRPr="00C1355B">
        <w:rPr>
          <w:rStyle w:val="Hyperlink"/>
          <w:color w:val="auto"/>
          <w:u w:val="none"/>
        </w:rPr>
        <w:t xml:space="preserve">These incidents include: </w:t>
      </w:r>
    </w:p>
    <w:p w14:paraId="4CF06BC9" w14:textId="77777777" w:rsidR="004662E5" w:rsidRDefault="004662E5" w:rsidP="00495FE2">
      <w:pPr>
        <w:ind w:right="-340"/>
        <w:jc w:val="both"/>
      </w:pPr>
    </w:p>
    <w:p w14:paraId="62B415C5" w14:textId="49675206" w:rsidR="00C1355B" w:rsidRDefault="00C1355B" w:rsidP="00597261">
      <w:pPr>
        <w:numPr>
          <w:ilvl w:val="0"/>
          <w:numId w:val="3"/>
        </w:numPr>
        <w:ind w:right="-340"/>
        <w:jc w:val="both"/>
      </w:pPr>
      <w:r>
        <w:t>All Serious Incidents, which should be reported immediately via Datix and concurrently emailed to the UCLH Patient Safety Team</w:t>
      </w:r>
    </w:p>
    <w:p w14:paraId="1BC29749" w14:textId="07044784" w:rsidR="00BF6225" w:rsidRDefault="00BF6225" w:rsidP="00597261">
      <w:pPr>
        <w:numPr>
          <w:ilvl w:val="0"/>
          <w:numId w:val="3"/>
        </w:numPr>
        <w:ind w:right="-340"/>
        <w:jc w:val="both"/>
      </w:pPr>
      <w:r>
        <w:t>All incidents which cause harm to a patient whilst they are taking part in a research study – including those incidents which cause significant harm or distress and appear un-related to the study intervention itself</w:t>
      </w:r>
      <w:r w:rsidR="008E45C2">
        <w:t xml:space="preserve"> </w:t>
      </w:r>
    </w:p>
    <w:p w14:paraId="1A4BBCEA" w14:textId="75BF5D10" w:rsidR="00C1355B" w:rsidRDefault="00C1355B" w:rsidP="00C1355B">
      <w:pPr>
        <w:pStyle w:val="ListParagraph"/>
        <w:numPr>
          <w:ilvl w:val="0"/>
          <w:numId w:val="3"/>
        </w:numPr>
        <w:tabs>
          <w:tab w:val="left" w:pos="1440"/>
        </w:tabs>
        <w:ind w:right="-340"/>
        <w:jc w:val="both"/>
      </w:pPr>
      <w:r>
        <w:t xml:space="preserve">All </w:t>
      </w:r>
      <w:r w:rsidRPr="00C1355B">
        <w:rPr>
          <w:bCs/>
        </w:rPr>
        <w:t>complaints</w:t>
      </w:r>
      <w:r>
        <w:t xml:space="preserve"> from NHS patients at UCLH. Complaints should be reported in the first instance to the UCLH NHS Complaints Dept. (</w:t>
      </w:r>
      <w:hyperlink r:id="rId12">
        <w:r w:rsidRPr="00C1355B">
          <w:rPr>
            <w:color w:val="1155CC"/>
            <w:u w:val="single"/>
          </w:rPr>
          <w:t>uclh.complaints@nhs.net</w:t>
        </w:r>
      </w:hyperlink>
      <w:r>
        <w:t>) who will liaise with the JRO as applicable</w:t>
      </w:r>
    </w:p>
    <w:p w14:paraId="4F975441" w14:textId="180BC6E5" w:rsidR="004662E5" w:rsidRDefault="00224F83" w:rsidP="009D1860">
      <w:pPr>
        <w:numPr>
          <w:ilvl w:val="0"/>
          <w:numId w:val="3"/>
        </w:numPr>
        <w:ind w:right="-340"/>
        <w:jc w:val="both"/>
      </w:pPr>
      <w:r>
        <w:t xml:space="preserve">All </w:t>
      </w:r>
      <w:r>
        <w:rPr>
          <w:b/>
        </w:rPr>
        <w:t xml:space="preserve">unexpected and related </w:t>
      </w:r>
      <w:r>
        <w:t>research incidents occurring at UCLH</w:t>
      </w:r>
      <w:r w:rsidR="00C1355B">
        <w:t xml:space="preserve">. Such incidents should be reported via Datix immediately (marked as related to a clinical trial or research study). </w:t>
      </w:r>
    </w:p>
    <w:p w14:paraId="16D9F811" w14:textId="77777777" w:rsidR="009D1860" w:rsidRDefault="009D1860" w:rsidP="009D1860">
      <w:pPr>
        <w:ind w:left="360" w:right="-340"/>
        <w:jc w:val="both"/>
      </w:pPr>
    </w:p>
    <w:p w14:paraId="3288E0AC" w14:textId="175CC0D7" w:rsidR="004662E5" w:rsidRPr="00271741" w:rsidRDefault="00224F83" w:rsidP="00495FE2">
      <w:pPr>
        <w:ind w:right="-340"/>
        <w:jc w:val="both"/>
        <w:rPr>
          <w:b/>
          <w:i/>
          <w:iCs/>
        </w:rPr>
      </w:pPr>
      <w:bookmarkStart w:id="0" w:name="_Hlk59534064"/>
      <w:r w:rsidRPr="00271741">
        <w:rPr>
          <w:b/>
          <w:i/>
          <w:iCs/>
        </w:rPr>
        <w:t>Incidental Findings in Research</w:t>
      </w:r>
    </w:p>
    <w:p w14:paraId="5C5EAA15" w14:textId="77777777" w:rsidR="00FD3DFF" w:rsidRDefault="00FD3DFF" w:rsidP="00495FE2">
      <w:pPr>
        <w:ind w:right="-340"/>
        <w:jc w:val="both"/>
        <w:rPr>
          <w:b/>
        </w:rPr>
      </w:pPr>
    </w:p>
    <w:p w14:paraId="481FF23D" w14:textId="5898EEC9" w:rsidR="004662E5" w:rsidRDefault="000324C7" w:rsidP="00495FE2">
      <w:pPr>
        <w:ind w:right="-340"/>
        <w:jc w:val="both"/>
        <w:rPr>
          <w:highlight w:val="white"/>
        </w:rPr>
      </w:pPr>
      <w:r>
        <w:t xml:space="preserve">A finding that has potential health or reproductive importance, which is discovered </w:t>
      </w:r>
      <w:r w:rsidR="009D1860">
        <w:t>while</w:t>
      </w:r>
      <w:r>
        <w:t xml:space="preserve"> conducting research, but is unrelated to the aims of the study</w:t>
      </w:r>
      <w:r>
        <w:rPr>
          <w:rStyle w:val="EndnoteReference"/>
        </w:rPr>
        <w:endnoteReference w:id="1"/>
      </w:r>
      <w:r>
        <w:t xml:space="preserve">. </w:t>
      </w:r>
    </w:p>
    <w:p w14:paraId="0C9CDA24" w14:textId="77777777" w:rsidR="004662E5" w:rsidRDefault="004662E5" w:rsidP="00495FE2">
      <w:pPr>
        <w:ind w:right="-340"/>
        <w:jc w:val="both"/>
        <w:rPr>
          <w:highlight w:val="white"/>
        </w:rPr>
      </w:pPr>
    </w:p>
    <w:p w14:paraId="2D8DA361" w14:textId="3E654A36" w:rsidR="00FD3DFF" w:rsidRDefault="00224F83" w:rsidP="0086585B">
      <w:pPr>
        <w:ind w:right="-340"/>
        <w:jc w:val="both"/>
        <w:rPr>
          <w:highlight w:val="white"/>
        </w:rPr>
      </w:pPr>
      <w:r>
        <w:rPr>
          <w:highlight w:val="white"/>
        </w:rPr>
        <w:t xml:space="preserve">The PI </w:t>
      </w:r>
      <w:r w:rsidR="00F17DF3">
        <w:rPr>
          <w:highlight w:val="white"/>
        </w:rPr>
        <w:t xml:space="preserve">should </w:t>
      </w:r>
      <w:r>
        <w:rPr>
          <w:highlight w:val="white"/>
        </w:rPr>
        <w:t>ensure</w:t>
      </w:r>
      <w:r w:rsidR="0086585B">
        <w:rPr>
          <w:highlight w:val="white"/>
        </w:rPr>
        <w:t xml:space="preserve"> </w:t>
      </w:r>
      <w:r w:rsidR="00FD3DFF" w:rsidRPr="00FD3DFF">
        <w:rPr>
          <w:highlight w:val="white"/>
        </w:rPr>
        <w:t xml:space="preserve">research staff follow </w:t>
      </w:r>
      <w:r w:rsidR="00F17DF3">
        <w:rPr>
          <w:highlight w:val="white"/>
        </w:rPr>
        <w:t xml:space="preserve">the </w:t>
      </w:r>
      <w:r w:rsidR="00FD3DFF" w:rsidRPr="00FD3DFF">
        <w:rPr>
          <w:highlight w:val="white"/>
        </w:rPr>
        <w:t>UCLH and departmental incidental findings poli</w:t>
      </w:r>
      <w:r w:rsidR="00F17DF3">
        <w:rPr>
          <w:highlight w:val="white"/>
        </w:rPr>
        <w:t>cy</w:t>
      </w:r>
      <w:r w:rsidR="00FD3DFF" w:rsidRPr="00FD3DFF">
        <w:rPr>
          <w:highlight w:val="white"/>
        </w:rPr>
        <w:t xml:space="preserve"> and </w:t>
      </w:r>
      <w:r w:rsidR="00F17DF3">
        <w:rPr>
          <w:highlight w:val="white"/>
        </w:rPr>
        <w:t xml:space="preserve">where required, are </w:t>
      </w:r>
      <w:r w:rsidR="00FD3DFF" w:rsidRPr="00FD3DFF">
        <w:rPr>
          <w:highlight w:val="white"/>
        </w:rPr>
        <w:t>train</w:t>
      </w:r>
      <w:r w:rsidR="00F17DF3">
        <w:rPr>
          <w:highlight w:val="white"/>
        </w:rPr>
        <w:t>ed</w:t>
      </w:r>
      <w:r w:rsidR="00FD3DFF" w:rsidRPr="00FD3DFF">
        <w:rPr>
          <w:highlight w:val="white"/>
        </w:rPr>
        <w:t xml:space="preserve"> </w:t>
      </w:r>
      <w:r w:rsidR="000324C7">
        <w:rPr>
          <w:highlight w:val="white"/>
        </w:rPr>
        <w:t xml:space="preserve">as </w:t>
      </w:r>
      <w:r w:rsidR="00FD3DFF" w:rsidRPr="00FD3DFF">
        <w:rPr>
          <w:highlight w:val="white"/>
        </w:rPr>
        <w:t xml:space="preserve">part of initiation </w:t>
      </w:r>
      <w:r w:rsidR="00F17DF3">
        <w:rPr>
          <w:highlight w:val="white"/>
        </w:rPr>
        <w:t>of</w:t>
      </w:r>
      <w:r w:rsidR="00FD3DFF" w:rsidRPr="00FD3DFF">
        <w:rPr>
          <w:highlight w:val="white"/>
        </w:rPr>
        <w:t xml:space="preserve"> the study</w:t>
      </w:r>
      <w:r w:rsidR="0086585B">
        <w:rPr>
          <w:highlight w:val="white"/>
        </w:rPr>
        <w:t>.</w:t>
      </w:r>
    </w:p>
    <w:p w14:paraId="28FCBCA4" w14:textId="76406D4D" w:rsidR="00FD3DFF" w:rsidRDefault="00FD3DFF" w:rsidP="00FD3DFF">
      <w:pPr>
        <w:ind w:right="-340"/>
        <w:jc w:val="both"/>
        <w:rPr>
          <w:highlight w:val="white"/>
        </w:rPr>
      </w:pPr>
    </w:p>
    <w:p w14:paraId="1A78EE0F" w14:textId="4EDCCA2A" w:rsidR="00FD3DFF" w:rsidRDefault="00F17DF3" w:rsidP="000E3563">
      <w:pPr>
        <w:ind w:right="-340"/>
        <w:jc w:val="both"/>
        <w:rPr>
          <w:highlight w:val="white"/>
        </w:rPr>
      </w:pPr>
      <w:r>
        <w:rPr>
          <w:highlight w:val="white"/>
        </w:rPr>
        <w:t>The</w:t>
      </w:r>
      <w:r w:rsidR="00FD3DFF">
        <w:rPr>
          <w:highlight w:val="white"/>
        </w:rPr>
        <w:t xml:space="preserve"> following expectations must be conveyed (by the PI) to research staff:</w:t>
      </w:r>
    </w:p>
    <w:p w14:paraId="07449137" w14:textId="77777777" w:rsidR="0086585B" w:rsidRPr="00FD3DFF" w:rsidRDefault="0086585B" w:rsidP="000E3563">
      <w:pPr>
        <w:ind w:right="-340"/>
        <w:jc w:val="both"/>
        <w:rPr>
          <w:highlight w:val="white"/>
        </w:rPr>
      </w:pPr>
    </w:p>
    <w:p w14:paraId="4958A799" w14:textId="5C73AC1B" w:rsidR="00FD3DFF" w:rsidRDefault="00224F83" w:rsidP="00FD3DFF">
      <w:pPr>
        <w:pStyle w:val="ListParagraph"/>
        <w:numPr>
          <w:ilvl w:val="0"/>
          <w:numId w:val="11"/>
        </w:numPr>
        <w:ind w:right="-340"/>
        <w:jc w:val="both"/>
        <w:rPr>
          <w:highlight w:val="white"/>
        </w:rPr>
      </w:pPr>
      <w:r w:rsidRPr="00FD3DFF">
        <w:rPr>
          <w:highlight w:val="white"/>
        </w:rPr>
        <w:t xml:space="preserve">immediately (within 48 hours) inform the PI </w:t>
      </w:r>
      <w:r w:rsidR="00FD3DFF">
        <w:rPr>
          <w:highlight w:val="white"/>
        </w:rPr>
        <w:t xml:space="preserve">of </w:t>
      </w:r>
      <w:r w:rsidR="00F17DF3">
        <w:rPr>
          <w:highlight w:val="white"/>
        </w:rPr>
        <w:t>an</w:t>
      </w:r>
      <w:r w:rsidRPr="00FD3DFF">
        <w:rPr>
          <w:highlight w:val="white"/>
        </w:rPr>
        <w:t xml:space="preserve"> incidental finding</w:t>
      </w:r>
      <w:r w:rsidR="00F17DF3">
        <w:rPr>
          <w:highlight w:val="white"/>
        </w:rPr>
        <w:t xml:space="preserve"> and any actions taken and reques</w:t>
      </w:r>
      <w:r w:rsidR="009D1860">
        <w:rPr>
          <w:highlight w:val="white"/>
        </w:rPr>
        <w:t xml:space="preserve">t actions </w:t>
      </w:r>
      <w:r w:rsidR="000324C7">
        <w:rPr>
          <w:highlight w:val="white"/>
        </w:rPr>
        <w:t>from the PI</w:t>
      </w:r>
    </w:p>
    <w:p w14:paraId="47DD02D9" w14:textId="1B48EEFD" w:rsidR="00FD3DFF" w:rsidRDefault="00224F83" w:rsidP="00FD3DFF">
      <w:pPr>
        <w:pStyle w:val="ListParagraph"/>
        <w:numPr>
          <w:ilvl w:val="0"/>
          <w:numId w:val="11"/>
        </w:numPr>
        <w:ind w:right="-340"/>
        <w:jc w:val="both"/>
        <w:rPr>
          <w:highlight w:val="white"/>
        </w:rPr>
      </w:pPr>
      <w:r w:rsidRPr="00FD3DFF">
        <w:rPr>
          <w:highlight w:val="white"/>
        </w:rPr>
        <w:t>inform the</w:t>
      </w:r>
      <w:r w:rsidR="00F17DF3">
        <w:rPr>
          <w:highlight w:val="white"/>
        </w:rPr>
        <w:t xml:space="preserve"> responsible</w:t>
      </w:r>
      <w:r w:rsidRPr="00FD3DFF">
        <w:rPr>
          <w:highlight w:val="white"/>
        </w:rPr>
        <w:t xml:space="preserve"> clinical care team </w:t>
      </w:r>
      <w:r w:rsidR="009D1860">
        <w:rPr>
          <w:highlight w:val="white"/>
        </w:rPr>
        <w:t>(</w:t>
      </w:r>
      <w:r w:rsidR="00F17DF3">
        <w:rPr>
          <w:highlight w:val="white"/>
        </w:rPr>
        <w:t>for the</w:t>
      </w:r>
      <w:r w:rsidRPr="00FD3DFF">
        <w:rPr>
          <w:highlight w:val="white"/>
        </w:rPr>
        <w:t xml:space="preserve"> pa</w:t>
      </w:r>
      <w:r w:rsidR="009D1860">
        <w:rPr>
          <w:highlight w:val="white"/>
        </w:rPr>
        <w:t>rticipant)</w:t>
      </w:r>
      <w:r w:rsidRPr="00FD3DFF">
        <w:rPr>
          <w:highlight w:val="white"/>
        </w:rPr>
        <w:t>, and ensure an acknowledgement is receive</w:t>
      </w:r>
      <w:r w:rsidR="00F17DF3">
        <w:rPr>
          <w:highlight w:val="white"/>
        </w:rPr>
        <w:t xml:space="preserve">d </w:t>
      </w:r>
      <w:r w:rsidR="009D1860">
        <w:rPr>
          <w:highlight w:val="white"/>
        </w:rPr>
        <w:t>(</w:t>
      </w:r>
      <w:r w:rsidR="00F17DF3">
        <w:rPr>
          <w:highlight w:val="white"/>
        </w:rPr>
        <w:t>to include a</w:t>
      </w:r>
      <w:r w:rsidRPr="00FD3DFF">
        <w:rPr>
          <w:highlight w:val="white"/>
        </w:rPr>
        <w:t>ppropriate referrals</w:t>
      </w:r>
      <w:r w:rsidR="009D1860">
        <w:rPr>
          <w:highlight w:val="white"/>
        </w:rPr>
        <w:t>)</w:t>
      </w:r>
    </w:p>
    <w:p w14:paraId="0A3FFF20" w14:textId="77777777" w:rsidR="00E617FF" w:rsidRDefault="00E617FF" w:rsidP="00495FE2">
      <w:pPr>
        <w:ind w:right="-340"/>
        <w:jc w:val="both"/>
      </w:pPr>
    </w:p>
    <w:p w14:paraId="438A1382" w14:textId="12FE948E" w:rsidR="004662E5" w:rsidRDefault="00E617FF" w:rsidP="00495FE2">
      <w:pPr>
        <w:ind w:right="-340"/>
        <w:jc w:val="both"/>
      </w:pPr>
      <w:r>
        <w:t>In the event an incidental finding becomes an incident (e.g., is not actioned), the incident reporting procedure should be followed</w:t>
      </w:r>
      <w:r w:rsidR="009D1860">
        <w:t>.</w:t>
      </w:r>
    </w:p>
    <w:bookmarkEnd w:id="0"/>
    <w:p w14:paraId="571DDF00" w14:textId="77777777" w:rsidR="00B66D4D" w:rsidRDefault="00B66D4D" w:rsidP="00495FE2">
      <w:pPr>
        <w:jc w:val="both"/>
      </w:pPr>
    </w:p>
    <w:p w14:paraId="7C2611B3" w14:textId="77777777" w:rsidR="00631597" w:rsidRDefault="00631597" w:rsidP="00495FE2">
      <w:pPr>
        <w:ind w:right="-340"/>
        <w:jc w:val="both"/>
        <w:rPr>
          <w:b/>
          <w:i/>
          <w:iCs/>
        </w:rPr>
      </w:pPr>
    </w:p>
    <w:p w14:paraId="257227A1" w14:textId="77777777" w:rsidR="00631597" w:rsidRDefault="00631597" w:rsidP="00495FE2">
      <w:pPr>
        <w:ind w:right="-340"/>
        <w:jc w:val="both"/>
        <w:rPr>
          <w:b/>
          <w:i/>
          <w:iCs/>
        </w:rPr>
      </w:pPr>
    </w:p>
    <w:p w14:paraId="3A608114" w14:textId="77777777" w:rsidR="00631597" w:rsidRDefault="00631597" w:rsidP="00495FE2">
      <w:pPr>
        <w:ind w:right="-340"/>
        <w:jc w:val="both"/>
        <w:rPr>
          <w:b/>
          <w:i/>
          <w:iCs/>
        </w:rPr>
      </w:pPr>
    </w:p>
    <w:p w14:paraId="1B6779E0" w14:textId="77777777" w:rsidR="00631597" w:rsidRDefault="00631597" w:rsidP="00495FE2">
      <w:pPr>
        <w:ind w:right="-340"/>
        <w:jc w:val="both"/>
        <w:rPr>
          <w:b/>
          <w:i/>
          <w:iCs/>
        </w:rPr>
      </w:pPr>
    </w:p>
    <w:p w14:paraId="67ED4BF2" w14:textId="2344A480" w:rsidR="004662E5" w:rsidRPr="00271741" w:rsidRDefault="00224F83" w:rsidP="00495FE2">
      <w:pPr>
        <w:ind w:right="-340"/>
        <w:jc w:val="both"/>
        <w:rPr>
          <w:b/>
          <w:i/>
          <w:iCs/>
        </w:rPr>
      </w:pPr>
      <w:r w:rsidRPr="00271741">
        <w:rPr>
          <w:b/>
          <w:i/>
          <w:iCs/>
        </w:rPr>
        <w:lastRenderedPageBreak/>
        <w:t>Study progress and changes</w:t>
      </w:r>
    </w:p>
    <w:p w14:paraId="15877602" w14:textId="144C91D7" w:rsidR="004662E5" w:rsidRDefault="00224F83" w:rsidP="00495FE2">
      <w:pPr>
        <w:ind w:right="-340"/>
        <w:jc w:val="both"/>
        <w:rPr>
          <w:i/>
        </w:rPr>
      </w:pPr>
      <w:r>
        <w:rPr>
          <w:i/>
        </w:rPr>
        <w:t xml:space="preserve"> </w:t>
      </w:r>
    </w:p>
    <w:p w14:paraId="091BFD1C" w14:textId="00252AD6" w:rsidR="00B66D4D" w:rsidRDefault="00F17DF3" w:rsidP="00B66D4D">
      <w:pPr>
        <w:ind w:right="-340"/>
        <w:jc w:val="both"/>
        <w:rPr>
          <w:bCs/>
        </w:rPr>
      </w:pPr>
      <w:r>
        <w:rPr>
          <w:bCs/>
        </w:rPr>
        <w:t xml:space="preserve">The PI should instruct the research team of, and regularly monitor, the following EPIC requirements: </w:t>
      </w:r>
      <w:r w:rsidR="00B66D4D" w:rsidRPr="006D45FD">
        <w:rPr>
          <w:bCs/>
        </w:rPr>
        <w:t xml:space="preserve">  </w:t>
      </w:r>
    </w:p>
    <w:p w14:paraId="11C9C031" w14:textId="77777777" w:rsidR="00B66D4D" w:rsidRDefault="00B66D4D" w:rsidP="00B66D4D">
      <w:pPr>
        <w:ind w:right="-340"/>
        <w:jc w:val="both"/>
        <w:rPr>
          <w:bCs/>
        </w:rPr>
      </w:pPr>
    </w:p>
    <w:p w14:paraId="03DEC0F1" w14:textId="74D49E57" w:rsidR="00B66D4D" w:rsidRDefault="00B66D4D" w:rsidP="00B66D4D">
      <w:pPr>
        <w:pStyle w:val="ListParagraph"/>
        <w:numPr>
          <w:ilvl w:val="0"/>
          <w:numId w:val="9"/>
        </w:numPr>
        <w:ind w:right="-340"/>
        <w:jc w:val="both"/>
        <w:rPr>
          <w:bCs/>
        </w:rPr>
      </w:pPr>
      <w:r w:rsidRPr="00CB44D3">
        <w:rPr>
          <w:bCs/>
        </w:rPr>
        <w:t>Associate patients with</w:t>
      </w:r>
      <w:r w:rsidR="00F17DF3">
        <w:rPr>
          <w:bCs/>
        </w:rPr>
        <w:t xml:space="preserve"> the </w:t>
      </w:r>
      <w:r w:rsidR="00F17DF3" w:rsidRPr="00CB44D3">
        <w:rPr>
          <w:bCs/>
        </w:rPr>
        <w:t>research</w:t>
      </w:r>
      <w:r w:rsidRPr="00CB44D3">
        <w:rPr>
          <w:bCs/>
        </w:rPr>
        <w:t xml:space="preserve"> studies in accordance with the </w:t>
      </w:r>
      <w:r w:rsidR="00BF6225" w:rsidRPr="00CB44D3">
        <w:rPr>
          <w:bCs/>
        </w:rPr>
        <w:t>EPIC ‘</w:t>
      </w:r>
      <w:r w:rsidRPr="00CB44D3">
        <w:rPr>
          <w:bCs/>
        </w:rPr>
        <w:t>assigning a patient to a clinical trial’ tip sheet</w:t>
      </w:r>
      <w:r w:rsidR="00F17DF3">
        <w:rPr>
          <w:bCs/>
        </w:rPr>
        <w:t xml:space="preserve">. </w:t>
      </w:r>
    </w:p>
    <w:p w14:paraId="64B4D0EB" w14:textId="52D4C355" w:rsidR="00E617FF" w:rsidRDefault="00271741" w:rsidP="00E617FF">
      <w:pPr>
        <w:pStyle w:val="ListParagraph"/>
        <w:numPr>
          <w:ilvl w:val="0"/>
          <w:numId w:val="9"/>
        </w:numPr>
        <w:ind w:right="-340"/>
        <w:jc w:val="both"/>
        <w:rPr>
          <w:bCs/>
        </w:rPr>
      </w:pPr>
      <w:r>
        <w:rPr>
          <w:bCs/>
        </w:rPr>
        <w:t>T</w:t>
      </w:r>
      <w:r w:rsidR="00E617FF" w:rsidRPr="00CB44D3">
        <w:rPr>
          <w:bCs/>
        </w:rPr>
        <w:t xml:space="preserve">he correct active start date, enrolment status and billing status </w:t>
      </w:r>
      <w:r w:rsidR="00E617FF">
        <w:rPr>
          <w:bCs/>
        </w:rPr>
        <w:t xml:space="preserve">and research study status </w:t>
      </w:r>
      <w:r w:rsidR="00E617FF" w:rsidRPr="00CB44D3">
        <w:rPr>
          <w:bCs/>
        </w:rPr>
        <w:t xml:space="preserve">within the </w:t>
      </w:r>
      <w:r w:rsidR="00E617FF">
        <w:rPr>
          <w:bCs/>
        </w:rPr>
        <w:t>study’s</w:t>
      </w:r>
      <w:r w:rsidR="00E617FF" w:rsidRPr="00CB44D3">
        <w:rPr>
          <w:bCs/>
        </w:rPr>
        <w:t xml:space="preserve"> Epic record</w:t>
      </w:r>
    </w:p>
    <w:p w14:paraId="10B87002" w14:textId="77777777" w:rsidR="00B66D4D" w:rsidRPr="00CB44D3" w:rsidRDefault="00B66D4D" w:rsidP="00B66D4D">
      <w:pPr>
        <w:ind w:right="-340"/>
        <w:jc w:val="both"/>
        <w:rPr>
          <w:bCs/>
        </w:rPr>
      </w:pPr>
    </w:p>
    <w:p w14:paraId="0EADBBE5" w14:textId="3EE08B2E" w:rsidR="00B66D4D" w:rsidRPr="00CB44D3" w:rsidRDefault="00BF6225" w:rsidP="00B66D4D">
      <w:pPr>
        <w:ind w:right="-340"/>
        <w:jc w:val="both"/>
        <w:rPr>
          <w:bCs/>
        </w:rPr>
      </w:pPr>
      <w:r>
        <w:rPr>
          <w:bCs/>
        </w:rPr>
        <w:t>In addition, the PI should s</w:t>
      </w:r>
      <w:r w:rsidR="00B66D4D" w:rsidRPr="00CB44D3">
        <w:rPr>
          <w:bCs/>
        </w:rPr>
        <w:t>end the following notifications</w:t>
      </w:r>
      <w:r>
        <w:rPr>
          <w:bCs/>
        </w:rPr>
        <w:t xml:space="preserve"> and changes</w:t>
      </w:r>
      <w:r w:rsidR="00B66D4D" w:rsidRPr="00CB44D3">
        <w:rPr>
          <w:bCs/>
        </w:rPr>
        <w:t xml:space="preserve"> to the JRO (via </w:t>
      </w:r>
      <w:hyperlink r:id="rId13" w:history="1">
        <w:r w:rsidR="00B66D4D" w:rsidRPr="00CB44D3">
          <w:rPr>
            <w:rStyle w:val="Hyperlink"/>
            <w:bCs/>
            <w:color w:val="auto"/>
          </w:rPr>
          <w:t>uclh.randd@nhs.net</w:t>
        </w:r>
      </w:hyperlink>
      <w:r w:rsidR="00B66D4D" w:rsidRPr="00CB44D3">
        <w:rPr>
          <w:bCs/>
        </w:rPr>
        <w:t>):</w:t>
      </w:r>
    </w:p>
    <w:p w14:paraId="3A0DF863" w14:textId="77777777" w:rsidR="00B66D4D" w:rsidRPr="00CB44D3" w:rsidRDefault="00B66D4D" w:rsidP="00B66D4D">
      <w:pPr>
        <w:ind w:right="-340"/>
        <w:jc w:val="both"/>
        <w:rPr>
          <w:bCs/>
        </w:rPr>
      </w:pPr>
    </w:p>
    <w:p w14:paraId="1DC96089" w14:textId="54A72CDD" w:rsidR="00F553B8" w:rsidRDefault="00F553B8" w:rsidP="00F553B8">
      <w:pPr>
        <w:numPr>
          <w:ilvl w:val="0"/>
          <w:numId w:val="10"/>
        </w:numPr>
        <w:ind w:right="-340"/>
        <w:jc w:val="both"/>
      </w:pPr>
      <w:r>
        <w:t>The early termination of a research study by the sponsor or UCLH department/authority</w:t>
      </w:r>
    </w:p>
    <w:p w14:paraId="2C71037C" w14:textId="0DD436A3" w:rsidR="00F553B8" w:rsidRPr="00F553B8" w:rsidRDefault="00F553B8" w:rsidP="00F553B8">
      <w:pPr>
        <w:numPr>
          <w:ilvl w:val="0"/>
          <w:numId w:val="10"/>
        </w:numPr>
        <w:ind w:right="-340"/>
        <w:jc w:val="both"/>
      </w:pPr>
      <w:r>
        <w:t>Any change in PI at UCLH and/or PI halt to recruitment or follow-up activities</w:t>
      </w:r>
    </w:p>
    <w:p w14:paraId="44FED0A5" w14:textId="5A5DC000" w:rsidR="00B66D4D" w:rsidRPr="00CB44D3" w:rsidRDefault="00BF6225" w:rsidP="00B66D4D">
      <w:pPr>
        <w:pStyle w:val="ListParagraph"/>
        <w:numPr>
          <w:ilvl w:val="0"/>
          <w:numId w:val="10"/>
        </w:numPr>
        <w:ind w:right="-340"/>
        <w:jc w:val="both"/>
        <w:rPr>
          <w:bCs/>
        </w:rPr>
      </w:pPr>
      <w:r>
        <w:rPr>
          <w:bCs/>
        </w:rPr>
        <w:t>Any change to the s</w:t>
      </w:r>
      <w:r w:rsidR="00B66D4D" w:rsidRPr="00CB44D3">
        <w:rPr>
          <w:bCs/>
        </w:rPr>
        <w:t xml:space="preserve">tatus </w:t>
      </w:r>
      <w:r>
        <w:rPr>
          <w:bCs/>
        </w:rPr>
        <w:t>of a study, including from</w:t>
      </w:r>
      <w:r w:rsidR="00B66D4D" w:rsidRPr="00CB44D3">
        <w:rPr>
          <w:bCs/>
        </w:rPr>
        <w:t xml:space="preserve"> active to in-follow up or </w:t>
      </w:r>
      <w:r>
        <w:rPr>
          <w:bCs/>
        </w:rPr>
        <w:t xml:space="preserve">to </w:t>
      </w:r>
      <w:r w:rsidR="00B66D4D" w:rsidRPr="00CB44D3">
        <w:rPr>
          <w:bCs/>
        </w:rPr>
        <w:t>completed</w:t>
      </w:r>
      <w:r w:rsidR="00271741">
        <w:rPr>
          <w:bCs/>
        </w:rPr>
        <w:t xml:space="preserve"> and </w:t>
      </w:r>
      <w:r w:rsidR="00B66D4D" w:rsidRPr="00CB44D3">
        <w:rPr>
          <w:bCs/>
        </w:rPr>
        <w:t>the number of participants recruite</w:t>
      </w:r>
      <w:r>
        <w:rPr>
          <w:bCs/>
        </w:rPr>
        <w:t>d at each stage</w:t>
      </w:r>
    </w:p>
    <w:p w14:paraId="6B4B46FC" w14:textId="125E1AEE" w:rsidR="00B66D4D" w:rsidRDefault="009131A4" w:rsidP="00B66D4D">
      <w:pPr>
        <w:numPr>
          <w:ilvl w:val="0"/>
          <w:numId w:val="10"/>
        </w:numPr>
        <w:ind w:right="-340"/>
        <w:jc w:val="both"/>
      </w:pPr>
      <w:r>
        <w:t>Formal n</w:t>
      </w:r>
      <w:r w:rsidR="00B66D4D">
        <w:t xml:space="preserve">otification of end of study (REC/MHRA Declaration of End of Study to </w:t>
      </w:r>
      <w:hyperlink r:id="rId14">
        <w:r w:rsidR="00B66D4D">
          <w:rPr>
            <w:color w:val="1155CC"/>
            <w:u w:val="single"/>
          </w:rPr>
          <w:t>uclh.randd@nhs.net</w:t>
        </w:r>
      </w:hyperlink>
      <w:r w:rsidR="00B66D4D">
        <w:t xml:space="preserve">), </w:t>
      </w:r>
      <w:r w:rsidR="00BF6225">
        <w:t>(</w:t>
      </w:r>
      <w:r>
        <w:t>in line with the</w:t>
      </w:r>
      <w:r w:rsidR="00B66D4D">
        <w:t xml:space="preserve"> </w:t>
      </w:r>
      <w:r w:rsidR="00B66D4D" w:rsidRPr="00BF6225">
        <w:rPr>
          <w:i/>
          <w:iCs/>
        </w:rPr>
        <w:t>UCLH SOP for Study Close Dow</w:t>
      </w:r>
      <w:r w:rsidR="00BF6225" w:rsidRPr="00BF6225">
        <w:rPr>
          <w:i/>
          <w:iCs/>
        </w:rPr>
        <w:t>n</w:t>
      </w:r>
      <w:r w:rsidR="00BF6225">
        <w:t>)</w:t>
      </w:r>
    </w:p>
    <w:p w14:paraId="58D167B3" w14:textId="578B3E36" w:rsidR="004662E5" w:rsidRDefault="00BF6225" w:rsidP="00495FE2">
      <w:pPr>
        <w:numPr>
          <w:ilvl w:val="0"/>
          <w:numId w:val="7"/>
        </w:numPr>
        <w:ind w:right="-340"/>
        <w:jc w:val="both"/>
      </w:pPr>
      <w:r>
        <w:t xml:space="preserve">Amendments to </w:t>
      </w:r>
      <w:r w:rsidR="009131A4">
        <w:t xml:space="preserve">the </w:t>
      </w:r>
      <w:r>
        <w:t>study</w:t>
      </w:r>
      <w:r w:rsidR="0032759F">
        <w:t xml:space="preserve"> </w:t>
      </w:r>
      <w:r>
        <w:t>(</w:t>
      </w:r>
      <w:r w:rsidR="009131A4">
        <w:t>in line with the</w:t>
      </w:r>
      <w:r>
        <w:t xml:space="preserve"> </w:t>
      </w:r>
      <w:r w:rsidR="0032759F" w:rsidRPr="006D45FD">
        <w:rPr>
          <w:i/>
          <w:iCs/>
        </w:rPr>
        <w:t>UCLH SOP for Reporting Amendments</w:t>
      </w:r>
      <w:r>
        <w:rPr>
          <w:i/>
          <w:iCs/>
        </w:rPr>
        <w:t>)</w:t>
      </w:r>
      <w:r w:rsidR="0032759F">
        <w:t xml:space="preserve"> </w:t>
      </w:r>
      <w:r w:rsidR="00B66D4D">
        <w:t>including but not limited to</w:t>
      </w:r>
      <w:r>
        <w:t xml:space="preserve"> a</w:t>
      </w:r>
      <w:r w:rsidR="00224F83">
        <w:t>ny changes to the study status,</w:t>
      </w:r>
      <w:r w:rsidR="00E617FF">
        <w:t xml:space="preserve"> extensions to end dates,</w:t>
      </w:r>
      <w:r w:rsidR="00224F83">
        <w:t xml:space="preserve"> conduct, </w:t>
      </w:r>
      <w:r w:rsidR="00F553B8">
        <w:t>funding,</w:t>
      </w:r>
      <w:r w:rsidR="00224F83">
        <w:t xml:space="preserve"> or management</w:t>
      </w:r>
      <w:r w:rsidR="00F553B8">
        <w:t xml:space="preserve"> arrangements</w:t>
      </w:r>
    </w:p>
    <w:p w14:paraId="4D18DD90" w14:textId="3C1F2DBD" w:rsidR="004662E5" w:rsidRDefault="00224F83" w:rsidP="00495FE2">
      <w:pPr>
        <w:numPr>
          <w:ilvl w:val="0"/>
          <w:numId w:val="7"/>
        </w:numPr>
        <w:ind w:right="-340"/>
        <w:jc w:val="both"/>
      </w:pPr>
      <w:r>
        <w:t>Audit activity</w:t>
      </w:r>
      <w:r w:rsidR="009131A4">
        <w:t xml:space="preserve"> including</w:t>
      </w:r>
      <w:r>
        <w:t>:</w:t>
      </w:r>
    </w:p>
    <w:p w14:paraId="4DF8B368" w14:textId="77777777" w:rsidR="004662E5" w:rsidRDefault="00224F83" w:rsidP="009131A4">
      <w:pPr>
        <w:numPr>
          <w:ilvl w:val="1"/>
          <w:numId w:val="15"/>
        </w:numPr>
        <w:ind w:right="-340"/>
        <w:jc w:val="both"/>
      </w:pPr>
      <w:r>
        <w:t>Notification of audits or inspections</w:t>
      </w:r>
    </w:p>
    <w:p w14:paraId="59076B4E" w14:textId="321C7F58" w:rsidR="004662E5" w:rsidRDefault="00224F83" w:rsidP="009131A4">
      <w:pPr>
        <w:numPr>
          <w:ilvl w:val="1"/>
          <w:numId w:val="15"/>
        </w:numPr>
        <w:ind w:right="-340"/>
        <w:jc w:val="both"/>
      </w:pPr>
      <w:r>
        <w:t>Audit reports (where possible, and in agreement with the Sponsor, provide a copy of the corrective and preventive actions</w:t>
      </w:r>
      <w:r w:rsidR="00271741">
        <w:t>)</w:t>
      </w:r>
    </w:p>
    <w:p w14:paraId="093A3084" w14:textId="77777777" w:rsidR="009131A4" w:rsidRDefault="009131A4" w:rsidP="009131A4">
      <w:pPr>
        <w:ind w:left="1440" w:right="-340"/>
        <w:jc w:val="both"/>
      </w:pPr>
    </w:p>
    <w:p w14:paraId="248A3B09" w14:textId="12733B95" w:rsidR="00942366" w:rsidRDefault="00942366" w:rsidP="009131A4">
      <w:pPr>
        <w:ind w:right="-340"/>
        <w:jc w:val="both"/>
      </w:pPr>
      <w:r>
        <w:t>Once a study has concluded, and if the PI wishes to introduce a new interventional procedure to UCLH (previously part of a research protocol), the</w:t>
      </w:r>
      <w:r w:rsidR="00271741">
        <w:t xml:space="preserve"> PI should</w:t>
      </w:r>
      <w:r>
        <w:t xml:space="preserve"> follow the </w:t>
      </w:r>
      <w:hyperlink r:id="rId15" w:history="1">
        <w:r w:rsidRPr="00942366">
          <w:rPr>
            <w:rStyle w:val="Hyperlink"/>
            <w:i/>
            <w:iCs/>
          </w:rPr>
          <w:t>UCLH New Interventional Procedures Policy</w:t>
        </w:r>
      </w:hyperlink>
      <w:r>
        <w:rPr>
          <w:i/>
          <w:iCs/>
        </w:rPr>
        <w:t xml:space="preserve">, </w:t>
      </w:r>
      <w:r>
        <w:t xml:space="preserve">and obtain approval from the Clinical Effectiveness Steering Group (CESG). Similarly, if a PI wishes to introduce a licensed or unlicensed drug to UCLH or medical device, they must first obtain approval from the </w:t>
      </w:r>
      <w:hyperlink r:id="rId16" w:history="1">
        <w:r w:rsidRPr="00942366">
          <w:rPr>
            <w:rStyle w:val="Hyperlink"/>
          </w:rPr>
          <w:t>Use of Medicines Committee (UMC)</w:t>
        </w:r>
      </w:hyperlink>
      <w:r>
        <w:t xml:space="preserve"> or </w:t>
      </w:r>
      <w:hyperlink r:id="rId17" w:history="1">
        <w:r w:rsidRPr="00942366">
          <w:rPr>
            <w:rStyle w:val="Hyperlink"/>
          </w:rPr>
          <w:t>Medical Devices Committee</w:t>
        </w:r>
      </w:hyperlink>
      <w:r w:rsidR="00AD4436">
        <w:rPr>
          <w:rStyle w:val="Hyperlink"/>
        </w:rPr>
        <w:t>.</w:t>
      </w:r>
      <w:r>
        <w:t xml:space="preserve"> </w:t>
      </w:r>
    </w:p>
    <w:p w14:paraId="28DFF7F0" w14:textId="77777777" w:rsidR="00B62F22" w:rsidRDefault="00B62F22" w:rsidP="009131A4">
      <w:pPr>
        <w:ind w:right="-340"/>
        <w:jc w:val="both"/>
      </w:pPr>
    </w:p>
    <w:p w14:paraId="228026CF" w14:textId="379693E8" w:rsidR="009131A4" w:rsidRDefault="009131A4" w:rsidP="009131A4">
      <w:pPr>
        <w:ind w:right="-340"/>
        <w:jc w:val="both"/>
        <w:rPr>
          <w:b/>
        </w:rPr>
      </w:pPr>
    </w:p>
    <w:p w14:paraId="26B4FFF4" w14:textId="08CBF0DC" w:rsidR="00271741" w:rsidRDefault="00271741" w:rsidP="009131A4">
      <w:pPr>
        <w:ind w:right="-340"/>
        <w:jc w:val="both"/>
        <w:rPr>
          <w:b/>
        </w:rPr>
      </w:pPr>
    </w:p>
    <w:p w14:paraId="12E3EAC3" w14:textId="4CB1EF37" w:rsidR="00271741" w:rsidRDefault="00271741" w:rsidP="009131A4">
      <w:pPr>
        <w:ind w:right="-340"/>
        <w:jc w:val="both"/>
        <w:rPr>
          <w:b/>
        </w:rPr>
      </w:pPr>
    </w:p>
    <w:p w14:paraId="6132E98B" w14:textId="79366E28" w:rsidR="00271741" w:rsidRDefault="00271741" w:rsidP="009131A4">
      <w:pPr>
        <w:ind w:right="-340"/>
        <w:jc w:val="both"/>
        <w:rPr>
          <w:b/>
        </w:rPr>
      </w:pPr>
    </w:p>
    <w:p w14:paraId="382CED9E" w14:textId="2EA48E42" w:rsidR="00271741" w:rsidRDefault="00271741" w:rsidP="009131A4">
      <w:pPr>
        <w:ind w:right="-340"/>
        <w:jc w:val="both"/>
        <w:rPr>
          <w:b/>
        </w:rPr>
      </w:pPr>
    </w:p>
    <w:p w14:paraId="79F234DE" w14:textId="5BE32002" w:rsidR="00271741" w:rsidRDefault="00271741" w:rsidP="009131A4">
      <w:pPr>
        <w:ind w:right="-340"/>
        <w:jc w:val="both"/>
        <w:rPr>
          <w:b/>
        </w:rPr>
      </w:pPr>
    </w:p>
    <w:p w14:paraId="334FD434" w14:textId="188CA2D0" w:rsidR="00271741" w:rsidRDefault="00271741" w:rsidP="009131A4">
      <w:pPr>
        <w:ind w:right="-340"/>
        <w:jc w:val="both"/>
        <w:rPr>
          <w:b/>
        </w:rPr>
      </w:pPr>
    </w:p>
    <w:p w14:paraId="664EC9D2" w14:textId="77A16955" w:rsidR="00271741" w:rsidRDefault="00271741" w:rsidP="009131A4">
      <w:pPr>
        <w:ind w:right="-340"/>
        <w:jc w:val="both"/>
        <w:rPr>
          <w:b/>
        </w:rPr>
      </w:pPr>
    </w:p>
    <w:p w14:paraId="0652DF3D" w14:textId="344AD64B" w:rsidR="00271741" w:rsidRDefault="00271741" w:rsidP="009131A4">
      <w:pPr>
        <w:ind w:right="-340"/>
        <w:jc w:val="both"/>
        <w:rPr>
          <w:b/>
        </w:rPr>
      </w:pPr>
    </w:p>
    <w:p w14:paraId="360BB863" w14:textId="7AAD9031" w:rsidR="00271741" w:rsidRDefault="00271741" w:rsidP="009131A4">
      <w:pPr>
        <w:ind w:right="-340"/>
        <w:jc w:val="both"/>
        <w:rPr>
          <w:b/>
        </w:rPr>
      </w:pPr>
    </w:p>
    <w:p w14:paraId="6F81AD05" w14:textId="5CD79785" w:rsidR="00271741" w:rsidRDefault="00271741" w:rsidP="009131A4">
      <w:pPr>
        <w:ind w:right="-340"/>
        <w:jc w:val="both"/>
        <w:rPr>
          <w:b/>
        </w:rPr>
      </w:pPr>
    </w:p>
    <w:p w14:paraId="294C7687" w14:textId="1BED7FB2" w:rsidR="004662E5" w:rsidRDefault="004662E5" w:rsidP="00495FE2">
      <w:pPr>
        <w:jc w:val="both"/>
      </w:pPr>
    </w:p>
    <w:p w14:paraId="68ED5CCD" w14:textId="77777777" w:rsidR="004662E5" w:rsidRDefault="00224F83" w:rsidP="00495FE2">
      <w:pPr>
        <w:jc w:val="both"/>
      </w:pPr>
      <w:r>
        <w:t>Principal Investigator acknowledgement:</w:t>
      </w:r>
    </w:p>
    <w:p w14:paraId="750E165C" w14:textId="7D55B8EC" w:rsidR="004662E5" w:rsidRDefault="004662E5" w:rsidP="00495FE2">
      <w:pPr>
        <w:jc w:val="both"/>
      </w:pPr>
    </w:p>
    <w:p w14:paraId="5CA43F73" w14:textId="7314BC10" w:rsidR="00034248" w:rsidRDefault="00034248" w:rsidP="00495FE2">
      <w:pPr>
        <w:jc w:val="both"/>
      </w:pPr>
      <w:r>
        <w:t>As Principal Investigator, I agree to conduct this research study in accordance with the protocol, regulatory approvals, applicable regulatory requirements, and</w:t>
      </w:r>
      <w:r w:rsidR="000E3563">
        <w:t xml:space="preserve"> the above requirements</w:t>
      </w:r>
      <w:r>
        <w:t xml:space="preserve"> </w:t>
      </w:r>
    </w:p>
    <w:p w14:paraId="387CCB39" w14:textId="77777777" w:rsidR="004662E5" w:rsidRDefault="004662E5" w:rsidP="00495FE2">
      <w:pPr>
        <w:jc w:val="both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662E5" w14:paraId="020795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10AA" w14:textId="77777777" w:rsidR="004662E5" w:rsidRDefault="00224F83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2420" w14:textId="77777777" w:rsidR="004662E5" w:rsidRDefault="004662E5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4662E5" w14:paraId="249EE8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5A3C" w14:textId="77777777" w:rsidR="004662E5" w:rsidRDefault="00224F83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Study 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A703" w14:textId="77777777" w:rsidR="004662E5" w:rsidRDefault="004662E5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4662E5" w14:paraId="0B8A38B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924A" w14:textId="77777777" w:rsidR="004662E5" w:rsidRDefault="00224F83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IRAS Number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0FB4" w14:textId="77777777" w:rsidR="004662E5" w:rsidRDefault="004662E5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4662E5" w14:paraId="6BB74E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AE62" w14:textId="77777777" w:rsidR="004662E5" w:rsidRDefault="00224F83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CBE0" w14:textId="77777777" w:rsidR="004662E5" w:rsidRDefault="004662E5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4662E5" w14:paraId="1B7698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F372" w14:textId="77777777" w:rsidR="004662E5" w:rsidRDefault="00224F83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428A" w14:textId="77777777" w:rsidR="004662E5" w:rsidRDefault="004662E5" w:rsidP="0049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2FB7D8DA" w14:textId="77777777" w:rsidR="004662E5" w:rsidRDefault="004662E5" w:rsidP="00495FE2">
      <w:pPr>
        <w:jc w:val="both"/>
      </w:pPr>
    </w:p>
    <w:p w14:paraId="3B06DE04" w14:textId="77777777" w:rsidR="004662E5" w:rsidRDefault="004662E5" w:rsidP="00495FE2">
      <w:pPr>
        <w:jc w:val="both"/>
      </w:pPr>
    </w:p>
    <w:p w14:paraId="1180097C" w14:textId="77777777" w:rsidR="004662E5" w:rsidRDefault="004662E5" w:rsidP="00495FE2">
      <w:pPr>
        <w:jc w:val="both"/>
      </w:pPr>
    </w:p>
    <w:p w14:paraId="77F89F34" w14:textId="77777777" w:rsidR="004662E5" w:rsidRDefault="004662E5" w:rsidP="00495FE2">
      <w:pPr>
        <w:jc w:val="both"/>
      </w:pPr>
    </w:p>
    <w:p w14:paraId="180080D5" w14:textId="77777777" w:rsidR="004662E5" w:rsidRDefault="004662E5" w:rsidP="00495FE2">
      <w:pPr>
        <w:jc w:val="both"/>
      </w:pPr>
    </w:p>
    <w:p w14:paraId="665B376E" w14:textId="77777777" w:rsidR="004662E5" w:rsidRDefault="004662E5" w:rsidP="00495FE2">
      <w:pPr>
        <w:jc w:val="both"/>
      </w:pPr>
    </w:p>
    <w:p w14:paraId="546A5ED0" w14:textId="77777777" w:rsidR="004662E5" w:rsidRDefault="004662E5" w:rsidP="00495FE2">
      <w:pPr>
        <w:jc w:val="both"/>
      </w:pPr>
    </w:p>
    <w:p w14:paraId="0FC421F7" w14:textId="77777777" w:rsidR="004662E5" w:rsidRDefault="004662E5" w:rsidP="00495FE2">
      <w:pPr>
        <w:jc w:val="both"/>
      </w:pPr>
    </w:p>
    <w:p w14:paraId="7257B062" w14:textId="77777777" w:rsidR="004662E5" w:rsidRDefault="004662E5" w:rsidP="00495FE2">
      <w:pPr>
        <w:jc w:val="both"/>
      </w:pPr>
    </w:p>
    <w:p w14:paraId="29168D86" w14:textId="77777777" w:rsidR="004662E5" w:rsidRDefault="004662E5" w:rsidP="00495FE2">
      <w:pPr>
        <w:jc w:val="both"/>
      </w:pPr>
    </w:p>
    <w:sectPr w:rsidR="004662E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B0B2" w14:textId="77777777" w:rsidR="00087344" w:rsidRDefault="00087344" w:rsidP="00832B11">
      <w:pPr>
        <w:spacing w:line="240" w:lineRule="auto"/>
      </w:pPr>
      <w:r>
        <w:separator/>
      </w:r>
    </w:p>
  </w:endnote>
  <w:endnote w:type="continuationSeparator" w:id="0">
    <w:p w14:paraId="7C01343D" w14:textId="77777777" w:rsidR="00087344" w:rsidRDefault="00087344" w:rsidP="00832B11">
      <w:pPr>
        <w:spacing w:line="240" w:lineRule="auto"/>
      </w:pPr>
      <w:r>
        <w:continuationSeparator/>
      </w:r>
    </w:p>
  </w:endnote>
  <w:endnote w:id="1">
    <w:p w14:paraId="4E6BA5C0" w14:textId="535737A0" w:rsidR="000324C7" w:rsidRPr="0024294C" w:rsidRDefault="000324C7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12A50">
          <w:rPr>
            <w:rStyle w:val="Hyperlink"/>
          </w:rPr>
          <w:t>https://mrc.ukri.org/documents/pdf/mrc-wellcome-trust-framework-on-the-feedback-of-health-related-findings-in-researchpdf/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B605" w14:textId="09A53A72" w:rsidR="00832B11" w:rsidRPr="00FF053C" w:rsidRDefault="00832B11" w:rsidP="00832B11">
    <w:pPr>
      <w:pStyle w:val="Footer"/>
      <w:rPr>
        <w:i/>
        <w:iCs/>
        <w:sz w:val="18"/>
        <w:szCs w:val="18"/>
      </w:rPr>
    </w:pPr>
    <w:r w:rsidRPr="00FF053C">
      <w:rPr>
        <w:i/>
        <w:iCs/>
        <w:sz w:val="18"/>
        <w:szCs w:val="18"/>
      </w:rPr>
      <w:t xml:space="preserve">UCLH Principal Investigator Responsibilities, Version </w:t>
    </w:r>
    <w:r w:rsidR="00FF053C">
      <w:rPr>
        <w:i/>
        <w:iCs/>
        <w:sz w:val="18"/>
        <w:szCs w:val="18"/>
      </w:rPr>
      <w:t>1.</w:t>
    </w:r>
    <w:r w:rsidR="00826421">
      <w:rPr>
        <w:i/>
        <w:iCs/>
        <w:sz w:val="18"/>
        <w:szCs w:val="18"/>
      </w:rPr>
      <w:t>1</w:t>
    </w:r>
    <w:r w:rsidRPr="00FF053C">
      <w:rPr>
        <w:i/>
        <w:iCs/>
        <w:sz w:val="18"/>
        <w:szCs w:val="18"/>
      </w:rPr>
      <w:t xml:space="preserve">, </w:t>
    </w:r>
    <w:r w:rsidR="001561F4">
      <w:rPr>
        <w:i/>
        <w:iCs/>
        <w:sz w:val="18"/>
        <w:szCs w:val="18"/>
      </w:rPr>
      <w:t>18</w:t>
    </w:r>
    <w:r w:rsidR="00FF053C">
      <w:rPr>
        <w:i/>
        <w:iCs/>
        <w:sz w:val="18"/>
        <w:szCs w:val="18"/>
      </w:rPr>
      <w:t>/01/2021</w:t>
    </w:r>
  </w:p>
  <w:sdt>
    <w:sdtPr>
      <w:id w:val="-2051610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E2CFC" w14:textId="0AA6FA42" w:rsidR="00832B11" w:rsidRDefault="00832B11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5E920241" w14:textId="6943E623" w:rsidR="00832B11" w:rsidRPr="00832B11" w:rsidRDefault="00832B11" w:rsidP="0083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F4A0" w14:textId="77777777" w:rsidR="00087344" w:rsidRDefault="00087344" w:rsidP="00832B11">
      <w:pPr>
        <w:spacing w:line="240" w:lineRule="auto"/>
      </w:pPr>
      <w:r>
        <w:separator/>
      </w:r>
    </w:p>
  </w:footnote>
  <w:footnote w:type="continuationSeparator" w:id="0">
    <w:p w14:paraId="38A9CD0A" w14:textId="77777777" w:rsidR="00087344" w:rsidRDefault="00087344" w:rsidP="0083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93D5" w14:textId="1712F0A9" w:rsidR="00832B11" w:rsidRDefault="00832B11">
    <w:pPr>
      <w:pStyle w:val="Header"/>
      <w:rPr>
        <w:noProof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AC1A8DB" wp14:editId="7991FF98">
          <wp:simplePos x="0" y="0"/>
          <wp:positionH relativeFrom="page">
            <wp:posOffset>899160</wp:posOffset>
          </wp:positionH>
          <wp:positionV relativeFrom="paragraph">
            <wp:posOffset>-456565</wp:posOffset>
          </wp:positionV>
          <wp:extent cx="6857364" cy="975360"/>
          <wp:effectExtent l="0" t="0" r="1270" b="0"/>
          <wp:wrapNone/>
          <wp:docPr id="1" name="Picture 1" descr="FOOTE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smal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88"/>
                  <a:stretch/>
                </pic:blipFill>
                <pic:spPr bwMode="auto">
                  <a:xfrm>
                    <a:off x="0" y="0"/>
                    <a:ext cx="6857364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0870F" w14:textId="35EE6E87" w:rsidR="00832B11" w:rsidRDefault="00832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701"/>
    <w:multiLevelType w:val="hybridMultilevel"/>
    <w:tmpl w:val="8C98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232"/>
    <w:multiLevelType w:val="hybridMultilevel"/>
    <w:tmpl w:val="97CCDE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135A5"/>
    <w:multiLevelType w:val="hybridMultilevel"/>
    <w:tmpl w:val="01067D98"/>
    <w:lvl w:ilvl="0" w:tplc="E83848F2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A07EE"/>
    <w:multiLevelType w:val="hybridMultilevel"/>
    <w:tmpl w:val="D3FC0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3B29"/>
    <w:multiLevelType w:val="multilevel"/>
    <w:tmpl w:val="CC522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BC2346"/>
    <w:multiLevelType w:val="multilevel"/>
    <w:tmpl w:val="C31EFE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D612466"/>
    <w:multiLevelType w:val="multilevel"/>
    <w:tmpl w:val="BE402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E3330"/>
    <w:multiLevelType w:val="hybridMultilevel"/>
    <w:tmpl w:val="CC9E7D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8649C8"/>
    <w:multiLevelType w:val="multilevel"/>
    <w:tmpl w:val="A7AA9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326FCD"/>
    <w:multiLevelType w:val="hybridMultilevel"/>
    <w:tmpl w:val="9B78EE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486A82"/>
    <w:multiLevelType w:val="multilevel"/>
    <w:tmpl w:val="4FAA9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77A54C44"/>
    <w:multiLevelType w:val="multilevel"/>
    <w:tmpl w:val="DB9EDD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252A69"/>
    <w:multiLevelType w:val="multilevel"/>
    <w:tmpl w:val="7548B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850068"/>
    <w:multiLevelType w:val="hybridMultilevel"/>
    <w:tmpl w:val="8D9C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86EED"/>
    <w:multiLevelType w:val="multilevel"/>
    <w:tmpl w:val="27846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E5"/>
    <w:rsid w:val="0000398C"/>
    <w:rsid w:val="000324C7"/>
    <w:rsid w:val="00034248"/>
    <w:rsid w:val="00060A83"/>
    <w:rsid w:val="0006723F"/>
    <w:rsid w:val="00087344"/>
    <w:rsid w:val="0009334B"/>
    <w:rsid w:val="000E3563"/>
    <w:rsid w:val="001516E1"/>
    <w:rsid w:val="001561F4"/>
    <w:rsid w:val="00224F83"/>
    <w:rsid w:val="00225754"/>
    <w:rsid w:val="00227B4D"/>
    <w:rsid w:val="0024294C"/>
    <w:rsid w:val="00271741"/>
    <w:rsid w:val="002C1C5A"/>
    <w:rsid w:val="002E08B2"/>
    <w:rsid w:val="00301D09"/>
    <w:rsid w:val="00307B48"/>
    <w:rsid w:val="0032759F"/>
    <w:rsid w:val="003464A8"/>
    <w:rsid w:val="003777A3"/>
    <w:rsid w:val="003E531D"/>
    <w:rsid w:val="0041302E"/>
    <w:rsid w:val="00424933"/>
    <w:rsid w:val="00432631"/>
    <w:rsid w:val="004662E5"/>
    <w:rsid w:val="00495FE2"/>
    <w:rsid w:val="004A34C4"/>
    <w:rsid w:val="004C7D6E"/>
    <w:rsid w:val="00597261"/>
    <w:rsid w:val="00597ACB"/>
    <w:rsid w:val="005A040A"/>
    <w:rsid w:val="00626363"/>
    <w:rsid w:val="00631597"/>
    <w:rsid w:val="006315CE"/>
    <w:rsid w:val="00691FFA"/>
    <w:rsid w:val="006D45FD"/>
    <w:rsid w:val="006F0391"/>
    <w:rsid w:val="00722D5D"/>
    <w:rsid w:val="00730F23"/>
    <w:rsid w:val="007606C3"/>
    <w:rsid w:val="00793B3A"/>
    <w:rsid w:val="007F2476"/>
    <w:rsid w:val="00807240"/>
    <w:rsid w:val="00826421"/>
    <w:rsid w:val="00832AB3"/>
    <w:rsid w:val="00832B11"/>
    <w:rsid w:val="0086585B"/>
    <w:rsid w:val="00885E6B"/>
    <w:rsid w:val="008E45C2"/>
    <w:rsid w:val="008E5C48"/>
    <w:rsid w:val="008F1C22"/>
    <w:rsid w:val="00905E1B"/>
    <w:rsid w:val="009131A4"/>
    <w:rsid w:val="00942366"/>
    <w:rsid w:val="009930AB"/>
    <w:rsid w:val="00995E60"/>
    <w:rsid w:val="009B5085"/>
    <w:rsid w:val="009D1860"/>
    <w:rsid w:val="00A435B7"/>
    <w:rsid w:val="00A47AD4"/>
    <w:rsid w:val="00A60B30"/>
    <w:rsid w:val="00A660DE"/>
    <w:rsid w:val="00A67320"/>
    <w:rsid w:val="00A73384"/>
    <w:rsid w:val="00A81608"/>
    <w:rsid w:val="00AA14B7"/>
    <w:rsid w:val="00AA463A"/>
    <w:rsid w:val="00AD4436"/>
    <w:rsid w:val="00B10EEA"/>
    <w:rsid w:val="00B53818"/>
    <w:rsid w:val="00B62F22"/>
    <w:rsid w:val="00B65951"/>
    <w:rsid w:val="00B66D4D"/>
    <w:rsid w:val="00BB1C9D"/>
    <w:rsid w:val="00BC34F5"/>
    <w:rsid w:val="00BC4B8F"/>
    <w:rsid w:val="00BE658F"/>
    <w:rsid w:val="00BF6225"/>
    <w:rsid w:val="00C1355B"/>
    <w:rsid w:val="00C47F9D"/>
    <w:rsid w:val="00C9385F"/>
    <w:rsid w:val="00CB44D3"/>
    <w:rsid w:val="00D47A18"/>
    <w:rsid w:val="00D550C7"/>
    <w:rsid w:val="00DB1E37"/>
    <w:rsid w:val="00E617FF"/>
    <w:rsid w:val="00F17DF3"/>
    <w:rsid w:val="00F54A37"/>
    <w:rsid w:val="00F553B8"/>
    <w:rsid w:val="00F90C51"/>
    <w:rsid w:val="00F955CB"/>
    <w:rsid w:val="00FD3DFF"/>
    <w:rsid w:val="00FE494E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8450"/>
  <w15:docId w15:val="{4E745D5F-D75D-47A3-A57D-B99AFC9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B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11"/>
  </w:style>
  <w:style w:type="paragraph" w:styleId="Footer">
    <w:name w:val="footer"/>
    <w:basedOn w:val="Normal"/>
    <w:link w:val="FooterChar"/>
    <w:uiPriority w:val="99"/>
    <w:unhideWhenUsed/>
    <w:rsid w:val="00832B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11"/>
  </w:style>
  <w:style w:type="character" w:styleId="Hyperlink">
    <w:name w:val="Hyperlink"/>
    <w:basedOn w:val="DefaultParagraphFont"/>
    <w:uiPriority w:val="99"/>
    <w:unhideWhenUsed/>
    <w:rsid w:val="00003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98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5E6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24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24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24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2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6077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0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clh.nhs.uk/Interact/Pages/Content/Document.aspx?id=2999" TargetMode="External"/><Relationship Id="rId13" Type="http://schemas.openxmlformats.org/officeDocument/2006/relationships/hyperlink" Target="mailto:uclh.randd@nhs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my.uclh.nhs.uk/Interact/Pages/Section/Default.aspx?section=6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uclh.nhs.uk/Interact/Pages/Section/Default.aspx?Section=64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joint-research-office/sops-and-templates/uclh-rd-sops-policies-and-templ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uclh.nhs.uk/Interact/Pages/Content/Document.aspx?id=2885" TargetMode="External"/><Relationship Id="rId10" Type="http://schemas.openxmlformats.org/officeDocument/2006/relationships/hyperlink" Target="https://my.uclh.nhs.uk/Interact/Pages/Section/ContentListing.aspx?subsection=802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l.ac.uk/joint-research-office/sops-and-templates/uclh-rd-sops-policies-and-templates" TargetMode="External"/><Relationship Id="rId14" Type="http://schemas.openxmlformats.org/officeDocument/2006/relationships/hyperlink" Target="about:blank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c.ukri.org/documents/pdf/mrc-wellcome-trust-framework-on-the-feedback-of-health-related-findings-in-researchpd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39B0-DBC5-4397-B9C4-CF1C9011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 hassan</cp:lastModifiedBy>
  <cp:revision>3</cp:revision>
  <dcterms:created xsi:type="dcterms:W3CDTF">2021-02-10T14:10:00Z</dcterms:created>
  <dcterms:modified xsi:type="dcterms:W3CDTF">2021-02-10T14:56:00Z</dcterms:modified>
</cp:coreProperties>
</file>