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Critical Archives and Records Reading Group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All sessions will be held in G31, Foster Court, UCL. </w:t>
      </w:r>
    </w:p>
    <w:p>
      <w:pPr>
        <w:pStyle w:val="List 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Session 1: January 16</w:t>
      </w:r>
      <w:r>
        <w:rPr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sz w:val="24"/>
          <w:szCs w:val="24"/>
          <w:u w:val="single"/>
          <w:rtl w:val="0"/>
          <w:lang w:val="en-US"/>
        </w:rPr>
        <w:t xml:space="preserve"> 2019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sz w:val="32"/>
          <w:szCs w:val="32"/>
          <w:rtl w:val="0"/>
          <w:lang w:val="de-DE"/>
        </w:rPr>
        <w:t>Theme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32"/>
          <w:szCs w:val="32"/>
          <w:rtl w:val="0"/>
          <w:lang w:val="en-US"/>
        </w:rPr>
        <w:t>White Privilege in Archives and Records Management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Readings</w:t>
      </w:r>
      <w:r>
        <w:rPr>
          <w:sz w:val="24"/>
          <w:szCs w:val="24"/>
          <w:rtl w:val="0"/>
        </w:rPr>
        <w:t xml:space="preserve">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Stacie Williams and Jarrett Drake (2017)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Power to the People: Documenting Police Violence in Cleveland,</w:t>
      </w:r>
      <w:r>
        <w:rPr>
          <w:sz w:val="24"/>
          <w:szCs w:val="24"/>
          <w:rtl w:val="0"/>
        </w:rPr>
        <w:t>”</w:t>
      </w:r>
      <w:r>
        <w:rPr>
          <w:i w:val="1"/>
          <w:iCs w:val="1"/>
          <w:sz w:val="24"/>
          <w:szCs w:val="24"/>
          <w:rtl w:val="0"/>
        </w:rPr>
        <w:t> </w:t>
      </w:r>
      <w:r>
        <w:rPr>
          <w:i w:val="1"/>
          <w:iCs w:val="1"/>
          <w:sz w:val="24"/>
          <w:szCs w:val="24"/>
          <w:rtl w:val="0"/>
          <w:lang w:val="en-US"/>
        </w:rPr>
        <w:t>Journal of Critical Library and Information Studies</w:t>
      </w:r>
      <w:r>
        <w:rPr>
          <w:sz w:val="24"/>
          <w:szCs w:val="24"/>
          <w:rtl w:val="0"/>
          <w:lang w:val="en-US"/>
        </w:rPr>
        <w:t>, available at</w:t>
      </w:r>
      <w:r>
        <w:rPr>
          <w:sz w:val="24"/>
          <w:szCs w:val="24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"http://libraryjuicepress.com/journals/index.php/jclis/article/view/33"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http://libraryjuicepress.com/journals/index.php/jclis/article/view/33</w:t>
      </w:r>
      <w:r>
        <w:rPr/>
        <w:fldChar w:fldCharType="end" w:fldLock="0"/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will be doing the exercise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Dismantling White Privilege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from Archivists Against History Repeating Itself: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"http://www.archivistsagainst.org/wp-content/uploads/2018/08/DismantlingWSExcercise-1.pdf"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http://www.archivistsagainst.org/wp-content/uploads/2018/08/DismantlingWSExcercise-1.pdf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, </w:t>
      </w:r>
    </w:p>
    <w:p>
      <w:pPr>
        <w:pStyle w:val="List 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Session 2: February 20th 2019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sz w:val="32"/>
          <w:szCs w:val="32"/>
          <w:rtl w:val="0"/>
          <w:lang w:val="de-DE"/>
        </w:rPr>
        <w:t>Theme:</w:t>
      </w:r>
      <w:r>
        <w:rPr>
          <w:b w:val="1"/>
          <w:bCs w:val="1"/>
          <w:sz w:val="32"/>
          <w:szCs w:val="32"/>
          <w:rtl w:val="0"/>
          <w:lang w:val="en-US"/>
        </w:rPr>
        <w:t xml:space="preserve"> Queering Recordkeeping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Readings: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Marcel Barriault (2009)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Hard to Dismiss: The Archival Value of Gay Male Erotica and Pornography,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Archivaria 68. Available at: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"https://archivaria.ca/index.php/archivaria/article/view/13238"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https://archivaria.ca/index.php/archivaria/article/view/13238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Gina Watts (2018)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Queer Lives in the Archives: Intelligibility and Forms of Memory,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disclosure: A Journal of Social Theory 27, available at: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"https://uknowledge.uky.edu/cgi/viewcontent.cgi?article=1438&amp;context=disclosure"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https://uknowledge.uky.edu/cgi/viewcontent.cgi?article=1438&amp;context=disclosure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</w:t>
      </w:r>
    </w:p>
    <w:p>
      <w:pPr>
        <w:pStyle w:val="List 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Session 3: March 13th 2019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Theme: </w:t>
      </w:r>
      <w:r>
        <w:rPr>
          <w:b w:val="1"/>
          <w:bCs w:val="1"/>
          <w:sz w:val="32"/>
          <w:szCs w:val="32"/>
          <w:rtl w:val="0"/>
          <w:lang w:val="en-US"/>
        </w:rPr>
        <w:t>Feminism in the Archive</w:t>
      </w:r>
    </w:p>
    <w:p>
      <w:pPr>
        <w:pStyle w:val="Body"/>
        <w:rPr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Readings:</w:t>
      </w:r>
      <w:r>
        <w:rPr>
          <w:sz w:val="24"/>
          <w:szCs w:val="24"/>
          <w:u w:val="single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Audre Lorde (1983)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The Master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Tools Will Never Dismantle the Master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House,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extract available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"http://bixby.ucla.edu/journal_club/Lorde_s2.pdf"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http://bixby.ucla.edu/journal_club/Lorde_s2.pdf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Marika Cifor and Stacy Wood (2017)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Critical Feminism in the Archives,</w:t>
      </w:r>
      <w:r>
        <w:rPr>
          <w:sz w:val="24"/>
          <w:szCs w:val="24"/>
          <w:rtl w:val="0"/>
          <w:lang w:val="ru-RU"/>
        </w:rPr>
        <w:t>” </w:t>
      </w:r>
      <w:r>
        <w:rPr>
          <w:i w:val="1"/>
          <w:iCs w:val="1"/>
          <w:sz w:val="24"/>
          <w:szCs w:val="24"/>
          <w:rtl w:val="0"/>
          <w:lang w:val="en-US"/>
        </w:rPr>
        <w:t>Journal of Critical Library and Information Studies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"http://libraryjuicepress.com/journals/index.php/jclis/article/view/27"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http://libraryjuicepress.com/journals/index.php/jclis/article/view/27</w:t>
      </w:r>
      <w:r>
        <w:rPr/>
        <w:fldChar w:fldCharType="end" w:fldLock="0"/>
      </w:r>
    </w:p>
    <w:p>
      <w:pPr>
        <w:pStyle w:val="List 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Session 4: May 1</w:t>
      </w:r>
      <w:r>
        <w:rPr>
          <w:sz w:val="24"/>
          <w:szCs w:val="24"/>
          <w:u w:val="single"/>
          <w:vertAlign w:val="superscript"/>
          <w:rtl w:val="0"/>
          <w:lang w:val="en-US"/>
        </w:rPr>
        <w:t>st</w:t>
      </w:r>
      <w:r>
        <w:rPr>
          <w:sz w:val="24"/>
          <w:szCs w:val="24"/>
          <w:u w:val="single"/>
          <w:rtl w:val="0"/>
          <w:lang w:val="en-US"/>
        </w:rPr>
        <w:t xml:space="preserve"> 2019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sz w:val="32"/>
          <w:szCs w:val="32"/>
          <w:rtl w:val="0"/>
          <w:lang w:val="de-DE"/>
        </w:rPr>
        <w:t>Theme:</w:t>
      </w:r>
      <w:r>
        <w:rPr>
          <w:b w:val="1"/>
          <w:bCs w:val="1"/>
          <w:sz w:val="32"/>
          <w:szCs w:val="32"/>
          <w:rtl w:val="0"/>
          <w:lang w:val="en-US"/>
        </w:rPr>
        <w:t xml:space="preserve"> Critical Heritage and Commemoration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Readings: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Crooke, E. (2016)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Artefacts as Agents for Change: Commemoration and Exchange via Material Culture,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Irish Political Studies, 31(1), pp. 86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100. doi: 10.1080/07907184.2015.1126926.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Haskins, E. (2007)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>Between archive and participation: Public memory in a digital age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, Rhetoric Society Quarterly, 37(4), pp. 401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422. doi: 10.1080/02773940601086794.</w:t>
      </w:r>
    </w:p>
    <w:p>
      <w:pPr>
        <w:pStyle w:val="Body"/>
        <w:rPr>
          <w:sz w:val="24"/>
          <w:szCs w:val="24"/>
        </w:rPr>
      </w:pPr>
    </w:p>
    <w:p>
      <w:pPr>
        <w:pStyle w:val="List 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Session 5: June 5</w:t>
      </w:r>
      <w:r>
        <w:rPr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sz w:val="24"/>
          <w:szCs w:val="24"/>
          <w:u w:val="single"/>
          <w:rtl w:val="0"/>
          <w:lang w:val="en-US"/>
        </w:rPr>
        <w:t xml:space="preserve"> 2019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Theme: </w:t>
      </w:r>
      <w:r>
        <w:rPr>
          <w:b w:val="1"/>
          <w:bCs w:val="1"/>
          <w:sz w:val="32"/>
          <w:szCs w:val="32"/>
          <w:rtl w:val="0"/>
          <w:lang w:val="en-US"/>
        </w:rPr>
        <w:t>DIY Heritage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Readings: </w:t>
      </w:r>
    </w:p>
    <w:p>
      <w:pPr>
        <w:pStyle w:val="Normal (Web)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Les Roberts and Sara Cohen (2014)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“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Unauthorising Popular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Music Heritage: Outline of a Critical Framework,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International Journal of Heritage Studies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20:3, 241-261. Available at: -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"https://www.tandfonline.com/doi/abs/10.1080/13527258.2012.750619?casa_token=bc2Ynd3XL2sAAAAA:-ApCizbGhHAmtQJrpsBMEKaZ6EMB9r5rfotOLrchfQamsfDjrQuEU5_IZX3dSVRVJ1hdkBaiKOE"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https://www.tandfonline.com/doi/abs/10.1080/13527258.2012.750619?casa_token=bc2Ynd3XL2sAAAAA:-ApCizbGhHAmtQJrpsBMEKaZ6EMB9r5rfotOLrchfQamsfDjrQuEU5_IZX3dSVRVJ1hdkBaiKOE</w:t>
      </w:r>
      <w:r>
        <w:rPr/>
        <w:fldChar w:fldCharType="end" w:fldLock="0"/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 </w:t>
      </w:r>
    </w:p>
    <w:p>
      <w:pPr>
        <w:pStyle w:val="Normal (Web)"/>
        <w:rPr>
          <w:rFonts w:ascii="Calibri" w:cs="Calibri" w:hAnsi="Calibri" w:eastAsia="Calibri"/>
          <w:color w:val="000000"/>
          <w:u w:color="000000"/>
        </w:rPr>
      </w:pPr>
    </w:p>
    <w:p>
      <w:pPr>
        <w:pStyle w:val="Normal (Web)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Brager and Sailor -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Archiving the Underground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Zine, intro and interviews with Lisa Darms and Milo Miller (Queer Zine Archive Project).  A scan of this is available: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"https://drive.google.com/open?id=10gILG8EVH4fflIy85BJljP-PKlKZnjey"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https://drive.google.com/open?id=10gILG8EVH4fflIy85BJljP-PKlKZnjey</w:t>
      </w:r>
      <w:r>
        <w:rPr/>
        <w:fldChar w:fldCharType="end" w:fldLock="0"/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. </w:t>
      </w:r>
    </w:p>
    <w:p>
      <w:pPr>
        <w:pStyle w:val="Body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