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D65C9" w14:textId="73DB5B5F" w:rsidR="00A1072B" w:rsidRPr="008959B1" w:rsidRDefault="008959B1" w:rsidP="008959B1">
      <w:pPr>
        <w:pStyle w:val="Heading1"/>
        <w:spacing w:before="240" w:line="720" w:lineRule="auto"/>
      </w:pPr>
      <w:r w:rsidRPr="008959B1">
        <mc:AlternateContent>
          <mc:Choice Requires="wps">
            <w:drawing>
              <wp:anchor distT="45720" distB="45720" distL="114300" distR="114300" simplePos="0" relativeHeight="251660288" behindDoc="0" locked="0" layoutInCell="1" allowOverlap="1" wp14:anchorId="4F2F1BA5" wp14:editId="11B65678">
                <wp:simplePos x="0" y="0"/>
                <wp:positionH relativeFrom="column">
                  <wp:posOffset>-723265</wp:posOffset>
                </wp:positionH>
                <wp:positionV relativeFrom="page">
                  <wp:posOffset>361950</wp:posOffset>
                </wp:positionV>
                <wp:extent cx="3138170" cy="90297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902970"/>
                        </a:xfrm>
                        <a:prstGeom prst="rect">
                          <a:avLst/>
                        </a:prstGeom>
                        <a:noFill/>
                        <a:ln w="9525">
                          <a:noFill/>
                          <a:miter lim="800000"/>
                          <a:headEnd/>
                          <a:tailEnd/>
                        </a:ln>
                      </wps:spPr>
                      <wps:txbx>
                        <w:txbxContent>
                          <w:p w14:paraId="2317CB46" w14:textId="77777777" w:rsidR="008959B1" w:rsidRPr="008959B1" w:rsidRDefault="008959B1">
                            <w:pPr>
                              <w:rPr>
                                <w:rFonts w:ascii="Arial" w:hAnsi="Arial" w:cs="Arial"/>
                                <w:b/>
                                <w:bCs/>
                              </w:rPr>
                            </w:pPr>
                            <w:r w:rsidRPr="008959B1">
                              <w:rPr>
                                <w:rFonts w:ascii="Arial" w:hAnsi="Arial" w:cs="Arial"/>
                                <w:b/>
                                <w:bCs/>
                              </w:rPr>
                              <w:t>HUMAN RESOURCES,</w:t>
                            </w:r>
                          </w:p>
                          <w:p w14:paraId="201758DA" w14:textId="26459C05" w:rsidR="008959B1" w:rsidRPr="008959B1" w:rsidRDefault="008959B1">
                            <w:pPr>
                              <w:rPr>
                                <w:rFonts w:ascii="Arial" w:hAnsi="Arial" w:cs="Arial"/>
                                <w:b/>
                                <w:bCs/>
                              </w:rPr>
                            </w:pPr>
                            <w:r w:rsidRPr="008959B1">
                              <w:rPr>
                                <w:rFonts w:ascii="Arial" w:hAnsi="Arial" w:cs="Arial"/>
                                <w:b/>
                                <w:bCs/>
                              </w:rPr>
                              <w:t xml:space="preserve">Organisational Development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2F1BA5" id="_x0000_t202" coordsize="21600,21600" o:spt="202" path="m,l,21600r21600,l21600,xe">
                <v:stroke joinstyle="miter"/>
                <v:path gradientshapeok="t" o:connecttype="rect"/>
              </v:shapetype>
              <v:shape id="Text Box 2" o:spid="_x0000_s1026" type="#_x0000_t202" alt="&quot;&quot;" style="position:absolute;margin-left:-56.95pt;margin-top:28.5pt;width:247.1pt;height:71.1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t9wEAAM0DAAAOAAAAZHJzL2Uyb0RvYy54bWysU11v2yAUfZ+0/4B4X2ynyZpYcaquXaZJ&#10;3YfU7gdgjGM04DIgsbNfvwt202h7q+YHdK8vHO4597C5GbQiR+G8BFPRYpZTIgyHRpp9RX887d6t&#10;KPGBmYYpMKKiJ+Hpzfbtm01vSzGHDlQjHEEQ48veVrQLwZZZ5nknNPMzsMJgsQWnWcDU7bPGsR7R&#10;tcrmef4+68E11gEX3uPf+7FItwm/bQUP39rWi0BURbG3kFaX1jqu2XbDyr1jtpN8aoO9ogvNpMFL&#10;z1D3LDBycPIfKC25Aw9tmHHQGbSt5CJxQDZF/hebx45ZkbigON6eZfL/D5Z/PT7a746E4QMMOMBE&#10;wtsH4D89MXDXMbMXt85B3wnW4MVFlCzrrS+no1FqX/oIUvdfoMEhs0OABDS0TkdVkCdBdBzA6Sy6&#10;GALh+POquFoV11jiWFvn8zXG8QpWPp+2zodPAjSJQUUdDjWhs+ODD+PW5y3xMgM7qVQarDKkR9Dl&#10;fJkOXFS0DOg7JXVFV3n8RidEkh9Nkw4HJtUYYy/KTKwj0ZFyGOoBN0b2NTQn5O9g9Be+Bww6cL8p&#10;6dFbFfW/DswJStRngxqui8UimjEli+X1HBN3WakvK8xwhKpooGQM70IycOTq7S1qvZNJhpdOpl7R&#10;M0nIyd/RlJd52vXyCrd/AAAA//8DAFBLAwQUAAYACAAAACEAVsJzTeAAAAALAQAADwAAAGRycy9k&#10;b3ducmV2LnhtbEyPy07DMBBF90j8gzVI7FonTUObEKdCPCSWtKVSl248eYh4HMVuG/6eYQXL0Rzd&#10;e26xmWwvLjj6zpGCeB6BQKqc6ahR8Ll/m61B+KDJ6N4RKvhGD5vy9qbQuXFX2uJlFxrBIeRzraAN&#10;Ycil9FWLVvu5G5D4V7vR6sDn2Egz6iuH214uouhBWt0RN7R6wOcWq6/d2So40LF/r5emxVX6sdwO&#10;ry91GvZK3d9NT48gAk7hD4ZffVaHkp1O7kzGi17BLI6TjFkF6YpHMZGsowTEidEsW4AsC/l/Q/kD&#10;AAD//wMAUEsBAi0AFAAGAAgAAAAhALaDOJL+AAAA4QEAABMAAAAAAAAAAAAAAAAAAAAAAFtDb250&#10;ZW50X1R5cGVzXS54bWxQSwECLQAUAAYACAAAACEAOP0h/9YAAACUAQAACwAAAAAAAAAAAAAAAAAv&#10;AQAAX3JlbHMvLnJlbHNQSwECLQAUAAYACAAAACEAH3KvrfcBAADNAwAADgAAAAAAAAAAAAAAAAAu&#10;AgAAZHJzL2Uyb0RvYy54bWxQSwECLQAUAAYACAAAACEAVsJzTeAAAAALAQAADwAAAAAAAAAAAAAA&#10;AABRBAAAZHJzL2Rvd25yZXYueG1sUEsFBgAAAAAEAAQA8wAAAF4FAAAAAA==&#10;" filled="f" stroked="f">
                <v:textbox style="mso-fit-shape-to-text:t">
                  <w:txbxContent>
                    <w:p w14:paraId="2317CB46" w14:textId="77777777" w:rsidR="008959B1" w:rsidRPr="008959B1" w:rsidRDefault="008959B1">
                      <w:pPr>
                        <w:rPr>
                          <w:rFonts w:ascii="Arial" w:hAnsi="Arial" w:cs="Arial"/>
                          <w:b/>
                          <w:bCs/>
                        </w:rPr>
                      </w:pPr>
                      <w:r w:rsidRPr="008959B1">
                        <w:rPr>
                          <w:rFonts w:ascii="Arial" w:hAnsi="Arial" w:cs="Arial"/>
                          <w:b/>
                          <w:bCs/>
                        </w:rPr>
                        <w:t>HUMAN RESOURCES,</w:t>
                      </w:r>
                    </w:p>
                    <w:p w14:paraId="201758DA" w14:textId="26459C05" w:rsidR="008959B1" w:rsidRPr="008959B1" w:rsidRDefault="008959B1">
                      <w:pPr>
                        <w:rPr>
                          <w:rFonts w:ascii="Arial" w:hAnsi="Arial" w:cs="Arial"/>
                          <w:b/>
                          <w:bCs/>
                        </w:rPr>
                      </w:pPr>
                      <w:r w:rsidRPr="008959B1">
                        <w:rPr>
                          <w:rFonts w:ascii="Arial" w:hAnsi="Arial" w:cs="Arial"/>
                          <w:b/>
                          <w:bCs/>
                        </w:rPr>
                        <w:t xml:space="preserve">Organisational Development </w:t>
                      </w:r>
                    </w:p>
                  </w:txbxContent>
                </v:textbox>
                <w10:wrap type="square" anchory="page"/>
              </v:shape>
            </w:pict>
          </mc:Fallback>
        </mc:AlternateContent>
      </w:r>
      <w:r w:rsidRPr="008959B1">
        <w:drawing>
          <wp:anchor distT="0" distB="0" distL="114300" distR="114300" simplePos="0" relativeHeight="251658240" behindDoc="0" locked="0" layoutInCell="1" allowOverlap="1" wp14:anchorId="2BE50464" wp14:editId="7E90BD2D">
            <wp:simplePos x="0" y="0"/>
            <wp:positionH relativeFrom="page">
              <wp:posOffset>-192405</wp:posOffset>
            </wp:positionH>
            <wp:positionV relativeFrom="paragraph">
              <wp:posOffset>-1748790</wp:posOffset>
            </wp:positionV>
            <wp:extent cx="10870410" cy="1466850"/>
            <wp:effectExtent l="0" t="0" r="7620" b="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041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0819" w:rsidRPr="008959B1">
        <w:t>HR Excellence in Research Progress Report</w:t>
      </w:r>
      <w:r w:rsidR="000A517F">
        <w:t xml:space="preserve"> </w:t>
      </w:r>
      <w:r w:rsidR="000A517F" w:rsidRPr="008959B1">
        <w:t>2019-2021</w:t>
      </w:r>
    </w:p>
    <w:p w14:paraId="5CAA1EC0" w14:textId="7BD0A41E" w:rsidR="008959B1" w:rsidRPr="00970819" w:rsidRDefault="008959B1" w:rsidP="00970819">
      <w:pPr>
        <w:rPr>
          <w:rFonts w:ascii="Arial" w:hAnsi="Arial" w:cs="Arial"/>
          <w:b/>
          <w:bCs/>
          <w:sz w:val="32"/>
          <w:szCs w:val="32"/>
        </w:rPr>
      </w:pPr>
    </w:p>
    <w:p w14:paraId="74E79569" w14:textId="7791EF6D" w:rsidR="00970819" w:rsidRDefault="00970819" w:rsidP="00970819"/>
    <w:tbl>
      <w:tblPr>
        <w:tblW w:w="154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460"/>
        <w:gridCol w:w="2357"/>
        <w:gridCol w:w="3412"/>
        <w:gridCol w:w="1134"/>
        <w:gridCol w:w="1276"/>
        <w:gridCol w:w="3969"/>
      </w:tblGrid>
      <w:tr w:rsidR="00970819" w:rsidRPr="002466EA" w14:paraId="12397B55" w14:textId="77777777" w:rsidTr="008959B1">
        <w:trPr>
          <w:trHeight w:val="678"/>
        </w:trPr>
        <w:tc>
          <w:tcPr>
            <w:tcW w:w="1844" w:type="dxa"/>
            <w:shd w:val="clear" w:color="000000" w:fill="002855"/>
            <w:hideMark/>
          </w:tcPr>
          <w:p w14:paraId="000B36DC" w14:textId="77777777" w:rsidR="00970819" w:rsidRPr="002466EA" w:rsidRDefault="00970819" w:rsidP="000E37E9">
            <w:pPr>
              <w:rPr>
                <w:rFonts w:ascii="Arial" w:eastAsia="Times New Roman" w:hAnsi="Arial" w:cs="Arial"/>
                <w:b/>
                <w:bCs/>
                <w:color w:val="FFFFFF"/>
                <w:sz w:val="18"/>
                <w:szCs w:val="18"/>
                <w:lang w:eastAsia="en-GB"/>
              </w:rPr>
            </w:pPr>
            <w:r w:rsidRPr="002466EA">
              <w:rPr>
                <w:rFonts w:ascii="Arial" w:eastAsia="Times New Roman" w:hAnsi="Arial" w:cs="Arial"/>
                <w:b/>
                <w:bCs/>
                <w:color w:val="FFFFFF"/>
                <w:sz w:val="18"/>
                <w:szCs w:val="18"/>
                <w:lang w:eastAsia="en-GB"/>
              </w:rPr>
              <w:t xml:space="preserve">Original Concordat Principles </w:t>
            </w:r>
          </w:p>
        </w:tc>
        <w:tc>
          <w:tcPr>
            <w:tcW w:w="1460" w:type="dxa"/>
            <w:shd w:val="clear" w:color="000000" w:fill="F6BE00"/>
            <w:hideMark/>
          </w:tcPr>
          <w:p w14:paraId="49444EB8" w14:textId="77777777" w:rsidR="00970819" w:rsidRPr="002466EA" w:rsidRDefault="00970819" w:rsidP="000E37E9">
            <w:pPr>
              <w:rPr>
                <w:rFonts w:ascii="Arial" w:eastAsia="Times New Roman" w:hAnsi="Arial" w:cs="Arial"/>
                <w:b/>
                <w:bCs/>
                <w:color w:val="000000"/>
                <w:sz w:val="18"/>
                <w:szCs w:val="18"/>
                <w:lang w:eastAsia="en-GB"/>
              </w:rPr>
            </w:pPr>
            <w:r w:rsidRPr="002466EA">
              <w:rPr>
                <w:rFonts w:ascii="Arial" w:eastAsia="Times New Roman" w:hAnsi="Arial" w:cs="Arial"/>
                <w:b/>
                <w:bCs/>
                <w:color w:val="000000"/>
                <w:sz w:val="18"/>
                <w:szCs w:val="18"/>
                <w:lang w:eastAsia="en-GB"/>
              </w:rPr>
              <w:t>Objectives</w:t>
            </w:r>
          </w:p>
        </w:tc>
        <w:tc>
          <w:tcPr>
            <w:tcW w:w="2357" w:type="dxa"/>
            <w:shd w:val="clear" w:color="000000" w:fill="F2F2F2"/>
            <w:noWrap/>
            <w:hideMark/>
          </w:tcPr>
          <w:p w14:paraId="5C8CB68B" w14:textId="77777777" w:rsidR="00970819" w:rsidRPr="002466EA" w:rsidRDefault="00970819" w:rsidP="000E37E9">
            <w:pPr>
              <w:rPr>
                <w:rFonts w:ascii="Arial" w:eastAsia="Times New Roman" w:hAnsi="Arial" w:cs="Arial"/>
                <w:b/>
                <w:bCs/>
                <w:color w:val="000000"/>
                <w:sz w:val="18"/>
                <w:szCs w:val="18"/>
                <w:lang w:eastAsia="en-GB"/>
              </w:rPr>
            </w:pPr>
            <w:r w:rsidRPr="002466EA">
              <w:rPr>
                <w:rFonts w:ascii="Arial" w:eastAsia="Times New Roman" w:hAnsi="Arial" w:cs="Arial"/>
                <w:b/>
                <w:bCs/>
                <w:color w:val="000000"/>
                <w:sz w:val="18"/>
                <w:szCs w:val="18"/>
                <w:lang w:eastAsia="en-GB"/>
              </w:rPr>
              <w:t xml:space="preserve">Action </w:t>
            </w:r>
          </w:p>
        </w:tc>
        <w:tc>
          <w:tcPr>
            <w:tcW w:w="3412" w:type="dxa"/>
            <w:shd w:val="clear" w:color="000000" w:fill="F2F2F2"/>
            <w:noWrap/>
            <w:hideMark/>
          </w:tcPr>
          <w:p w14:paraId="1D43E7D6" w14:textId="77777777" w:rsidR="00970819" w:rsidRPr="002466EA" w:rsidRDefault="00970819" w:rsidP="000E37E9">
            <w:pPr>
              <w:rPr>
                <w:rFonts w:ascii="Arial" w:eastAsia="Times New Roman" w:hAnsi="Arial" w:cs="Arial"/>
                <w:b/>
                <w:bCs/>
                <w:sz w:val="18"/>
                <w:szCs w:val="18"/>
                <w:lang w:eastAsia="en-GB"/>
              </w:rPr>
            </w:pPr>
            <w:r w:rsidRPr="002466EA">
              <w:rPr>
                <w:rFonts w:ascii="Arial" w:eastAsia="Times New Roman" w:hAnsi="Arial" w:cs="Arial"/>
                <w:b/>
                <w:bCs/>
                <w:sz w:val="18"/>
                <w:szCs w:val="18"/>
                <w:lang w:eastAsia="en-GB"/>
              </w:rPr>
              <w:t xml:space="preserve">Success Measure </w:t>
            </w:r>
          </w:p>
        </w:tc>
        <w:tc>
          <w:tcPr>
            <w:tcW w:w="1134" w:type="dxa"/>
            <w:shd w:val="clear" w:color="000000" w:fill="F2F2F2"/>
            <w:noWrap/>
            <w:hideMark/>
          </w:tcPr>
          <w:p w14:paraId="5121C173" w14:textId="77777777" w:rsidR="00970819" w:rsidRPr="002466EA" w:rsidRDefault="00970819" w:rsidP="000E37E9">
            <w:pPr>
              <w:rPr>
                <w:rFonts w:ascii="Arial" w:eastAsia="Times New Roman" w:hAnsi="Arial" w:cs="Arial"/>
                <w:b/>
                <w:bCs/>
                <w:sz w:val="18"/>
                <w:szCs w:val="18"/>
                <w:lang w:eastAsia="en-GB"/>
              </w:rPr>
            </w:pPr>
            <w:r w:rsidRPr="002466EA">
              <w:rPr>
                <w:rFonts w:ascii="Arial" w:eastAsia="Times New Roman" w:hAnsi="Arial" w:cs="Arial"/>
                <w:b/>
                <w:bCs/>
                <w:sz w:val="18"/>
                <w:szCs w:val="18"/>
                <w:lang w:eastAsia="en-GB"/>
              </w:rPr>
              <w:t>Owner</w:t>
            </w:r>
          </w:p>
        </w:tc>
        <w:tc>
          <w:tcPr>
            <w:tcW w:w="1276" w:type="dxa"/>
            <w:shd w:val="clear" w:color="000000" w:fill="F2F2F2"/>
            <w:hideMark/>
          </w:tcPr>
          <w:p w14:paraId="17074846" w14:textId="77777777" w:rsidR="00970819" w:rsidRPr="002466EA" w:rsidRDefault="00970819" w:rsidP="000E37E9">
            <w:pPr>
              <w:rPr>
                <w:rFonts w:ascii="Arial" w:eastAsia="Times New Roman" w:hAnsi="Arial" w:cs="Arial"/>
                <w:b/>
                <w:bCs/>
                <w:color w:val="000000"/>
                <w:sz w:val="18"/>
                <w:szCs w:val="18"/>
                <w:lang w:eastAsia="en-GB"/>
              </w:rPr>
            </w:pPr>
            <w:r w:rsidRPr="002466EA">
              <w:rPr>
                <w:rFonts w:ascii="Arial" w:eastAsia="Times New Roman" w:hAnsi="Arial" w:cs="Arial"/>
                <w:b/>
                <w:bCs/>
                <w:color w:val="000000"/>
                <w:sz w:val="18"/>
                <w:szCs w:val="18"/>
                <w:lang w:eastAsia="en-GB"/>
              </w:rPr>
              <w:t>Progress update</w:t>
            </w:r>
          </w:p>
        </w:tc>
        <w:tc>
          <w:tcPr>
            <w:tcW w:w="3969" w:type="dxa"/>
            <w:shd w:val="clear" w:color="000000" w:fill="F2F2F2"/>
            <w:hideMark/>
          </w:tcPr>
          <w:p w14:paraId="0D6C63B3" w14:textId="77777777" w:rsidR="00970819" w:rsidRPr="002466EA" w:rsidRDefault="00970819" w:rsidP="000E37E9">
            <w:pPr>
              <w:rPr>
                <w:rFonts w:ascii="Arial" w:eastAsia="Times New Roman" w:hAnsi="Arial" w:cs="Arial"/>
                <w:b/>
                <w:bCs/>
                <w:color w:val="000000"/>
                <w:sz w:val="18"/>
                <w:szCs w:val="18"/>
                <w:lang w:eastAsia="en-GB"/>
              </w:rPr>
            </w:pPr>
            <w:r w:rsidRPr="002466EA">
              <w:rPr>
                <w:rFonts w:ascii="Arial" w:eastAsia="Times New Roman" w:hAnsi="Arial" w:cs="Arial"/>
                <w:b/>
                <w:bCs/>
                <w:color w:val="000000"/>
                <w:sz w:val="18"/>
                <w:szCs w:val="18"/>
                <w:lang w:eastAsia="en-GB"/>
              </w:rPr>
              <w:t>Outcome/result</w:t>
            </w:r>
          </w:p>
        </w:tc>
      </w:tr>
      <w:tr w:rsidR="00970819" w:rsidRPr="002466EA" w14:paraId="52B0EC4E" w14:textId="77777777" w:rsidTr="008959B1">
        <w:trPr>
          <w:trHeight w:val="1679"/>
        </w:trPr>
        <w:tc>
          <w:tcPr>
            <w:tcW w:w="1844" w:type="dxa"/>
            <w:vMerge w:val="restart"/>
            <w:shd w:val="clear" w:color="000000" w:fill="002855"/>
            <w:hideMark/>
          </w:tcPr>
          <w:p w14:paraId="423D3349" w14:textId="77777777" w:rsidR="00970819" w:rsidRPr="002466EA" w:rsidRDefault="00970819" w:rsidP="000E37E9">
            <w:pPr>
              <w:rPr>
                <w:rFonts w:ascii="Arial" w:eastAsia="Times New Roman" w:hAnsi="Arial" w:cs="Arial"/>
                <w:b/>
                <w:bCs/>
                <w:color w:val="FFFFFF"/>
                <w:sz w:val="18"/>
                <w:szCs w:val="18"/>
                <w:lang w:eastAsia="en-GB"/>
              </w:rPr>
            </w:pPr>
            <w:r w:rsidRPr="002466EA">
              <w:rPr>
                <w:rFonts w:ascii="Arial" w:eastAsia="Times New Roman" w:hAnsi="Arial" w:cs="Arial"/>
                <w:b/>
                <w:bCs/>
                <w:color w:val="FFFFFF"/>
                <w:sz w:val="18"/>
                <w:szCs w:val="18"/>
                <w:lang w:eastAsia="en-GB"/>
              </w:rPr>
              <w:t xml:space="preserve">Recognition of the importance of recruiting, selecting and retaining researchers with the highest potential to achieve excellence in research - Concordat </w:t>
            </w:r>
            <w:proofErr w:type="gramStart"/>
            <w:r w:rsidRPr="002466EA">
              <w:rPr>
                <w:rFonts w:ascii="Arial" w:eastAsia="Times New Roman" w:hAnsi="Arial" w:cs="Arial"/>
                <w:b/>
                <w:bCs/>
                <w:color w:val="FFFFFF"/>
                <w:sz w:val="18"/>
                <w:szCs w:val="18"/>
                <w:lang w:eastAsia="en-GB"/>
              </w:rPr>
              <w:t>Principle</w:t>
            </w:r>
            <w:proofErr w:type="gramEnd"/>
            <w:r w:rsidRPr="002466EA">
              <w:rPr>
                <w:rFonts w:ascii="Arial" w:eastAsia="Times New Roman" w:hAnsi="Arial" w:cs="Arial"/>
                <w:b/>
                <w:bCs/>
                <w:color w:val="FFFFFF"/>
                <w:sz w:val="18"/>
                <w:szCs w:val="18"/>
                <w:lang w:eastAsia="en-GB"/>
              </w:rPr>
              <w:t xml:space="preserve"> 1</w:t>
            </w:r>
          </w:p>
        </w:tc>
        <w:tc>
          <w:tcPr>
            <w:tcW w:w="1460" w:type="dxa"/>
            <w:vMerge w:val="restart"/>
            <w:shd w:val="clear" w:color="000000" w:fill="F6BE00"/>
            <w:hideMark/>
          </w:tcPr>
          <w:p w14:paraId="40E55554" w14:textId="77777777" w:rsidR="00970819" w:rsidRPr="002466EA" w:rsidRDefault="00970819" w:rsidP="000E37E9">
            <w:pPr>
              <w:rPr>
                <w:rFonts w:ascii="Arial" w:eastAsia="Times New Roman" w:hAnsi="Arial" w:cs="Arial"/>
                <w:b/>
                <w:bCs/>
                <w:color w:val="000000"/>
                <w:sz w:val="18"/>
                <w:szCs w:val="18"/>
                <w:lang w:eastAsia="en-GB"/>
              </w:rPr>
            </w:pPr>
            <w:r w:rsidRPr="002466EA">
              <w:rPr>
                <w:rFonts w:ascii="Arial" w:eastAsia="Times New Roman" w:hAnsi="Arial" w:cs="Arial"/>
                <w:b/>
                <w:bCs/>
                <w:color w:val="000000"/>
                <w:sz w:val="18"/>
                <w:szCs w:val="18"/>
                <w:lang w:eastAsia="en-GB"/>
              </w:rPr>
              <w:t xml:space="preserve">Ensuring UCL </w:t>
            </w:r>
            <w:proofErr w:type="gramStart"/>
            <w:r w:rsidRPr="002466EA">
              <w:rPr>
                <w:rFonts w:ascii="Arial" w:eastAsia="Times New Roman" w:hAnsi="Arial" w:cs="Arial"/>
                <w:b/>
                <w:bCs/>
                <w:color w:val="000000"/>
                <w:sz w:val="18"/>
                <w:szCs w:val="18"/>
                <w:lang w:eastAsia="en-GB"/>
              </w:rPr>
              <w:t>is able to</w:t>
            </w:r>
            <w:proofErr w:type="gramEnd"/>
            <w:r w:rsidRPr="002466EA">
              <w:rPr>
                <w:rFonts w:ascii="Arial" w:eastAsia="Times New Roman" w:hAnsi="Arial" w:cs="Arial"/>
                <w:b/>
                <w:bCs/>
                <w:color w:val="000000"/>
                <w:sz w:val="18"/>
                <w:szCs w:val="18"/>
                <w:lang w:eastAsia="en-GB"/>
              </w:rPr>
              <w:t xml:space="preserve"> attract, develop and retain the outstanding talent needed to deliver our academic mission. </w:t>
            </w:r>
          </w:p>
        </w:tc>
        <w:tc>
          <w:tcPr>
            <w:tcW w:w="2357" w:type="dxa"/>
            <w:shd w:val="clear" w:color="000000" w:fill="F2F2F2"/>
            <w:hideMark/>
          </w:tcPr>
          <w:p w14:paraId="3907613D"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Develop new talent strategy that includes a specific focus on researchers that enables us to identify our top talent leading to clear succession planning and retention plans.</w:t>
            </w:r>
          </w:p>
        </w:tc>
        <w:tc>
          <w:tcPr>
            <w:tcW w:w="3412" w:type="dxa"/>
            <w:shd w:val="clear" w:color="000000" w:fill="F2F2F2"/>
            <w:hideMark/>
          </w:tcPr>
          <w:p w14:paraId="6B2A4650" w14:textId="77777777" w:rsidR="00970819" w:rsidRPr="002466EA" w:rsidRDefault="00970819" w:rsidP="000E37E9">
            <w:pPr>
              <w:spacing w:after="240"/>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New talent strategy is consulted on, approved, and published, enabling clear pathways to better talent management. </w:t>
            </w:r>
          </w:p>
        </w:tc>
        <w:tc>
          <w:tcPr>
            <w:tcW w:w="1134" w:type="dxa"/>
            <w:shd w:val="clear" w:color="000000" w:fill="F2F2F2"/>
            <w:hideMark/>
          </w:tcPr>
          <w:p w14:paraId="4FD84D25"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OD</w:t>
            </w:r>
          </w:p>
        </w:tc>
        <w:tc>
          <w:tcPr>
            <w:tcW w:w="1276" w:type="dxa"/>
            <w:shd w:val="clear" w:color="000000" w:fill="F2F2F2"/>
            <w:hideMark/>
          </w:tcPr>
          <w:p w14:paraId="38145571"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Completed</w:t>
            </w:r>
          </w:p>
        </w:tc>
        <w:tc>
          <w:tcPr>
            <w:tcW w:w="3969" w:type="dxa"/>
            <w:shd w:val="clear" w:color="000000" w:fill="F2F2F2"/>
            <w:hideMark/>
          </w:tcPr>
          <w:p w14:paraId="7F1E9116"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We have recently completed the pilot for the new talent management project and are now refining the talent resources, building a SharePoint site, and developing comms to share with UCL.  The programme will be launched in 2022.</w:t>
            </w:r>
          </w:p>
        </w:tc>
      </w:tr>
      <w:tr w:rsidR="00970819" w:rsidRPr="002466EA" w14:paraId="5FD615FC" w14:textId="77777777" w:rsidTr="008959B1">
        <w:trPr>
          <w:trHeight w:val="1135"/>
        </w:trPr>
        <w:tc>
          <w:tcPr>
            <w:tcW w:w="1844" w:type="dxa"/>
            <w:vMerge/>
            <w:vAlign w:val="center"/>
            <w:hideMark/>
          </w:tcPr>
          <w:p w14:paraId="68665B27"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vMerge/>
            <w:vAlign w:val="center"/>
            <w:hideMark/>
          </w:tcPr>
          <w:p w14:paraId="39C3D9CF" w14:textId="77777777" w:rsidR="00970819" w:rsidRPr="002466EA" w:rsidRDefault="00970819" w:rsidP="000E37E9">
            <w:pPr>
              <w:rPr>
                <w:rFonts w:ascii="Arial" w:eastAsia="Times New Roman" w:hAnsi="Arial" w:cs="Arial"/>
                <w:b/>
                <w:bCs/>
                <w:color w:val="000000"/>
                <w:sz w:val="18"/>
                <w:szCs w:val="18"/>
                <w:lang w:eastAsia="en-GB"/>
              </w:rPr>
            </w:pPr>
          </w:p>
        </w:tc>
        <w:tc>
          <w:tcPr>
            <w:tcW w:w="2357" w:type="dxa"/>
            <w:shd w:val="clear" w:color="000000" w:fill="F2F2F2"/>
            <w:hideMark/>
          </w:tcPr>
          <w:p w14:paraId="2987B098"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 xml:space="preserve">Implement new recruitment system to help transform recruitment at UCL. </w:t>
            </w:r>
          </w:p>
        </w:tc>
        <w:tc>
          <w:tcPr>
            <w:tcW w:w="3412" w:type="dxa"/>
            <w:shd w:val="clear" w:color="000000" w:fill="F2F2F2"/>
            <w:hideMark/>
          </w:tcPr>
          <w:p w14:paraId="558E7B41"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New recruitment system is implemented, providing better support for the recruitment of researchers, and allow us to capture more information employee life cycle at UCL. </w:t>
            </w:r>
          </w:p>
          <w:p w14:paraId="561B43C1" w14:textId="77777777" w:rsidR="00970819" w:rsidRPr="002466EA" w:rsidRDefault="00970819" w:rsidP="000E37E9">
            <w:pPr>
              <w:rPr>
                <w:rFonts w:ascii="Arial" w:eastAsia="Times New Roman" w:hAnsi="Arial" w:cs="Arial"/>
                <w:sz w:val="18"/>
                <w:szCs w:val="18"/>
                <w:lang w:eastAsia="en-GB"/>
              </w:rPr>
            </w:pPr>
          </w:p>
        </w:tc>
        <w:tc>
          <w:tcPr>
            <w:tcW w:w="1134" w:type="dxa"/>
            <w:shd w:val="clear" w:color="000000" w:fill="F2F2F2"/>
            <w:hideMark/>
          </w:tcPr>
          <w:p w14:paraId="6F032677"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HR Recruitment                                                                                                                                                                                                                                                                                                                                                                                     </w:t>
            </w:r>
          </w:p>
        </w:tc>
        <w:tc>
          <w:tcPr>
            <w:tcW w:w="1276" w:type="dxa"/>
            <w:shd w:val="clear" w:color="000000" w:fill="F2F2F2"/>
            <w:hideMark/>
          </w:tcPr>
          <w:p w14:paraId="66E79DE3"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Carried over in 2022-24 AP</w:t>
            </w:r>
          </w:p>
        </w:tc>
        <w:tc>
          <w:tcPr>
            <w:tcW w:w="3969" w:type="dxa"/>
            <w:shd w:val="clear" w:color="000000" w:fill="F2F2F2"/>
            <w:hideMark/>
          </w:tcPr>
          <w:p w14:paraId="5EA0F4A4" w14:textId="77777777" w:rsidR="00970819" w:rsidRPr="002466EA" w:rsidRDefault="00970819" w:rsidP="000E37E9">
            <w:pPr>
              <w:rPr>
                <w:rFonts w:ascii="Arial" w:eastAsia="Times New Roman" w:hAnsi="Arial" w:cs="Arial"/>
                <w:sz w:val="18"/>
                <w:szCs w:val="18"/>
                <w:lang w:eastAsia="en-GB"/>
              </w:rPr>
            </w:pPr>
          </w:p>
        </w:tc>
      </w:tr>
      <w:tr w:rsidR="00970819" w:rsidRPr="002466EA" w14:paraId="0A9B59D5" w14:textId="77777777" w:rsidTr="008959B1">
        <w:trPr>
          <w:trHeight w:val="1647"/>
        </w:trPr>
        <w:tc>
          <w:tcPr>
            <w:tcW w:w="1844" w:type="dxa"/>
            <w:vMerge/>
            <w:vAlign w:val="center"/>
            <w:hideMark/>
          </w:tcPr>
          <w:p w14:paraId="33165FA8"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vMerge/>
            <w:vAlign w:val="center"/>
            <w:hideMark/>
          </w:tcPr>
          <w:p w14:paraId="7C607436" w14:textId="77777777" w:rsidR="00970819" w:rsidRPr="002466EA" w:rsidRDefault="00970819" w:rsidP="000E37E9">
            <w:pPr>
              <w:rPr>
                <w:rFonts w:ascii="Arial" w:eastAsia="Times New Roman" w:hAnsi="Arial" w:cs="Arial"/>
                <w:b/>
                <w:bCs/>
                <w:color w:val="000000"/>
                <w:sz w:val="18"/>
                <w:szCs w:val="18"/>
                <w:lang w:eastAsia="en-GB"/>
              </w:rPr>
            </w:pPr>
          </w:p>
        </w:tc>
        <w:tc>
          <w:tcPr>
            <w:tcW w:w="2357" w:type="dxa"/>
            <w:shd w:val="clear" w:color="000000" w:fill="F2F2F2"/>
            <w:hideMark/>
          </w:tcPr>
          <w:p w14:paraId="1B574710"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Implement new recruitment system to measure talent retention and redeployment. </w:t>
            </w:r>
          </w:p>
        </w:tc>
        <w:tc>
          <w:tcPr>
            <w:tcW w:w="3412" w:type="dxa"/>
            <w:shd w:val="clear" w:color="000000" w:fill="F2F2F2"/>
            <w:hideMark/>
          </w:tcPr>
          <w:p w14:paraId="7E4DE5A2" w14:textId="14A6177A" w:rsidR="00970819"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New recruitment system will tag researchers and follow them through the employee life cycle, including redeployment process. </w:t>
            </w:r>
            <w:r w:rsidRPr="002466EA">
              <w:rPr>
                <w:rFonts w:ascii="Arial" w:eastAsia="Times New Roman" w:hAnsi="Arial" w:cs="Arial"/>
                <w:sz w:val="18"/>
                <w:szCs w:val="18"/>
                <w:lang w:eastAsia="en-GB"/>
              </w:rPr>
              <w:br/>
            </w:r>
            <w:r w:rsidRPr="002466EA">
              <w:rPr>
                <w:rFonts w:ascii="Arial" w:eastAsia="Times New Roman" w:hAnsi="Arial" w:cs="Arial"/>
                <w:sz w:val="18"/>
                <w:szCs w:val="18"/>
                <w:lang w:eastAsia="en-GB"/>
              </w:rPr>
              <w:br/>
              <w:t xml:space="preserve">Capture new data to assess how many researchers are engaging with redeployment at UCL. </w:t>
            </w:r>
          </w:p>
          <w:p w14:paraId="42DF5081" w14:textId="77777777" w:rsidR="008959B1" w:rsidRPr="002466EA" w:rsidRDefault="008959B1" w:rsidP="000E37E9">
            <w:pPr>
              <w:rPr>
                <w:rFonts w:ascii="Arial" w:eastAsia="Times New Roman" w:hAnsi="Arial" w:cs="Arial"/>
                <w:sz w:val="18"/>
                <w:szCs w:val="18"/>
                <w:lang w:eastAsia="en-GB"/>
              </w:rPr>
            </w:pPr>
          </w:p>
          <w:p w14:paraId="0D6F7A3B" w14:textId="77777777" w:rsidR="00970819" w:rsidRPr="002466EA" w:rsidRDefault="00970819" w:rsidP="000E37E9">
            <w:pPr>
              <w:rPr>
                <w:rFonts w:ascii="Arial" w:eastAsia="Times New Roman" w:hAnsi="Arial" w:cs="Arial"/>
                <w:sz w:val="18"/>
                <w:szCs w:val="18"/>
                <w:lang w:eastAsia="en-GB"/>
              </w:rPr>
            </w:pPr>
          </w:p>
        </w:tc>
        <w:tc>
          <w:tcPr>
            <w:tcW w:w="1134" w:type="dxa"/>
            <w:shd w:val="clear" w:color="000000" w:fill="F2F2F2"/>
            <w:hideMark/>
          </w:tcPr>
          <w:p w14:paraId="08B0DF03" w14:textId="77777777" w:rsidR="00970819" w:rsidRPr="002466EA" w:rsidRDefault="00970819" w:rsidP="000E37E9">
            <w:pPr>
              <w:spacing w:after="240"/>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OD </w:t>
            </w:r>
          </w:p>
        </w:tc>
        <w:tc>
          <w:tcPr>
            <w:tcW w:w="1276" w:type="dxa"/>
            <w:shd w:val="clear" w:color="000000" w:fill="F2F2F2"/>
            <w:hideMark/>
          </w:tcPr>
          <w:p w14:paraId="046824B3"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Carried over in 2022-24 AP</w:t>
            </w:r>
          </w:p>
        </w:tc>
        <w:tc>
          <w:tcPr>
            <w:tcW w:w="3969" w:type="dxa"/>
            <w:shd w:val="clear" w:color="000000" w:fill="F2F2F2"/>
            <w:hideMark/>
          </w:tcPr>
          <w:p w14:paraId="2A5499C1" w14:textId="77777777" w:rsidR="00970819" w:rsidRPr="002466EA" w:rsidRDefault="00970819" w:rsidP="000E37E9">
            <w:pPr>
              <w:rPr>
                <w:rFonts w:ascii="Arial" w:eastAsia="Times New Roman" w:hAnsi="Arial" w:cs="Arial"/>
                <w:sz w:val="18"/>
                <w:szCs w:val="18"/>
                <w:lang w:eastAsia="en-GB"/>
              </w:rPr>
            </w:pPr>
          </w:p>
        </w:tc>
      </w:tr>
      <w:tr w:rsidR="00970819" w:rsidRPr="002466EA" w14:paraId="6BDF60E8" w14:textId="77777777" w:rsidTr="008959B1">
        <w:trPr>
          <w:trHeight w:val="3392"/>
        </w:trPr>
        <w:tc>
          <w:tcPr>
            <w:tcW w:w="1844" w:type="dxa"/>
            <w:vMerge/>
            <w:vAlign w:val="center"/>
            <w:hideMark/>
          </w:tcPr>
          <w:p w14:paraId="04D1F642"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vMerge/>
            <w:vAlign w:val="center"/>
            <w:hideMark/>
          </w:tcPr>
          <w:p w14:paraId="05E0E619" w14:textId="77777777" w:rsidR="00970819" w:rsidRPr="002466EA" w:rsidRDefault="00970819" w:rsidP="000E37E9">
            <w:pPr>
              <w:rPr>
                <w:rFonts w:ascii="Arial" w:eastAsia="Times New Roman" w:hAnsi="Arial" w:cs="Arial"/>
                <w:b/>
                <w:bCs/>
                <w:color w:val="000000"/>
                <w:sz w:val="18"/>
                <w:szCs w:val="18"/>
                <w:lang w:eastAsia="en-GB"/>
              </w:rPr>
            </w:pPr>
          </w:p>
        </w:tc>
        <w:tc>
          <w:tcPr>
            <w:tcW w:w="2357" w:type="dxa"/>
            <w:vMerge w:val="restart"/>
            <w:shd w:val="clear" w:color="000000" w:fill="F2F2F2"/>
            <w:hideMark/>
          </w:tcPr>
          <w:p w14:paraId="1FE7EF54"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 xml:space="preserve">Design, implement and embed new connected and comprehensive Welcome to UCL. </w:t>
            </w:r>
          </w:p>
        </w:tc>
        <w:tc>
          <w:tcPr>
            <w:tcW w:w="3412" w:type="dxa"/>
            <w:shd w:val="clear" w:color="000000" w:fill="F2F2F2"/>
            <w:hideMark/>
          </w:tcPr>
          <w:p w14:paraId="1FD51D5E"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Phase 1 of this project, transforming onboarding checks and introducing a new Welcome event is already underway. </w:t>
            </w:r>
            <w:r w:rsidRPr="002466EA">
              <w:rPr>
                <w:rFonts w:ascii="Arial" w:eastAsia="Times New Roman" w:hAnsi="Arial" w:cs="Arial"/>
                <w:sz w:val="18"/>
                <w:szCs w:val="18"/>
                <w:lang w:eastAsia="en-GB"/>
              </w:rPr>
              <w:br/>
            </w:r>
            <w:r w:rsidRPr="002466EA">
              <w:rPr>
                <w:rFonts w:ascii="Arial" w:eastAsia="Times New Roman" w:hAnsi="Arial" w:cs="Arial"/>
                <w:sz w:val="18"/>
                <w:szCs w:val="18"/>
                <w:lang w:eastAsia="en-GB"/>
              </w:rPr>
              <w:br/>
              <w:t xml:space="preserve">100% of new starters at UCL to attend Welcome Event on the first day by January 2020. </w:t>
            </w:r>
            <w:r w:rsidRPr="002466EA">
              <w:rPr>
                <w:rFonts w:ascii="Arial" w:eastAsia="Times New Roman" w:hAnsi="Arial" w:cs="Arial"/>
                <w:sz w:val="18"/>
                <w:szCs w:val="18"/>
                <w:lang w:eastAsia="en-GB"/>
              </w:rPr>
              <w:br/>
            </w:r>
            <w:r w:rsidRPr="002466EA">
              <w:rPr>
                <w:rFonts w:ascii="Arial" w:eastAsia="Times New Roman" w:hAnsi="Arial" w:cs="Arial"/>
                <w:sz w:val="18"/>
                <w:szCs w:val="18"/>
                <w:lang w:eastAsia="en-GB"/>
              </w:rPr>
              <w:br/>
              <w:t>Phase 2 of this project to complete by March 2020. Phase 2 includes a welcome to your department on your second day, with requisite systems access already in place; buddying system and a welcome to your community of practice or research domain.</w:t>
            </w:r>
          </w:p>
        </w:tc>
        <w:tc>
          <w:tcPr>
            <w:tcW w:w="1134" w:type="dxa"/>
            <w:shd w:val="clear" w:color="000000" w:fill="F2F2F2"/>
            <w:hideMark/>
          </w:tcPr>
          <w:p w14:paraId="4DD46D4C"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OD </w:t>
            </w:r>
          </w:p>
        </w:tc>
        <w:tc>
          <w:tcPr>
            <w:tcW w:w="1276" w:type="dxa"/>
            <w:shd w:val="clear" w:color="000000" w:fill="F2F2F2"/>
            <w:hideMark/>
          </w:tcPr>
          <w:p w14:paraId="6971E7C1"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Partial completion, additional targets included in 2022-24 AP</w:t>
            </w:r>
          </w:p>
        </w:tc>
        <w:tc>
          <w:tcPr>
            <w:tcW w:w="3969" w:type="dxa"/>
            <w:shd w:val="clear" w:color="000000" w:fill="F2F2F2"/>
            <w:hideMark/>
          </w:tcPr>
          <w:p w14:paraId="4B7492CB" w14:textId="77777777" w:rsidR="00382926"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New online induction suite: Belong at UCL launched in 2020</w:t>
            </w:r>
            <w:r w:rsidR="00382926">
              <w:rPr>
                <w:rFonts w:ascii="Arial" w:eastAsia="Times New Roman" w:hAnsi="Arial" w:cs="Arial"/>
                <w:color w:val="000000"/>
                <w:sz w:val="18"/>
                <w:szCs w:val="18"/>
                <w:lang w:eastAsia="en-GB"/>
              </w:rPr>
              <w:t>, replacing live Welcome events, which were suspended due to pandemic.</w:t>
            </w:r>
          </w:p>
          <w:p w14:paraId="4144B7F5" w14:textId="79786AC3" w:rsidR="00970819" w:rsidRDefault="00382926"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New </w:t>
            </w:r>
            <w:r w:rsidR="00970819" w:rsidRPr="002466EA">
              <w:rPr>
                <w:rFonts w:ascii="Arial" w:eastAsia="Times New Roman" w:hAnsi="Arial" w:cs="Arial"/>
                <w:color w:val="000000"/>
                <w:sz w:val="18"/>
                <w:szCs w:val="18"/>
                <w:lang w:eastAsia="en-GB"/>
              </w:rPr>
              <w:t>Belong at UCL: Researcher induction e-learning will launch 22/23 academic year</w:t>
            </w:r>
            <w:r>
              <w:rPr>
                <w:rFonts w:ascii="Arial" w:eastAsia="Times New Roman" w:hAnsi="Arial" w:cs="Arial"/>
                <w:color w:val="000000"/>
                <w:sz w:val="18"/>
                <w:szCs w:val="18"/>
                <w:lang w:eastAsia="en-GB"/>
              </w:rPr>
              <w:t xml:space="preserve"> (see AP 22-24)</w:t>
            </w:r>
            <w:r w:rsidR="00970819" w:rsidRPr="002466EA">
              <w:rPr>
                <w:rFonts w:ascii="Arial" w:eastAsia="Times New Roman" w:hAnsi="Arial" w:cs="Arial"/>
                <w:color w:val="000000"/>
                <w:sz w:val="18"/>
                <w:szCs w:val="18"/>
                <w:lang w:eastAsia="en-GB"/>
              </w:rPr>
              <w:t xml:space="preserve">. </w:t>
            </w:r>
          </w:p>
          <w:p w14:paraId="51D4CD93" w14:textId="30A4F6E2" w:rsidR="00382926" w:rsidRPr="002466EA" w:rsidRDefault="00382926" w:rsidP="000E37E9">
            <w:pPr>
              <w:rPr>
                <w:rFonts w:ascii="Arial" w:eastAsia="Times New Roman" w:hAnsi="Arial" w:cs="Arial"/>
                <w:color w:val="000000"/>
                <w:sz w:val="18"/>
                <w:szCs w:val="18"/>
                <w:lang w:eastAsia="en-GB"/>
              </w:rPr>
            </w:pPr>
          </w:p>
        </w:tc>
      </w:tr>
      <w:tr w:rsidR="00970819" w:rsidRPr="002466EA" w14:paraId="5A7114A7" w14:textId="77777777" w:rsidTr="008959B1">
        <w:trPr>
          <w:trHeight w:val="1413"/>
        </w:trPr>
        <w:tc>
          <w:tcPr>
            <w:tcW w:w="1844" w:type="dxa"/>
            <w:vMerge/>
            <w:vAlign w:val="center"/>
            <w:hideMark/>
          </w:tcPr>
          <w:p w14:paraId="7395A2AF"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vMerge/>
            <w:vAlign w:val="center"/>
            <w:hideMark/>
          </w:tcPr>
          <w:p w14:paraId="4E8EFDE6" w14:textId="77777777" w:rsidR="00970819" w:rsidRPr="002466EA" w:rsidRDefault="00970819" w:rsidP="000E37E9">
            <w:pPr>
              <w:rPr>
                <w:rFonts w:ascii="Arial" w:eastAsia="Times New Roman" w:hAnsi="Arial" w:cs="Arial"/>
                <w:b/>
                <w:bCs/>
                <w:color w:val="000000"/>
                <w:sz w:val="18"/>
                <w:szCs w:val="18"/>
                <w:lang w:eastAsia="en-GB"/>
              </w:rPr>
            </w:pPr>
          </w:p>
        </w:tc>
        <w:tc>
          <w:tcPr>
            <w:tcW w:w="2357" w:type="dxa"/>
            <w:vMerge/>
            <w:vAlign w:val="center"/>
            <w:hideMark/>
          </w:tcPr>
          <w:p w14:paraId="5EAF30CD" w14:textId="77777777" w:rsidR="00970819" w:rsidRPr="002466EA" w:rsidRDefault="00970819" w:rsidP="000E37E9">
            <w:pPr>
              <w:rPr>
                <w:rFonts w:ascii="Arial" w:eastAsia="Times New Roman" w:hAnsi="Arial" w:cs="Arial"/>
                <w:color w:val="000000"/>
                <w:sz w:val="18"/>
                <w:szCs w:val="18"/>
                <w:lang w:eastAsia="en-GB"/>
              </w:rPr>
            </w:pPr>
          </w:p>
        </w:tc>
        <w:tc>
          <w:tcPr>
            <w:tcW w:w="3412" w:type="dxa"/>
            <w:shd w:val="clear" w:color="000000" w:fill="F2F2F2"/>
            <w:hideMark/>
          </w:tcPr>
          <w:p w14:paraId="01F016EC"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All researchers - though especially new starters - are offered termly information &amp; networking event highlighting the support mechanisms and services available to them as researchers for an improved researcher experience, including careers support.</w:t>
            </w:r>
          </w:p>
        </w:tc>
        <w:tc>
          <w:tcPr>
            <w:tcW w:w="1134" w:type="dxa"/>
            <w:shd w:val="clear" w:color="000000" w:fill="F2F2F2"/>
            <w:hideMark/>
          </w:tcPr>
          <w:p w14:paraId="72AC052B"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OD</w:t>
            </w:r>
          </w:p>
        </w:tc>
        <w:tc>
          <w:tcPr>
            <w:tcW w:w="1276" w:type="dxa"/>
            <w:shd w:val="clear" w:color="000000" w:fill="F2F2F2"/>
            <w:hideMark/>
          </w:tcPr>
          <w:p w14:paraId="4C4F2D9F"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Carried over, new targets included in 2022-24 AP</w:t>
            </w:r>
          </w:p>
        </w:tc>
        <w:tc>
          <w:tcPr>
            <w:tcW w:w="3969" w:type="dxa"/>
            <w:shd w:val="clear" w:color="000000" w:fill="F2F2F2"/>
            <w:hideMark/>
          </w:tcPr>
          <w:p w14:paraId="14960601"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w:t>
            </w:r>
          </w:p>
        </w:tc>
      </w:tr>
      <w:tr w:rsidR="00970819" w:rsidRPr="002466EA" w14:paraId="3CA90166" w14:textId="77777777" w:rsidTr="008959B1">
        <w:trPr>
          <w:trHeight w:val="699"/>
        </w:trPr>
        <w:tc>
          <w:tcPr>
            <w:tcW w:w="1844" w:type="dxa"/>
            <w:vMerge/>
            <w:vAlign w:val="center"/>
            <w:hideMark/>
          </w:tcPr>
          <w:p w14:paraId="3F321EAA"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vMerge w:val="restart"/>
            <w:shd w:val="clear" w:color="000000" w:fill="F6BE00"/>
            <w:hideMark/>
          </w:tcPr>
          <w:p w14:paraId="00CF2AFD" w14:textId="77777777" w:rsidR="00970819" w:rsidRPr="002466EA" w:rsidRDefault="00970819" w:rsidP="000E37E9">
            <w:pPr>
              <w:rPr>
                <w:rFonts w:ascii="Arial" w:eastAsia="Times New Roman" w:hAnsi="Arial" w:cs="Arial"/>
                <w:b/>
                <w:bCs/>
                <w:color w:val="000000"/>
                <w:sz w:val="18"/>
                <w:szCs w:val="18"/>
                <w:lang w:eastAsia="en-GB"/>
              </w:rPr>
            </w:pPr>
            <w:r w:rsidRPr="002466EA">
              <w:rPr>
                <w:rFonts w:ascii="Arial" w:eastAsia="Times New Roman" w:hAnsi="Arial" w:cs="Arial"/>
                <w:b/>
                <w:bCs/>
                <w:color w:val="000000"/>
                <w:sz w:val="18"/>
                <w:szCs w:val="18"/>
                <w:lang w:eastAsia="en-GB"/>
              </w:rPr>
              <w:t>Creating an environment where all our people feel able to grow and progress to be accountable and responsible for the benefit of UCL and themselves.</w:t>
            </w:r>
          </w:p>
        </w:tc>
        <w:tc>
          <w:tcPr>
            <w:tcW w:w="2357" w:type="dxa"/>
            <w:shd w:val="clear" w:color="000000" w:fill="F2F2F2"/>
            <w:hideMark/>
          </w:tcPr>
          <w:p w14:paraId="26B0ED79"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Embed new Academic Careers Framework across HR activities</w:t>
            </w:r>
          </w:p>
        </w:tc>
        <w:tc>
          <w:tcPr>
            <w:tcW w:w="3412" w:type="dxa"/>
            <w:shd w:val="clear" w:color="000000" w:fill="F2F2F2"/>
            <w:hideMark/>
          </w:tcPr>
          <w:p w14:paraId="6C931252"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Continue to increase the dissemination of Academic Careers Framework so that it is widely used and understood. </w:t>
            </w:r>
            <w:r w:rsidRPr="002466EA">
              <w:rPr>
                <w:rFonts w:ascii="Arial" w:eastAsia="Times New Roman" w:hAnsi="Arial" w:cs="Arial"/>
                <w:sz w:val="18"/>
                <w:szCs w:val="18"/>
                <w:lang w:eastAsia="en-GB"/>
              </w:rPr>
              <w:br/>
            </w:r>
            <w:r w:rsidRPr="002466EA">
              <w:rPr>
                <w:rFonts w:ascii="Arial" w:eastAsia="Times New Roman" w:hAnsi="Arial" w:cs="Arial"/>
                <w:sz w:val="18"/>
                <w:szCs w:val="18"/>
                <w:lang w:eastAsia="en-GB"/>
              </w:rPr>
              <w:br/>
              <w:t xml:space="preserve">Pilot new Academic Promotions Workshops, open to all but focused on reducing the homogeneity of the researcher profile by encouraging equity-seeking groups to participate. Assess the impact of these workshops on the number of staff who then achieve promotion and then consider broadening the beneficial impact UCL-wide. </w:t>
            </w:r>
          </w:p>
          <w:p w14:paraId="6132D78C" w14:textId="77777777" w:rsidR="00970819" w:rsidRPr="002466EA" w:rsidRDefault="00970819" w:rsidP="000E37E9">
            <w:pPr>
              <w:rPr>
                <w:rFonts w:ascii="Arial" w:eastAsia="Times New Roman" w:hAnsi="Arial" w:cs="Arial"/>
                <w:sz w:val="18"/>
                <w:szCs w:val="18"/>
                <w:lang w:eastAsia="en-GB"/>
              </w:rPr>
            </w:pPr>
          </w:p>
        </w:tc>
        <w:tc>
          <w:tcPr>
            <w:tcW w:w="1134" w:type="dxa"/>
            <w:shd w:val="clear" w:color="000000" w:fill="F2F2F2"/>
            <w:hideMark/>
          </w:tcPr>
          <w:p w14:paraId="768412E9"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HR Pensions and Rewards</w:t>
            </w:r>
          </w:p>
        </w:tc>
        <w:tc>
          <w:tcPr>
            <w:tcW w:w="1276" w:type="dxa"/>
            <w:shd w:val="clear" w:color="000000" w:fill="F2F2F2"/>
            <w:hideMark/>
          </w:tcPr>
          <w:p w14:paraId="43D67AEB"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Completed</w:t>
            </w:r>
          </w:p>
        </w:tc>
        <w:tc>
          <w:tcPr>
            <w:tcW w:w="3969" w:type="dxa"/>
            <w:shd w:val="clear" w:color="000000" w:fill="F2F2F2"/>
            <w:hideMark/>
          </w:tcPr>
          <w:p w14:paraId="16365008"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Academic Careers Framework included in the induction and leadership programmes. HR Pensions and Rewards is supporting faculty promotion decisions.</w:t>
            </w:r>
          </w:p>
        </w:tc>
      </w:tr>
      <w:tr w:rsidR="00970819" w:rsidRPr="002466EA" w14:paraId="279A5C57" w14:textId="77777777" w:rsidTr="008959B1">
        <w:trPr>
          <w:trHeight w:val="945"/>
        </w:trPr>
        <w:tc>
          <w:tcPr>
            <w:tcW w:w="1844" w:type="dxa"/>
            <w:vMerge/>
            <w:vAlign w:val="center"/>
            <w:hideMark/>
          </w:tcPr>
          <w:p w14:paraId="3AA76C43"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vMerge/>
            <w:vAlign w:val="center"/>
            <w:hideMark/>
          </w:tcPr>
          <w:p w14:paraId="43F127BF" w14:textId="77777777" w:rsidR="00970819" w:rsidRPr="002466EA" w:rsidRDefault="00970819" w:rsidP="000E37E9">
            <w:pPr>
              <w:rPr>
                <w:rFonts w:ascii="Arial" w:eastAsia="Times New Roman" w:hAnsi="Arial" w:cs="Arial"/>
                <w:b/>
                <w:bCs/>
                <w:color w:val="000000"/>
                <w:sz w:val="18"/>
                <w:szCs w:val="18"/>
                <w:lang w:eastAsia="en-GB"/>
              </w:rPr>
            </w:pPr>
          </w:p>
        </w:tc>
        <w:tc>
          <w:tcPr>
            <w:tcW w:w="2357" w:type="dxa"/>
            <w:shd w:val="clear" w:color="000000" w:fill="F2F2F2"/>
            <w:hideMark/>
          </w:tcPr>
          <w:p w14:paraId="158EA953"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Introduce a new online staff appraisal and development system for all UCL staff including 360 </w:t>
            </w:r>
            <w:proofErr w:type="gramStart"/>
            <w:r w:rsidRPr="002466EA">
              <w:rPr>
                <w:rFonts w:ascii="Arial" w:eastAsia="Times New Roman" w:hAnsi="Arial" w:cs="Arial"/>
                <w:sz w:val="18"/>
                <w:szCs w:val="18"/>
                <w:lang w:eastAsia="en-GB"/>
              </w:rPr>
              <w:t>feedback</w:t>
            </w:r>
            <w:proofErr w:type="gramEnd"/>
          </w:p>
        </w:tc>
        <w:tc>
          <w:tcPr>
            <w:tcW w:w="3412" w:type="dxa"/>
            <w:shd w:val="clear" w:color="000000" w:fill="F2F2F2"/>
            <w:hideMark/>
          </w:tcPr>
          <w:p w14:paraId="1D028DF3" w14:textId="77777777" w:rsidR="00970819" w:rsidRPr="002466EA" w:rsidRDefault="00970819" w:rsidP="000E37E9">
            <w:pPr>
              <w:spacing w:after="240"/>
              <w:rPr>
                <w:rFonts w:ascii="Arial" w:eastAsia="Times New Roman" w:hAnsi="Arial" w:cs="Arial"/>
                <w:color w:val="FF0000"/>
                <w:sz w:val="18"/>
                <w:szCs w:val="18"/>
                <w:lang w:eastAsia="en-GB"/>
              </w:rPr>
            </w:pPr>
            <w:r w:rsidRPr="002466EA">
              <w:rPr>
                <w:rFonts w:ascii="Arial" w:eastAsia="Times New Roman" w:hAnsi="Arial" w:cs="Arial"/>
                <w:sz w:val="18"/>
                <w:szCs w:val="18"/>
                <w:lang w:eastAsia="en-GB"/>
              </w:rPr>
              <w:t xml:space="preserve">Implementation of Phase 1 is piloted between January and March 2020 in order that system can be tweaked and improved before full roll out in 2021. </w:t>
            </w:r>
          </w:p>
        </w:tc>
        <w:tc>
          <w:tcPr>
            <w:tcW w:w="1134" w:type="dxa"/>
            <w:shd w:val="clear" w:color="000000" w:fill="F2F2F2"/>
            <w:hideMark/>
          </w:tcPr>
          <w:p w14:paraId="060C70FB"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OD </w:t>
            </w:r>
          </w:p>
        </w:tc>
        <w:tc>
          <w:tcPr>
            <w:tcW w:w="1276" w:type="dxa"/>
            <w:shd w:val="clear" w:color="000000" w:fill="F2F2F2"/>
            <w:hideMark/>
          </w:tcPr>
          <w:p w14:paraId="26570E86"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Partial completion, new targets included in 22-24 AP</w:t>
            </w:r>
          </w:p>
        </w:tc>
        <w:tc>
          <w:tcPr>
            <w:tcW w:w="3969" w:type="dxa"/>
            <w:shd w:val="clear" w:color="000000" w:fill="F2F2F2"/>
            <w:hideMark/>
          </w:tcPr>
          <w:p w14:paraId="74D4ED23"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New 360 feedback and system refreshed. Appraisal resource </w:t>
            </w:r>
            <w:proofErr w:type="gramStart"/>
            <w:r w:rsidRPr="002466EA">
              <w:rPr>
                <w:rFonts w:ascii="Arial" w:eastAsia="Times New Roman" w:hAnsi="Arial" w:cs="Arial"/>
                <w:sz w:val="18"/>
                <w:szCs w:val="18"/>
                <w:lang w:eastAsia="en-GB"/>
              </w:rPr>
              <w:t>updated,</w:t>
            </w:r>
            <w:proofErr w:type="gramEnd"/>
            <w:r w:rsidRPr="002466EA">
              <w:rPr>
                <w:rFonts w:ascii="Arial" w:eastAsia="Times New Roman" w:hAnsi="Arial" w:cs="Arial"/>
                <w:sz w:val="18"/>
                <w:szCs w:val="18"/>
                <w:lang w:eastAsia="en-GB"/>
              </w:rPr>
              <w:t xml:space="preserve"> system update included in 22-24 AP.   </w:t>
            </w:r>
          </w:p>
        </w:tc>
      </w:tr>
      <w:tr w:rsidR="00970819" w:rsidRPr="002466EA" w14:paraId="50267E81" w14:textId="77777777" w:rsidTr="008959B1">
        <w:trPr>
          <w:trHeight w:val="1904"/>
        </w:trPr>
        <w:tc>
          <w:tcPr>
            <w:tcW w:w="1844" w:type="dxa"/>
            <w:vMerge w:val="restart"/>
            <w:shd w:val="clear" w:color="000000" w:fill="002855"/>
            <w:hideMark/>
          </w:tcPr>
          <w:p w14:paraId="67D53C8F" w14:textId="77777777" w:rsidR="00970819" w:rsidRPr="002466EA" w:rsidRDefault="00970819" w:rsidP="000E37E9">
            <w:pPr>
              <w:rPr>
                <w:rFonts w:ascii="Arial" w:eastAsia="Times New Roman" w:hAnsi="Arial" w:cs="Arial"/>
                <w:b/>
                <w:bCs/>
                <w:color w:val="FFFFFF"/>
                <w:sz w:val="18"/>
                <w:szCs w:val="18"/>
                <w:lang w:eastAsia="en-GB"/>
              </w:rPr>
            </w:pPr>
            <w:r w:rsidRPr="002466EA">
              <w:rPr>
                <w:rFonts w:ascii="Arial" w:eastAsia="Times New Roman" w:hAnsi="Arial" w:cs="Arial"/>
                <w:b/>
                <w:bCs/>
                <w:color w:val="FFFFFF"/>
                <w:sz w:val="18"/>
                <w:szCs w:val="18"/>
                <w:lang w:eastAsia="en-GB"/>
              </w:rPr>
              <w:lastRenderedPageBreak/>
              <w:t xml:space="preserve">Researchers are recognised and valued by their employing organisation as an essential part of their organisation’s human resources and a key component of their overall strategy to develop and deliver world-class research - Concordat Principle 2 </w:t>
            </w:r>
          </w:p>
        </w:tc>
        <w:tc>
          <w:tcPr>
            <w:tcW w:w="1460" w:type="dxa"/>
            <w:vMerge w:val="restart"/>
            <w:shd w:val="clear" w:color="000000" w:fill="F6BE00"/>
            <w:hideMark/>
          </w:tcPr>
          <w:p w14:paraId="7A813AAC" w14:textId="77777777" w:rsidR="00970819" w:rsidRPr="002466EA" w:rsidRDefault="00970819" w:rsidP="000E37E9">
            <w:pPr>
              <w:rPr>
                <w:rFonts w:ascii="Arial" w:eastAsia="Times New Roman" w:hAnsi="Arial" w:cs="Arial"/>
                <w:b/>
                <w:bCs/>
                <w:color w:val="000000"/>
                <w:sz w:val="18"/>
                <w:szCs w:val="18"/>
                <w:lang w:eastAsia="en-GB"/>
              </w:rPr>
            </w:pPr>
            <w:r w:rsidRPr="002466EA">
              <w:rPr>
                <w:rFonts w:ascii="Arial" w:eastAsia="Times New Roman" w:hAnsi="Arial" w:cs="Arial"/>
                <w:b/>
                <w:bCs/>
                <w:color w:val="000000"/>
                <w:sz w:val="18"/>
                <w:szCs w:val="18"/>
                <w:lang w:eastAsia="en-GB"/>
              </w:rPr>
              <w:t xml:space="preserve">Enable and celebrate our researchers. </w:t>
            </w:r>
          </w:p>
        </w:tc>
        <w:tc>
          <w:tcPr>
            <w:tcW w:w="2357" w:type="dxa"/>
            <w:shd w:val="clear" w:color="000000" w:fill="F2F2F2"/>
            <w:hideMark/>
          </w:tcPr>
          <w:p w14:paraId="4AB4DAEF"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Continue to grow Postdoc Appreciation Week with a greater focus on co-creation and building relationships with researchers.</w:t>
            </w:r>
          </w:p>
        </w:tc>
        <w:tc>
          <w:tcPr>
            <w:tcW w:w="3412" w:type="dxa"/>
            <w:shd w:val="clear" w:color="000000" w:fill="F2F2F2"/>
            <w:hideMark/>
          </w:tcPr>
          <w:p w14:paraId="173FE5CF" w14:textId="310DCD09"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Engagement: we achieve increasing engagements with Postdoc Appreciation Week (20</w:t>
            </w:r>
            <w:r w:rsidR="008959B1">
              <w:rPr>
                <w:rFonts w:ascii="Arial" w:eastAsia="Times New Roman" w:hAnsi="Arial" w:cs="Arial"/>
                <w:sz w:val="18"/>
                <w:szCs w:val="18"/>
                <w:lang w:eastAsia="en-GB"/>
              </w:rPr>
              <w:t>19</w:t>
            </w:r>
            <w:r w:rsidRPr="002466EA">
              <w:rPr>
                <w:rFonts w:ascii="Arial" w:eastAsia="Times New Roman" w:hAnsi="Arial" w:cs="Arial"/>
                <w:sz w:val="18"/>
                <w:szCs w:val="18"/>
                <w:lang w:eastAsia="en-GB"/>
              </w:rPr>
              <w:t>) and the Festival of Early-Stage Researcher (202</w:t>
            </w:r>
            <w:r w:rsidR="008959B1">
              <w:rPr>
                <w:rFonts w:ascii="Arial" w:eastAsia="Times New Roman" w:hAnsi="Arial" w:cs="Arial"/>
                <w:sz w:val="18"/>
                <w:szCs w:val="18"/>
                <w:lang w:eastAsia="en-GB"/>
              </w:rPr>
              <w:t>1</w:t>
            </w:r>
            <w:r w:rsidRPr="002466EA">
              <w:rPr>
                <w:rFonts w:ascii="Arial" w:eastAsia="Times New Roman" w:hAnsi="Arial" w:cs="Arial"/>
                <w:sz w:val="18"/>
                <w:szCs w:val="18"/>
                <w:lang w:eastAsia="en-GB"/>
              </w:rPr>
              <w:t xml:space="preserve">) </w:t>
            </w:r>
            <w:r w:rsidRPr="002466EA">
              <w:rPr>
                <w:rFonts w:ascii="Arial" w:eastAsia="Times New Roman" w:hAnsi="Arial" w:cs="Arial"/>
                <w:sz w:val="18"/>
                <w:szCs w:val="18"/>
                <w:lang w:eastAsia="en-GB"/>
              </w:rPr>
              <w:br/>
            </w:r>
            <w:r w:rsidRPr="002466EA">
              <w:rPr>
                <w:rFonts w:ascii="Arial" w:eastAsia="Times New Roman" w:hAnsi="Arial" w:cs="Arial"/>
                <w:sz w:val="18"/>
                <w:szCs w:val="18"/>
                <w:lang w:eastAsia="en-GB"/>
              </w:rPr>
              <w:br/>
              <w:t xml:space="preserve">Co-creation: we achieve 25% researcher-led events within the week, with specific events focused on equity-seeking groups. </w:t>
            </w:r>
            <w:r w:rsidRPr="002466EA">
              <w:rPr>
                <w:rFonts w:ascii="Arial" w:eastAsia="Times New Roman" w:hAnsi="Arial" w:cs="Arial"/>
                <w:sz w:val="18"/>
                <w:szCs w:val="18"/>
                <w:lang w:eastAsia="en-GB"/>
              </w:rPr>
              <w:br/>
              <w:t xml:space="preserve">  </w:t>
            </w:r>
          </w:p>
        </w:tc>
        <w:tc>
          <w:tcPr>
            <w:tcW w:w="1134" w:type="dxa"/>
            <w:shd w:val="clear" w:color="000000" w:fill="F2F2F2"/>
            <w:hideMark/>
          </w:tcPr>
          <w:p w14:paraId="095FE7A8"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OD </w:t>
            </w:r>
          </w:p>
        </w:tc>
        <w:tc>
          <w:tcPr>
            <w:tcW w:w="1276" w:type="dxa"/>
            <w:shd w:val="clear" w:color="000000" w:fill="F2F2F2"/>
            <w:hideMark/>
          </w:tcPr>
          <w:p w14:paraId="3F46C703"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Completed</w:t>
            </w:r>
          </w:p>
        </w:tc>
        <w:tc>
          <w:tcPr>
            <w:tcW w:w="3969" w:type="dxa"/>
            <w:shd w:val="clear" w:color="000000" w:fill="F2F2F2"/>
            <w:hideMark/>
          </w:tcPr>
          <w:p w14:paraId="194D93A9" w14:textId="09EAAF91"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Target engagement achieved (over 700 unique registrations</w:t>
            </w:r>
            <w:r w:rsidR="00382926">
              <w:rPr>
                <w:rFonts w:ascii="Arial" w:eastAsia="Times New Roman" w:hAnsi="Arial" w:cs="Arial"/>
                <w:sz w:val="18"/>
                <w:szCs w:val="18"/>
                <w:lang w:eastAsia="en-GB"/>
              </w:rPr>
              <w:t xml:space="preserve">, </w:t>
            </w:r>
            <w:r w:rsidR="008959B1">
              <w:rPr>
                <w:rFonts w:ascii="Arial" w:eastAsia="Times New Roman" w:hAnsi="Arial" w:cs="Arial"/>
                <w:sz w:val="18"/>
                <w:szCs w:val="18"/>
                <w:lang w:eastAsia="en-GB"/>
              </w:rPr>
              <w:t>increase from 300 unique registrations in 2019</w:t>
            </w:r>
            <w:r w:rsidRPr="002466EA">
              <w:rPr>
                <w:rFonts w:ascii="Arial" w:eastAsia="Times New Roman" w:hAnsi="Arial" w:cs="Arial"/>
                <w:sz w:val="18"/>
                <w:szCs w:val="18"/>
                <w:lang w:eastAsia="en-GB"/>
              </w:rPr>
              <w:t>), co-creation partly achieved (10%).</w:t>
            </w:r>
          </w:p>
        </w:tc>
      </w:tr>
      <w:tr w:rsidR="00970819" w:rsidRPr="002466EA" w14:paraId="5F668FB1" w14:textId="77777777" w:rsidTr="008959B1">
        <w:trPr>
          <w:trHeight w:val="1690"/>
        </w:trPr>
        <w:tc>
          <w:tcPr>
            <w:tcW w:w="1844" w:type="dxa"/>
            <w:vMerge/>
            <w:vAlign w:val="center"/>
            <w:hideMark/>
          </w:tcPr>
          <w:p w14:paraId="6FCFF8F8"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vMerge/>
            <w:vAlign w:val="center"/>
            <w:hideMark/>
          </w:tcPr>
          <w:p w14:paraId="188F47B2" w14:textId="77777777" w:rsidR="00970819" w:rsidRPr="002466EA" w:rsidRDefault="00970819" w:rsidP="000E37E9">
            <w:pPr>
              <w:rPr>
                <w:rFonts w:ascii="Arial" w:eastAsia="Times New Roman" w:hAnsi="Arial" w:cs="Arial"/>
                <w:b/>
                <w:bCs/>
                <w:color w:val="000000"/>
                <w:sz w:val="18"/>
                <w:szCs w:val="18"/>
                <w:lang w:eastAsia="en-GB"/>
              </w:rPr>
            </w:pPr>
          </w:p>
        </w:tc>
        <w:tc>
          <w:tcPr>
            <w:tcW w:w="2357" w:type="dxa"/>
            <w:shd w:val="clear" w:color="000000" w:fill="F2F2F2"/>
            <w:hideMark/>
          </w:tcPr>
          <w:p w14:paraId="4BBE260B" w14:textId="77777777" w:rsidR="00970819" w:rsidRPr="002466EA" w:rsidRDefault="00970819" w:rsidP="000E37E9">
            <w:pPr>
              <w:rPr>
                <w:rFonts w:ascii="Arial" w:eastAsia="Times New Roman" w:hAnsi="Arial" w:cs="Arial"/>
                <w:color w:val="000000" w:themeColor="text1"/>
                <w:sz w:val="18"/>
                <w:szCs w:val="18"/>
                <w:lang w:eastAsia="en-GB"/>
              </w:rPr>
            </w:pPr>
            <w:r w:rsidRPr="002466EA">
              <w:rPr>
                <w:rFonts w:ascii="Arial" w:eastAsia="Times New Roman" w:hAnsi="Arial" w:cs="Arial"/>
                <w:color w:val="000000" w:themeColor="text1"/>
                <w:sz w:val="18"/>
                <w:szCs w:val="18"/>
                <w:lang w:eastAsia="en-GB"/>
              </w:rPr>
              <w:t xml:space="preserve">Launch a new Researcher Experience Strategy in line with UCL's 2019 Research Strategy. </w:t>
            </w:r>
          </w:p>
        </w:tc>
        <w:tc>
          <w:tcPr>
            <w:tcW w:w="3412" w:type="dxa"/>
            <w:shd w:val="clear" w:color="000000" w:fill="F2F2F2"/>
            <w:hideMark/>
          </w:tcPr>
          <w:p w14:paraId="58C65E8B" w14:textId="77777777" w:rsidR="00970819" w:rsidRPr="002466EA" w:rsidRDefault="00970819" w:rsidP="000E37E9">
            <w:pPr>
              <w:rPr>
                <w:rFonts w:ascii="Arial" w:eastAsia="Times New Roman" w:hAnsi="Arial" w:cs="Arial"/>
                <w:color w:val="000000" w:themeColor="text1"/>
                <w:sz w:val="18"/>
                <w:szCs w:val="18"/>
                <w:lang w:eastAsia="en-GB"/>
              </w:rPr>
            </w:pPr>
            <w:r w:rsidRPr="002466EA">
              <w:rPr>
                <w:rFonts w:ascii="Arial" w:eastAsia="Times New Roman" w:hAnsi="Arial" w:cs="Arial"/>
                <w:color w:val="000000" w:themeColor="text1"/>
                <w:sz w:val="18"/>
                <w:szCs w:val="18"/>
                <w:lang w:eastAsia="en-GB"/>
              </w:rPr>
              <w:t xml:space="preserve">The RX Strategy is widely consulted on across all Faculties, agreed by Council and published online. Wholesale agreement on new more focused emphasis on researcher experience in support of enabling, celebrating, and developing researchers is achieved.  </w:t>
            </w:r>
          </w:p>
        </w:tc>
        <w:tc>
          <w:tcPr>
            <w:tcW w:w="1134" w:type="dxa"/>
            <w:shd w:val="clear" w:color="000000" w:fill="F2F2F2"/>
            <w:hideMark/>
          </w:tcPr>
          <w:p w14:paraId="4D25DF93" w14:textId="77777777" w:rsidR="00970819" w:rsidRPr="002466EA" w:rsidRDefault="00970819" w:rsidP="000E37E9">
            <w:pPr>
              <w:rPr>
                <w:rFonts w:ascii="Arial" w:eastAsia="Times New Roman" w:hAnsi="Arial" w:cs="Arial"/>
                <w:color w:val="000000" w:themeColor="text1"/>
                <w:sz w:val="18"/>
                <w:szCs w:val="18"/>
                <w:lang w:eastAsia="en-GB"/>
              </w:rPr>
            </w:pPr>
            <w:r w:rsidRPr="002466EA">
              <w:rPr>
                <w:rFonts w:ascii="Arial" w:eastAsia="Times New Roman" w:hAnsi="Arial" w:cs="Arial"/>
                <w:color w:val="000000" w:themeColor="text1"/>
                <w:sz w:val="18"/>
                <w:szCs w:val="18"/>
                <w:lang w:eastAsia="en-GB"/>
              </w:rPr>
              <w:t xml:space="preserve">OD </w:t>
            </w:r>
          </w:p>
        </w:tc>
        <w:tc>
          <w:tcPr>
            <w:tcW w:w="1276" w:type="dxa"/>
            <w:shd w:val="clear" w:color="000000" w:fill="F2F2F2"/>
            <w:hideMark/>
          </w:tcPr>
          <w:p w14:paraId="40FEE584" w14:textId="77777777" w:rsidR="00970819" w:rsidRPr="002466EA" w:rsidRDefault="00970819" w:rsidP="000E37E9">
            <w:pPr>
              <w:rPr>
                <w:rFonts w:ascii="Arial" w:eastAsia="Times New Roman" w:hAnsi="Arial" w:cs="Arial"/>
                <w:color w:val="000000" w:themeColor="text1"/>
                <w:sz w:val="18"/>
                <w:szCs w:val="18"/>
                <w:lang w:eastAsia="en-GB"/>
              </w:rPr>
            </w:pPr>
            <w:r w:rsidRPr="002466EA">
              <w:rPr>
                <w:rFonts w:ascii="Arial" w:eastAsia="Times New Roman" w:hAnsi="Arial" w:cs="Arial"/>
                <w:color w:val="000000" w:themeColor="text1"/>
                <w:sz w:val="18"/>
                <w:szCs w:val="18"/>
                <w:lang w:eastAsia="en-GB"/>
              </w:rPr>
              <w:t>Scratched</w:t>
            </w:r>
          </w:p>
        </w:tc>
        <w:tc>
          <w:tcPr>
            <w:tcW w:w="3969" w:type="dxa"/>
            <w:shd w:val="clear" w:color="000000" w:fill="F2F2F2"/>
            <w:hideMark/>
          </w:tcPr>
          <w:p w14:paraId="0DB7CE00" w14:textId="5BCEA780"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Continued Researcher Experience project</w:t>
            </w:r>
            <w:r w:rsidR="004E5025">
              <w:rPr>
                <w:rFonts w:ascii="Arial" w:eastAsia="Times New Roman" w:hAnsi="Arial" w:cs="Arial"/>
                <w:sz w:val="18"/>
                <w:szCs w:val="18"/>
                <w:lang w:eastAsia="en-GB"/>
              </w:rPr>
              <w:t>s</w:t>
            </w:r>
            <w:r w:rsidRPr="002466EA">
              <w:rPr>
                <w:rFonts w:ascii="Arial" w:eastAsia="Times New Roman" w:hAnsi="Arial" w:cs="Arial"/>
                <w:sz w:val="18"/>
                <w:szCs w:val="18"/>
                <w:lang w:eastAsia="en-GB"/>
              </w:rPr>
              <w:t xml:space="preserve"> under the guidance of UKRI’s People &amp; Culture Strategy and Concordat obligation.  </w:t>
            </w:r>
          </w:p>
        </w:tc>
      </w:tr>
      <w:tr w:rsidR="00970819" w:rsidRPr="002466EA" w14:paraId="690EAB5E" w14:textId="77777777" w:rsidTr="008959B1">
        <w:trPr>
          <w:trHeight w:val="2259"/>
        </w:trPr>
        <w:tc>
          <w:tcPr>
            <w:tcW w:w="1844" w:type="dxa"/>
            <w:vMerge/>
            <w:vAlign w:val="center"/>
            <w:hideMark/>
          </w:tcPr>
          <w:p w14:paraId="7CA37441"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shd w:val="clear" w:color="000000" w:fill="F6BE00"/>
            <w:hideMark/>
          </w:tcPr>
          <w:p w14:paraId="25AFE497" w14:textId="77777777" w:rsidR="00970819" w:rsidRPr="002466EA" w:rsidRDefault="00970819" w:rsidP="000E37E9">
            <w:pPr>
              <w:rPr>
                <w:rFonts w:ascii="Arial" w:eastAsia="Times New Roman" w:hAnsi="Arial" w:cs="Arial"/>
                <w:b/>
                <w:bCs/>
                <w:color w:val="000000"/>
                <w:sz w:val="18"/>
                <w:szCs w:val="18"/>
                <w:lang w:eastAsia="en-GB"/>
              </w:rPr>
            </w:pPr>
            <w:r w:rsidRPr="002466EA">
              <w:rPr>
                <w:rFonts w:ascii="Arial" w:eastAsia="Times New Roman" w:hAnsi="Arial" w:cs="Arial"/>
                <w:b/>
                <w:bCs/>
                <w:color w:val="000000"/>
                <w:sz w:val="18"/>
                <w:szCs w:val="18"/>
                <w:lang w:eastAsia="en-GB"/>
              </w:rPr>
              <w:t xml:space="preserve">Enable research leadership in all its forms </w:t>
            </w:r>
          </w:p>
        </w:tc>
        <w:tc>
          <w:tcPr>
            <w:tcW w:w="2357" w:type="dxa"/>
            <w:shd w:val="clear" w:color="000000" w:fill="F2F2F2"/>
            <w:hideMark/>
          </w:tcPr>
          <w:p w14:paraId="67E13BCF"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Create a learning and development framework that will support academic leadership and review all leadership and management programmes in line with it.  As a first measure, introduce a new Heads of Department Induction. </w:t>
            </w:r>
          </w:p>
        </w:tc>
        <w:tc>
          <w:tcPr>
            <w:tcW w:w="3412" w:type="dxa"/>
            <w:shd w:val="clear" w:color="000000" w:fill="F2F2F2"/>
            <w:hideMark/>
          </w:tcPr>
          <w:p w14:paraId="46C074ED"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All new Heads of Department receive preparatory training for the role and are part of a supportive peer-to-peer learning group as they transition into the role. </w:t>
            </w:r>
          </w:p>
        </w:tc>
        <w:tc>
          <w:tcPr>
            <w:tcW w:w="1134" w:type="dxa"/>
            <w:shd w:val="clear" w:color="000000" w:fill="F2F2F2"/>
            <w:hideMark/>
          </w:tcPr>
          <w:p w14:paraId="6052842F"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OD </w:t>
            </w:r>
          </w:p>
        </w:tc>
        <w:tc>
          <w:tcPr>
            <w:tcW w:w="1276" w:type="dxa"/>
            <w:shd w:val="clear" w:color="000000" w:fill="F2F2F2"/>
            <w:hideMark/>
          </w:tcPr>
          <w:p w14:paraId="58A5E1FA"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Completed</w:t>
            </w:r>
          </w:p>
        </w:tc>
        <w:tc>
          <w:tcPr>
            <w:tcW w:w="3969" w:type="dxa"/>
            <w:shd w:val="clear" w:color="000000" w:fill="F2F2F2"/>
            <w:hideMark/>
          </w:tcPr>
          <w:p w14:paraId="6EDB2B07" w14:textId="43602DED"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Head of Academic Departments and Senior Leader Induction (G9-10) launched in </w:t>
            </w:r>
            <w:r w:rsidR="004E5025">
              <w:rPr>
                <w:rFonts w:ascii="Arial" w:eastAsia="Times New Roman" w:hAnsi="Arial" w:cs="Arial"/>
                <w:sz w:val="18"/>
                <w:szCs w:val="18"/>
                <w:lang w:eastAsia="en-GB"/>
              </w:rPr>
              <w:t>20</w:t>
            </w:r>
            <w:r w:rsidRPr="002466EA">
              <w:rPr>
                <w:rFonts w:ascii="Arial" w:eastAsia="Times New Roman" w:hAnsi="Arial" w:cs="Arial"/>
                <w:sz w:val="18"/>
                <w:szCs w:val="18"/>
                <w:lang w:eastAsia="en-GB"/>
              </w:rPr>
              <w:t xml:space="preserve">21-22 academic year. Mentoring scheme for Heads of Academic Departments in place as part of the programme. </w:t>
            </w:r>
          </w:p>
        </w:tc>
      </w:tr>
      <w:tr w:rsidR="00970819" w:rsidRPr="002466EA" w14:paraId="5E9B36AB" w14:textId="77777777" w:rsidTr="008959B1">
        <w:trPr>
          <w:trHeight w:val="2258"/>
        </w:trPr>
        <w:tc>
          <w:tcPr>
            <w:tcW w:w="1844" w:type="dxa"/>
            <w:vMerge w:val="restart"/>
            <w:shd w:val="clear" w:color="000000" w:fill="002855"/>
            <w:hideMark/>
          </w:tcPr>
          <w:p w14:paraId="72D130DA" w14:textId="6F6C5E5B" w:rsidR="00970819" w:rsidRPr="002466EA" w:rsidRDefault="00970819" w:rsidP="000E37E9">
            <w:pPr>
              <w:rPr>
                <w:rFonts w:ascii="Arial" w:eastAsia="Times New Roman" w:hAnsi="Arial" w:cs="Arial"/>
                <w:b/>
                <w:bCs/>
                <w:color w:val="FFFFFF"/>
                <w:sz w:val="18"/>
                <w:szCs w:val="18"/>
                <w:lang w:eastAsia="en-GB"/>
              </w:rPr>
            </w:pPr>
            <w:r w:rsidRPr="002466EA">
              <w:rPr>
                <w:rFonts w:ascii="Arial" w:eastAsia="Times New Roman" w:hAnsi="Arial" w:cs="Arial"/>
                <w:b/>
                <w:bCs/>
                <w:color w:val="FFFFFF"/>
                <w:sz w:val="18"/>
                <w:szCs w:val="18"/>
                <w:lang w:eastAsia="en-GB"/>
              </w:rPr>
              <w:t>Researchers are equipped and supported to be adaptable and flexible in an increasingly diverse, mobile, global research environment</w:t>
            </w:r>
            <w:r w:rsidRPr="002466EA">
              <w:rPr>
                <w:rFonts w:ascii="Arial" w:eastAsia="Times New Roman" w:hAnsi="Arial" w:cs="Arial"/>
                <w:b/>
                <w:bCs/>
                <w:color w:val="FFFFFF"/>
                <w:sz w:val="18"/>
                <w:szCs w:val="18"/>
                <w:lang w:eastAsia="en-GB"/>
              </w:rPr>
              <w:br w:type="page"/>
            </w:r>
            <w:r w:rsidR="00D01E00">
              <w:rPr>
                <w:rFonts w:ascii="Arial" w:eastAsia="Times New Roman" w:hAnsi="Arial" w:cs="Arial"/>
                <w:b/>
                <w:bCs/>
                <w:color w:val="FFFFFF"/>
                <w:sz w:val="18"/>
                <w:szCs w:val="18"/>
                <w:lang w:eastAsia="en-GB"/>
              </w:rPr>
              <w:t xml:space="preserve"> -</w:t>
            </w:r>
            <w:r w:rsidRPr="002466EA">
              <w:rPr>
                <w:rFonts w:ascii="Arial" w:eastAsia="Times New Roman" w:hAnsi="Arial" w:cs="Arial"/>
                <w:b/>
                <w:bCs/>
                <w:color w:val="FFFFFF"/>
                <w:sz w:val="18"/>
                <w:szCs w:val="18"/>
                <w:lang w:eastAsia="en-GB"/>
              </w:rPr>
              <w:lastRenderedPageBreak/>
              <w:t xml:space="preserve">Concordat </w:t>
            </w:r>
            <w:proofErr w:type="gramStart"/>
            <w:r w:rsidRPr="002466EA">
              <w:rPr>
                <w:rFonts w:ascii="Arial" w:eastAsia="Times New Roman" w:hAnsi="Arial" w:cs="Arial"/>
                <w:b/>
                <w:bCs/>
                <w:color w:val="FFFFFF"/>
                <w:sz w:val="18"/>
                <w:szCs w:val="18"/>
                <w:lang w:eastAsia="en-GB"/>
              </w:rPr>
              <w:t>Principle</w:t>
            </w:r>
            <w:proofErr w:type="gramEnd"/>
            <w:r w:rsidRPr="002466EA">
              <w:rPr>
                <w:rFonts w:ascii="Arial" w:eastAsia="Times New Roman" w:hAnsi="Arial" w:cs="Arial"/>
                <w:b/>
                <w:bCs/>
                <w:color w:val="FFFFFF"/>
                <w:sz w:val="18"/>
                <w:szCs w:val="18"/>
                <w:lang w:eastAsia="en-GB"/>
              </w:rPr>
              <w:t xml:space="preserve"> 3</w:t>
            </w:r>
          </w:p>
        </w:tc>
        <w:tc>
          <w:tcPr>
            <w:tcW w:w="1460" w:type="dxa"/>
            <w:vMerge w:val="restart"/>
            <w:shd w:val="clear" w:color="000000" w:fill="F6BE00"/>
            <w:hideMark/>
          </w:tcPr>
          <w:p w14:paraId="5E4C1720" w14:textId="77777777" w:rsidR="00970819" w:rsidRPr="002466EA" w:rsidRDefault="00970819" w:rsidP="000E37E9">
            <w:pPr>
              <w:rPr>
                <w:rFonts w:ascii="Arial" w:eastAsia="Times New Roman" w:hAnsi="Arial" w:cs="Arial"/>
                <w:b/>
                <w:bCs/>
                <w:color w:val="000000"/>
                <w:sz w:val="18"/>
                <w:szCs w:val="18"/>
                <w:lang w:eastAsia="en-GB"/>
              </w:rPr>
            </w:pPr>
            <w:r w:rsidRPr="002466EA">
              <w:rPr>
                <w:rFonts w:ascii="Arial" w:eastAsia="Times New Roman" w:hAnsi="Arial" w:cs="Arial"/>
                <w:b/>
                <w:bCs/>
                <w:color w:val="000000"/>
                <w:sz w:val="18"/>
                <w:szCs w:val="18"/>
                <w:lang w:eastAsia="en-GB"/>
              </w:rPr>
              <w:lastRenderedPageBreak/>
              <w:t>Support the development of early career researchers</w:t>
            </w:r>
            <w:r w:rsidRPr="002466EA">
              <w:rPr>
                <w:rFonts w:ascii="Arial" w:eastAsia="Times New Roman" w:hAnsi="Arial" w:cs="Arial"/>
                <w:b/>
                <w:bCs/>
                <w:color w:val="000000"/>
                <w:sz w:val="18"/>
                <w:szCs w:val="18"/>
                <w:lang w:eastAsia="en-GB"/>
              </w:rPr>
              <w:br w:type="page"/>
            </w:r>
            <w:r w:rsidRPr="002466EA">
              <w:rPr>
                <w:rFonts w:ascii="Arial" w:eastAsia="Times New Roman" w:hAnsi="Arial" w:cs="Arial"/>
                <w:b/>
                <w:bCs/>
                <w:color w:val="000000"/>
                <w:sz w:val="18"/>
                <w:szCs w:val="18"/>
                <w:lang w:eastAsia="en-GB"/>
              </w:rPr>
              <w:br w:type="page"/>
            </w:r>
            <w:r w:rsidRPr="002466EA">
              <w:rPr>
                <w:rFonts w:ascii="Arial" w:eastAsia="Times New Roman" w:hAnsi="Arial" w:cs="Arial"/>
                <w:b/>
                <w:bCs/>
                <w:color w:val="000000"/>
                <w:sz w:val="18"/>
                <w:szCs w:val="18"/>
                <w:lang w:eastAsia="en-GB"/>
              </w:rPr>
              <w:br w:type="page"/>
            </w:r>
            <w:r w:rsidRPr="002466EA">
              <w:rPr>
                <w:rFonts w:ascii="Arial" w:eastAsia="Times New Roman" w:hAnsi="Arial" w:cs="Arial"/>
                <w:b/>
                <w:bCs/>
                <w:color w:val="000000"/>
                <w:sz w:val="18"/>
                <w:szCs w:val="18"/>
                <w:lang w:eastAsia="en-GB"/>
              </w:rPr>
              <w:br w:type="page"/>
            </w:r>
            <w:r w:rsidRPr="002466EA">
              <w:rPr>
                <w:rFonts w:ascii="Arial" w:eastAsia="Times New Roman" w:hAnsi="Arial" w:cs="Arial"/>
                <w:b/>
                <w:bCs/>
                <w:color w:val="000000"/>
                <w:sz w:val="18"/>
                <w:szCs w:val="18"/>
                <w:lang w:eastAsia="en-GB"/>
              </w:rPr>
              <w:br w:type="page"/>
            </w:r>
            <w:r w:rsidRPr="002466EA">
              <w:rPr>
                <w:rFonts w:ascii="Arial" w:eastAsia="Times New Roman" w:hAnsi="Arial" w:cs="Arial"/>
                <w:b/>
                <w:bCs/>
                <w:color w:val="000000"/>
                <w:sz w:val="18"/>
                <w:szCs w:val="18"/>
                <w:lang w:eastAsia="en-GB"/>
              </w:rPr>
              <w:br w:type="page"/>
            </w:r>
            <w:r w:rsidRPr="002466EA">
              <w:rPr>
                <w:rFonts w:ascii="Arial" w:eastAsia="Times New Roman" w:hAnsi="Arial" w:cs="Arial"/>
                <w:b/>
                <w:bCs/>
                <w:color w:val="000000"/>
                <w:sz w:val="18"/>
                <w:szCs w:val="18"/>
                <w:lang w:eastAsia="en-GB"/>
              </w:rPr>
              <w:br w:type="page"/>
            </w:r>
            <w:r w:rsidRPr="002466EA">
              <w:rPr>
                <w:rFonts w:ascii="Arial" w:eastAsia="Times New Roman" w:hAnsi="Arial" w:cs="Arial"/>
                <w:b/>
                <w:bCs/>
                <w:color w:val="000000"/>
                <w:sz w:val="18"/>
                <w:szCs w:val="18"/>
                <w:lang w:eastAsia="en-GB"/>
              </w:rPr>
              <w:br w:type="page"/>
            </w:r>
            <w:r w:rsidRPr="002466EA">
              <w:rPr>
                <w:rFonts w:ascii="Arial" w:eastAsia="Times New Roman" w:hAnsi="Arial" w:cs="Arial"/>
                <w:b/>
                <w:bCs/>
                <w:color w:val="000000"/>
                <w:sz w:val="18"/>
                <w:szCs w:val="18"/>
                <w:lang w:eastAsia="en-GB"/>
              </w:rPr>
              <w:br w:type="page"/>
            </w:r>
            <w:r w:rsidRPr="002466EA">
              <w:rPr>
                <w:rFonts w:ascii="Arial" w:eastAsia="Times New Roman" w:hAnsi="Arial" w:cs="Arial"/>
                <w:b/>
                <w:bCs/>
                <w:color w:val="000000"/>
                <w:sz w:val="18"/>
                <w:szCs w:val="18"/>
                <w:lang w:eastAsia="en-GB"/>
              </w:rPr>
              <w:br w:type="page"/>
            </w:r>
            <w:r w:rsidRPr="002466EA">
              <w:rPr>
                <w:rFonts w:ascii="Arial" w:eastAsia="Times New Roman" w:hAnsi="Arial" w:cs="Arial"/>
                <w:b/>
                <w:bCs/>
                <w:color w:val="000000"/>
                <w:sz w:val="18"/>
                <w:szCs w:val="18"/>
                <w:lang w:eastAsia="en-GB"/>
              </w:rPr>
              <w:br w:type="page"/>
            </w:r>
            <w:r w:rsidRPr="002466EA">
              <w:rPr>
                <w:rFonts w:ascii="Arial" w:eastAsia="Times New Roman" w:hAnsi="Arial" w:cs="Arial"/>
                <w:b/>
                <w:bCs/>
                <w:color w:val="000000"/>
                <w:sz w:val="18"/>
                <w:szCs w:val="18"/>
                <w:lang w:eastAsia="en-GB"/>
              </w:rPr>
              <w:br w:type="page"/>
            </w:r>
            <w:r w:rsidRPr="002466EA">
              <w:rPr>
                <w:rFonts w:ascii="Arial" w:eastAsia="Times New Roman" w:hAnsi="Arial" w:cs="Arial"/>
                <w:b/>
                <w:bCs/>
                <w:color w:val="000000"/>
                <w:sz w:val="18"/>
                <w:szCs w:val="18"/>
                <w:lang w:eastAsia="en-GB"/>
              </w:rPr>
              <w:br w:type="page"/>
            </w:r>
          </w:p>
        </w:tc>
        <w:tc>
          <w:tcPr>
            <w:tcW w:w="2357" w:type="dxa"/>
            <w:shd w:val="clear" w:color="000000" w:fill="F2F2F2"/>
            <w:hideMark/>
          </w:tcPr>
          <w:p w14:paraId="28201140"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Continue to build and develop the work of the UCL ECR Liaison Committee, which reports into the RSCG. </w:t>
            </w:r>
          </w:p>
        </w:tc>
        <w:tc>
          <w:tcPr>
            <w:tcW w:w="3412" w:type="dxa"/>
            <w:shd w:val="clear" w:color="000000" w:fill="F2F2F2"/>
            <w:hideMark/>
          </w:tcPr>
          <w:p w14:paraId="714289EE"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Researcher's views on their experience, development and support needs are heard and at the highest levels at UCL. </w:t>
            </w:r>
          </w:p>
        </w:tc>
        <w:tc>
          <w:tcPr>
            <w:tcW w:w="1134" w:type="dxa"/>
            <w:shd w:val="clear" w:color="000000" w:fill="F2F2F2"/>
            <w:hideMark/>
          </w:tcPr>
          <w:p w14:paraId="20B26CD1"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OD </w:t>
            </w:r>
          </w:p>
        </w:tc>
        <w:tc>
          <w:tcPr>
            <w:tcW w:w="1276" w:type="dxa"/>
            <w:shd w:val="clear" w:color="000000" w:fill="F2F2F2"/>
            <w:hideMark/>
          </w:tcPr>
          <w:p w14:paraId="7805636A"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Completed</w:t>
            </w:r>
          </w:p>
        </w:tc>
        <w:tc>
          <w:tcPr>
            <w:tcW w:w="3969" w:type="dxa"/>
            <w:shd w:val="clear" w:color="000000" w:fill="F2F2F2"/>
            <w:hideMark/>
          </w:tcPr>
          <w:p w14:paraId="01C3E361"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The Career, Employment, Development in Academic Research Survey (CEDARS) attracted 2,400 responses (~30% response rate). CEDARS results were used to inform UCL Research Culture recommendations which were presented to high level committees at UCL. </w:t>
            </w:r>
          </w:p>
          <w:p w14:paraId="52F6BC1B" w14:textId="77777777" w:rsidR="00970819" w:rsidRPr="002466EA" w:rsidRDefault="00970819" w:rsidP="000E37E9">
            <w:pPr>
              <w:rPr>
                <w:rFonts w:ascii="Arial" w:eastAsia="Times New Roman" w:hAnsi="Arial" w:cs="Arial"/>
                <w:sz w:val="18"/>
                <w:szCs w:val="18"/>
                <w:lang w:eastAsia="en-GB"/>
              </w:rPr>
            </w:pPr>
          </w:p>
        </w:tc>
      </w:tr>
      <w:tr w:rsidR="00970819" w:rsidRPr="002466EA" w14:paraId="6201BB49" w14:textId="77777777" w:rsidTr="008959B1">
        <w:trPr>
          <w:trHeight w:val="4101"/>
        </w:trPr>
        <w:tc>
          <w:tcPr>
            <w:tcW w:w="1844" w:type="dxa"/>
            <w:vMerge/>
            <w:vAlign w:val="center"/>
            <w:hideMark/>
          </w:tcPr>
          <w:p w14:paraId="038D2D52"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vMerge/>
            <w:vAlign w:val="center"/>
            <w:hideMark/>
          </w:tcPr>
          <w:p w14:paraId="5A10452E" w14:textId="77777777" w:rsidR="00970819" w:rsidRPr="002466EA" w:rsidRDefault="00970819" w:rsidP="000E37E9">
            <w:pPr>
              <w:rPr>
                <w:rFonts w:ascii="Arial" w:eastAsia="Times New Roman" w:hAnsi="Arial" w:cs="Arial"/>
                <w:b/>
                <w:bCs/>
                <w:color w:val="000000"/>
                <w:sz w:val="18"/>
                <w:szCs w:val="18"/>
                <w:lang w:eastAsia="en-GB"/>
              </w:rPr>
            </w:pPr>
          </w:p>
        </w:tc>
        <w:tc>
          <w:tcPr>
            <w:tcW w:w="2357" w:type="dxa"/>
            <w:shd w:val="clear" w:color="000000" w:fill="F2F2F2"/>
            <w:hideMark/>
          </w:tcPr>
          <w:p w14:paraId="3D3ADDDD"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Provide leadership training for all new Principal Investigators</w:t>
            </w:r>
          </w:p>
        </w:tc>
        <w:tc>
          <w:tcPr>
            <w:tcW w:w="3412" w:type="dxa"/>
            <w:shd w:val="clear" w:color="000000" w:fill="F2F2F2"/>
            <w:hideMark/>
          </w:tcPr>
          <w:p w14:paraId="165E2D32" w14:textId="77777777" w:rsidR="00970819" w:rsidRPr="002466EA" w:rsidRDefault="00970819" w:rsidP="000E37E9">
            <w:pPr>
              <w:spacing w:after="240"/>
              <w:rPr>
                <w:rFonts w:ascii="Arial" w:eastAsia="Times New Roman" w:hAnsi="Arial" w:cs="Arial"/>
                <w:sz w:val="18"/>
                <w:szCs w:val="18"/>
                <w:lang w:eastAsia="en-GB"/>
              </w:rPr>
            </w:pPr>
            <w:r w:rsidRPr="002466EA">
              <w:rPr>
                <w:rFonts w:ascii="Arial" w:eastAsia="Times New Roman" w:hAnsi="Arial" w:cs="Arial"/>
                <w:sz w:val="18"/>
                <w:szCs w:val="18"/>
                <w:lang w:eastAsia="en-GB"/>
              </w:rPr>
              <w:t>New blended learning package on Research Leadership developed and piloted.</w:t>
            </w:r>
            <w:r w:rsidRPr="002466EA">
              <w:rPr>
                <w:rFonts w:ascii="Arial" w:eastAsia="Times New Roman" w:hAnsi="Arial" w:cs="Arial"/>
                <w:sz w:val="18"/>
                <w:szCs w:val="18"/>
                <w:lang w:eastAsia="en-GB"/>
              </w:rPr>
              <w:br/>
            </w:r>
            <w:r w:rsidRPr="002466EA">
              <w:rPr>
                <w:rFonts w:ascii="Arial" w:eastAsia="Times New Roman" w:hAnsi="Arial" w:cs="Arial"/>
                <w:sz w:val="18"/>
                <w:szCs w:val="18"/>
                <w:lang w:eastAsia="en-GB"/>
              </w:rPr>
              <w:br/>
              <w:t xml:space="preserve">Within Appraisal Project, new module 'Great Development Conversations', based on a coaching methodology and coaching approaches to line-management and appraisal is tested with Principal Investigators and recommendations considered before launch. </w:t>
            </w:r>
            <w:r w:rsidRPr="002466EA">
              <w:rPr>
                <w:rFonts w:ascii="Arial" w:eastAsia="Times New Roman" w:hAnsi="Arial" w:cs="Arial"/>
                <w:sz w:val="18"/>
                <w:szCs w:val="18"/>
                <w:lang w:eastAsia="en-GB"/>
              </w:rPr>
              <w:br/>
            </w:r>
            <w:r w:rsidRPr="002466EA">
              <w:rPr>
                <w:rFonts w:ascii="Arial" w:eastAsia="Times New Roman" w:hAnsi="Arial" w:cs="Arial"/>
                <w:sz w:val="18"/>
                <w:szCs w:val="18"/>
                <w:lang w:eastAsia="en-GB"/>
              </w:rPr>
              <w:br/>
              <w:t xml:space="preserve">Package includes module on people management, including relevant information on wellbeing, bullying, sexual misconduct policy, personal relationships Code and Report, Support tool for reporting information for them, as well as policies of research funding bodies. </w:t>
            </w:r>
          </w:p>
        </w:tc>
        <w:tc>
          <w:tcPr>
            <w:tcW w:w="1134" w:type="dxa"/>
            <w:shd w:val="clear" w:color="000000" w:fill="F2F2F2"/>
            <w:hideMark/>
          </w:tcPr>
          <w:p w14:paraId="35F89CB3"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OD </w:t>
            </w:r>
          </w:p>
        </w:tc>
        <w:tc>
          <w:tcPr>
            <w:tcW w:w="1276" w:type="dxa"/>
            <w:shd w:val="clear" w:color="000000" w:fill="F2F2F2"/>
            <w:hideMark/>
          </w:tcPr>
          <w:p w14:paraId="1DA04816"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Partial completion, new targets included in 22-24 AP</w:t>
            </w:r>
          </w:p>
        </w:tc>
        <w:tc>
          <w:tcPr>
            <w:tcW w:w="3969" w:type="dxa"/>
            <w:shd w:val="clear" w:color="000000" w:fill="F2F2F2"/>
            <w:hideMark/>
          </w:tcPr>
          <w:p w14:paraId="28FA2B4A" w14:textId="19F3EC9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Launched a leadership programme for first-time PIs in </w:t>
            </w:r>
            <w:r w:rsidR="004E5025">
              <w:rPr>
                <w:rFonts w:ascii="Arial" w:eastAsia="Times New Roman" w:hAnsi="Arial" w:cs="Arial"/>
                <w:sz w:val="18"/>
                <w:szCs w:val="18"/>
                <w:lang w:eastAsia="en-GB"/>
              </w:rPr>
              <w:t>20</w:t>
            </w:r>
            <w:r w:rsidRPr="002466EA">
              <w:rPr>
                <w:rFonts w:ascii="Arial" w:eastAsia="Times New Roman" w:hAnsi="Arial" w:cs="Arial"/>
                <w:sz w:val="18"/>
                <w:szCs w:val="18"/>
                <w:lang w:eastAsia="en-GB"/>
              </w:rPr>
              <w:t>21-22.</w:t>
            </w:r>
          </w:p>
          <w:p w14:paraId="205B91AC" w14:textId="77777777" w:rsidR="00970819" w:rsidRPr="002466EA" w:rsidRDefault="00970819" w:rsidP="000E37E9">
            <w:pPr>
              <w:rPr>
                <w:rFonts w:ascii="Arial" w:eastAsia="Times New Roman" w:hAnsi="Arial" w:cs="Arial"/>
                <w:sz w:val="18"/>
                <w:szCs w:val="18"/>
                <w:lang w:eastAsia="en-GB"/>
              </w:rPr>
            </w:pPr>
          </w:p>
          <w:p w14:paraId="73F03A83"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Additional appraisal resources launched in 2022. </w:t>
            </w:r>
          </w:p>
        </w:tc>
      </w:tr>
      <w:tr w:rsidR="00970819" w:rsidRPr="002466EA" w14:paraId="5F9E5EE2" w14:textId="77777777" w:rsidTr="008959B1">
        <w:trPr>
          <w:trHeight w:val="2633"/>
        </w:trPr>
        <w:tc>
          <w:tcPr>
            <w:tcW w:w="1844" w:type="dxa"/>
            <w:vMerge w:val="restart"/>
            <w:shd w:val="clear" w:color="000000" w:fill="002855"/>
            <w:hideMark/>
          </w:tcPr>
          <w:p w14:paraId="777AB78F" w14:textId="2B6CBB2D" w:rsidR="00970819" w:rsidRPr="002466EA" w:rsidRDefault="00970819" w:rsidP="000E37E9">
            <w:pPr>
              <w:rPr>
                <w:rFonts w:ascii="Arial" w:eastAsia="Times New Roman" w:hAnsi="Arial" w:cs="Arial"/>
                <w:b/>
                <w:bCs/>
                <w:color w:val="FFFFFF"/>
                <w:sz w:val="18"/>
                <w:szCs w:val="18"/>
                <w:lang w:eastAsia="en-GB"/>
              </w:rPr>
            </w:pPr>
            <w:r w:rsidRPr="002466EA">
              <w:rPr>
                <w:rFonts w:ascii="Arial" w:eastAsia="Times New Roman" w:hAnsi="Arial" w:cs="Arial"/>
                <w:b/>
                <w:bCs/>
                <w:color w:val="FFFFFF"/>
                <w:sz w:val="18"/>
                <w:szCs w:val="18"/>
                <w:lang w:eastAsia="en-GB"/>
              </w:rPr>
              <w:t xml:space="preserve">The importance of researchers’ personal and career development, and lifelong learning, is clearly recognised and promoted at all stages of their career </w:t>
            </w:r>
            <w:r w:rsidR="00D01E00">
              <w:rPr>
                <w:rFonts w:ascii="Arial" w:eastAsia="Times New Roman" w:hAnsi="Arial" w:cs="Arial"/>
                <w:b/>
                <w:bCs/>
                <w:color w:val="FFFFFF"/>
                <w:sz w:val="18"/>
                <w:szCs w:val="18"/>
                <w:lang w:eastAsia="en-GB"/>
              </w:rPr>
              <w:t>-</w:t>
            </w:r>
            <w:r w:rsidRPr="002466EA">
              <w:rPr>
                <w:rFonts w:ascii="Arial" w:eastAsia="Times New Roman" w:hAnsi="Arial" w:cs="Arial"/>
                <w:b/>
                <w:bCs/>
                <w:color w:val="FFFFFF"/>
                <w:sz w:val="18"/>
                <w:szCs w:val="18"/>
                <w:lang w:eastAsia="en-GB"/>
              </w:rPr>
              <w:br/>
              <w:t xml:space="preserve">Concordat </w:t>
            </w:r>
            <w:proofErr w:type="gramStart"/>
            <w:r w:rsidRPr="002466EA">
              <w:rPr>
                <w:rFonts w:ascii="Arial" w:eastAsia="Times New Roman" w:hAnsi="Arial" w:cs="Arial"/>
                <w:b/>
                <w:bCs/>
                <w:color w:val="FFFFFF"/>
                <w:sz w:val="18"/>
                <w:szCs w:val="18"/>
                <w:lang w:eastAsia="en-GB"/>
              </w:rPr>
              <w:t>Principle</w:t>
            </w:r>
            <w:proofErr w:type="gramEnd"/>
            <w:r w:rsidRPr="002466EA">
              <w:rPr>
                <w:rFonts w:ascii="Arial" w:eastAsia="Times New Roman" w:hAnsi="Arial" w:cs="Arial"/>
                <w:b/>
                <w:bCs/>
                <w:color w:val="FFFFFF"/>
                <w:sz w:val="18"/>
                <w:szCs w:val="18"/>
                <w:lang w:eastAsia="en-GB"/>
              </w:rPr>
              <w:t xml:space="preserve"> 4</w:t>
            </w:r>
          </w:p>
        </w:tc>
        <w:tc>
          <w:tcPr>
            <w:tcW w:w="1460" w:type="dxa"/>
            <w:vMerge/>
            <w:vAlign w:val="center"/>
            <w:hideMark/>
          </w:tcPr>
          <w:p w14:paraId="39E0D333" w14:textId="77777777" w:rsidR="00970819" w:rsidRPr="002466EA" w:rsidRDefault="00970819" w:rsidP="000E37E9">
            <w:pPr>
              <w:rPr>
                <w:rFonts w:ascii="Arial" w:eastAsia="Times New Roman" w:hAnsi="Arial" w:cs="Arial"/>
                <w:b/>
                <w:bCs/>
                <w:color w:val="000000"/>
                <w:sz w:val="18"/>
                <w:szCs w:val="18"/>
                <w:lang w:eastAsia="en-GB"/>
              </w:rPr>
            </w:pPr>
          </w:p>
        </w:tc>
        <w:tc>
          <w:tcPr>
            <w:tcW w:w="2357" w:type="dxa"/>
            <w:shd w:val="clear" w:color="000000" w:fill="F2F2F2"/>
            <w:hideMark/>
          </w:tcPr>
          <w:p w14:paraId="011314E3"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 xml:space="preserve">Develop and deliver the Research Staff Development Programme (RSDP). </w:t>
            </w:r>
            <w:r w:rsidRPr="002466EA">
              <w:rPr>
                <w:rFonts w:ascii="Arial" w:eastAsia="Times New Roman" w:hAnsi="Arial" w:cs="Arial"/>
                <w:color w:val="000000"/>
                <w:sz w:val="18"/>
                <w:szCs w:val="18"/>
                <w:lang w:eastAsia="en-GB"/>
              </w:rPr>
              <w:br/>
            </w:r>
            <w:r w:rsidRPr="002466EA">
              <w:rPr>
                <w:rFonts w:ascii="Arial" w:eastAsia="Times New Roman" w:hAnsi="Arial" w:cs="Arial"/>
                <w:color w:val="000000"/>
                <w:sz w:val="18"/>
                <w:szCs w:val="18"/>
                <w:lang w:eastAsia="en-GB"/>
              </w:rPr>
              <w:br/>
              <w:t xml:space="preserve">Streamline provision, create learning, and career pathways and map it to the UCL Academic Careers Framework. </w:t>
            </w:r>
          </w:p>
        </w:tc>
        <w:tc>
          <w:tcPr>
            <w:tcW w:w="3412" w:type="dxa"/>
            <w:shd w:val="clear" w:color="000000" w:fill="F2F2F2"/>
            <w:hideMark/>
          </w:tcPr>
          <w:p w14:paraId="5414F545"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In partnership with Faculties and Professional Services teams (UCL Careers, UCL Culture, UCL Innovation and Enterprise, Libraries, Open Science, UCL Arena, Research IT services and Digital Learning), a more streamlined RSDP provides new ways of supporting development, including skills self-assessment, skills-tracking, and a learning and career model based on a fellowship qualification. </w:t>
            </w:r>
          </w:p>
        </w:tc>
        <w:tc>
          <w:tcPr>
            <w:tcW w:w="1134" w:type="dxa"/>
            <w:shd w:val="clear" w:color="000000" w:fill="F2F2F2"/>
            <w:hideMark/>
          </w:tcPr>
          <w:p w14:paraId="431249BC"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OD </w:t>
            </w:r>
          </w:p>
        </w:tc>
        <w:tc>
          <w:tcPr>
            <w:tcW w:w="1276" w:type="dxa"/>
            <w:shd w:val="clear" w:color="000000" w:fill="F2F2F2"/>
            <w:hideMark/>
          </w:tcPr>
          <w:p w14:paraId="2FA3854B"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Partial completion, new targets included in 2022-24 AP</w:t>
            </w:r>
          </w:p>
        </w:tc>
        <w:tc>
          <w:tcPr>
            <w:tcW w:w="3969" w:type="dxa"/>
            <w:shd w:val="clear" w:color="000000" w:fill="F2F2F2"/>
            <w:hideMark/>
          </w:tcPr>
          <w:p w14:paraId="2F3D597A"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New skills pathways, presented in the form of RSDP timetable, launched in December 2021. </w:t>
            </w:r>
          </w:p>
        </w:tc>
      </w:tr>
      <w:tr w:rsidR="00970819" w:rsidRPr="002466EA" w14:paraId="5738C6EA" w14:textId="77777777" w:rsidTr="008959B1">
        <w:trPr>
          <w:trHeight w:val="904"/>
        </w:trPr>
        <w:tc>
          <w:tcPr>
            <w:tcW w:w="1844" w:type="dxa"/>
            <w:vMerge/>
            <w:vAlign w:val="center"/>
            <w:hideMark/>
          </w:tcPr>
          <w:p w14:paraId="59AADB77"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vMerge/>
            <w:vAlign w:val="center"/>
            <w:hideMark/>
          </w:tcPr>
          <w:p w14:paraId="0AB25C7E" w14:textId="77777777" w:rsidR="00970819" w:rsidRPr="002466EA" w:rsidRDefault="00970819" w:rsidP="000E37E9">
            <w:pPr>
              <w:rPr>
                <w:rFonts w:ascii="Arial" w:eastAsia="Times New Roman" w:hAnsi="Arial" w:cs="Arial"/>
                <w:b/>
                <w:bCs/>
                <w:color w:val="000000"/>
                <w:sz w:val="18"/>
                <w:szCs w:val="18"/>
                <w:lang w:eastAsia="en-GB"/>
              </w:rPr>
            </w:pPr>
          </w:p>
        </w:tc>
        <w:tc>
          <w:tcPr>
            <w:tcW w:w="2357" w:type="dxa"/>
            <w:shd w:val="clear" w:color="000000" w:fill="F2F2F2"/>
            <w:hideMark/>
          </w:tcPr>
          <w:p w14:paraId="779315B4" w14:textId="77777777" w:rsidR="00970819" w:rsidRPr="002466EA" w:rsidRDefault="00970819" w:rsidP="000E37E9">
            <w:pPr>
              <w:rPr>
                <w:rFonts w:ascii="Arial" w:eastAsia="Times New Roman" w:hAnsi="Arial" w:cs="Arial"/>
                <w:color w:val="000000" w:themeColor="text1"/>
                <w:sz w:val="18"/>
                <w:szCs w:val="18"/>
                <w:lang w:eastAsia="en-GB"/>
              </w:rPr>
            </w:pPr>
            <w:r w:rsidRPr="002466EA">
              <w:rPr>
                <w:rFonts w:ascii="Arial" w:eastAsia="Times New Roman" w:hAnsi="Arial" w:cs="Arial"/>
                <w:color w:val="000000" w:themeColor="text1"/>
                <w:sz w:val="18"/>
                <w:szCs w:val="18"/>
                <w:lang w:eastAsia="en-GB"/>
              </w:rPr>
              <w:t>Develop a proof of concept for improved support mechanism for postdoctoral researchers</w:t>
            </w:r>
          </w:p>
        </w:tc>
        <w:tc>
          <w:tcPr>
            <w:tcW w:w="3412" w:type="dxa"/>
            <w:shd w:val="clear" w:color="000000" w:fill="F2F2F2"/>
            <w:hideMark/>
          </w:tcPr>
          <w:p w14:paraId="60B4829D" w14:textId="77777777" w:rsidR="00970819" w:rsidRPr="002466EA" w:rsidRDefault="00970819" w:rsidP="000E37E9">
            <w:pPr>
              <w:rPr>
                <w:rFonts w:ascii="Arial" w:eastAsia="Times New Roman" w:hAnsi="Arial" w:cs="Arial"/>
                <w:color w:val="000000" w:themeColor="text1"/>
                <w:sz w:val="18"/>
                <w:szCs w:val="18"/>
                <w:lang w:eastAsia="en-GB"/>
              </w:rPr>
            </w:pPr>
            <w:r w:rsidRPr="002466EA">
              <w:rPr>
                <w:rFonts w:ascii="Arial" w:eastAsia="Times New Roman" w:hAnsi="Arial" w:cs="Arial"/>
                <w:color w:val="000000" w:themeColor="text1"/>
                <w:sz w:val="18"/>
                <w:szCs w:val="18"/>
                <w:lang w:eastAsia="en-GB"/>
              </w:rPr>
              <w:t xml:space="preserve">Following proof of concept, plans are initiated for implementation of new approach. </w:t>
            </w:r>
          </w:p>
        </w:tc>
        <w:tc>
          <w:tcPr>
            <w:tcW w:w="1134" w:type="dxa"/>
            <w:shd w:val="clear" w:color="000000" w:fill="F2F2F2"/>
            <w:hideMark/>
          </w:tcPr>
          <w:p w14:paraId="0803B45B" w14:textId="77777777" w:rsidR="00970819" w:rsidRPr="002466EA" w:rsidRDefault="00970819" w:rsidP="000E37E9">
            <w:pPr>
              <w:rPr>
                <w:rFonts w:ascii="Arial" w:eastAsia="Times New Roman" w:hAnsi="Arial" w:cs="Arial"/>
                <w:color w:val="000000" w:themeColor="text1"/>
                <w:sz w:val="18"/>
                <w:szCs w:val="18"/>
                <w:lang w:eastAsia="en-GB"/>
              </w:rPr>
            </w:pPr>
            <w:r w:rsidRPr="002466EA">
              <w:rPr>
                <w:rFonts w:ascii="Arial" w:eastAsia="Times New Roman" w:hAnsi="Arial" w:cs="Arial"/>
                <w:color w:val="000000" w:themeColor="text1"/>
                <w:sz w:val="18"/>
                <w:szCs w:val="18"/>
                <w:lang w:eastAsia="en-GB"/>
              </w:rPr>
              <w:t xml:space="preserve">OD </w:t>
            </w:r>
          </w:p>
        </w:tc>
        <w:tc>
          <w:tcPr>
            <w:tcW w:w="1276" w:type="dxa"/>
            <w:shd w:val="clear" w:color="000000" w:fill="F2F2F2"/>
            <w:hideMark/>
          </w:tcPr>
          <w:p w14:paraId="112AA914" w14:textId="77777777" w:rsidR="00970819" w:rsidRPr="002466EA" w:rsidRDefault="00970819" w:rsidP="000E37E9">
            <w:pPr>
              <w:rPr>
                <w:rFonts w:ascii="Arial" w:eastAsia="Times New Roman" w:hAnsi="Arial" w:cs="Arial"/>
                <w:color w:val="000000" w:themeColor="text1"/>
                <w:sz w:val="18"/>
                <w:szCs w:val="18"/>
                <w:lang w:eastAsia="en-GB"/>
              </w:rPr>
            </w:pPr>
            <w:r w:rsidRPr="002466EA">
              <w:rPr>
                <w:rFonts w:ascii="Arial" w:eastAsia="Times New Roman" w:hAnsi="Arial" w:cs="Arial"/>
                <w:color w:val="000000" w:themeColor="text1"/>
                <w:sz w:val="18"/>
                <w:szCs w:val="18"/>
                <w:lang w:eastAsia="en-GB"/>
              </w:rPr>
              <w:t>Scratched</w:t>
            </w:r>
          </w:p>
        </w:tc>
        <w:tc>
          <w:tcPr>
            <w:tcW w:w="3969" w:type="dxa"/>
            <w:shd w:val="clear" w:color="000000" w:fill="F2F2F2"/>
            <w:hideMark/>
          </w:tcPr>
          <w:p w14:paraId="2CA52993" w14:textId="77777777" w:rsidR="00970819" w:rsidRPr="002466EA" w:rsidRDefault="00970819" w:rsidP="000E37E9">
            <w:pPr>
              <w:rPr>
                <w:rFonts w:ascii="Arial" w:eastAsia="Times New Roman" w:hAnsi="Arial" w:cs="Arial"/>
                <w:sz w:val="18"/>
                <w:szCs w:val="18"/>
                <w:lang w:eastAsia="en-GB"/>
              </w:rPr>
            </w:pPr>
          </w:p>
        </w:tc>
      </w:tr>
      <w:tr w:rsidR="00970819" w:rsidRPr="002466EA" w14:paraId="3E70213A" w14:textId="77777777" w:rsidTr="008959B1">
        <w:trPr>
          <w:trHeight w:val="1121"/>
        </w:trPr>
        <w:tc>
          <w:tcPr>
            <w:tcW w:w="1844" w:type="dxa"/>
            <w:vMerge/>
            <w:vAlign w:val="center"/>
            <w:hideMark/>
          </w:tcPr>
          <w:p w14:paraId="3833E908"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vMerge/>
            <w:vAlign w:val="center"/>
            <w:hideMark/>
          </w:tcPr>
          <w:p w14:paraId="3A7FB292" w14:textId="77777777" w:rsidR="00970819" w:rsidRPr="002466EA" w:rsidRDefault="00970819" w:rsidP="000E37E9">
            <w:pPr>
              <w:rPr>
                <w:rFonts w:ascii="Arial" w:eastAsia="Times New Roman" w:hAnsi="Arial" w:cs="Arial"/>
                <w:b/>
                <w:bCs/>
                <w:color w:val="000000"/>
                <w:sz w:val="18"/>
                <w:szCs w:val="18"/>
                <w:lang w:eastAsia="en-GB"/>
              </w:rPr>
            </w:pPr>
          </w:p>
        </w:tc>
        <w:tc>
          <w:tcPr>
            <w:tcW w:w="2357" w:type="dxa"/>
            <w:shd w:val="clear" w:color="000000" w:fill="F2F2F2"/>
            <w:hideMark/>
          </w:tcPr>
          <w:p w14:paraId="4FF25CA3"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 xml:space="preserve">Work towards the aspiration of 20% of researchers' time dedicated to skills, personal and professional development </w:t>
            </w:r>
          </w:p>
        </w:tc>
        <w:tc>
          <w:tcPr>
            <w:tcW w:w="3412" w:type="dxa"/>
            <w:shd w:val="clear" w:color="000000" w:fill="F2F2F2"/>
            <w:hideMark/>
          </w:tcPr>
          <w:p w14:paraId="1FD8ABA3"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Engagement with all Faculties and minimum 1,000 research staff is achieved via consultation. Following consultation RSCG will consider next steps. </w:t>
            </w:r>
          </w:p>
        </w:tc>
        <w:tc>
          <w:tcPr>
            <w:tcW w:w="1134" w:type="dxa"/>
            <w:shd w:val="clear" w:color="000000" w:fill="F2F2F2"/>
            <w:hideMark/>
          </w:tcPr>
          <w:p w14:paraId="563D5E8F"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OD/ RSCG/ Faculties </w:t>
            </w:r>
          </w:p>
        </w:tc>
        <w:tc>
          <w:tcPr>
            <w:tcW w:w="1276" w:type="dxa"/>
            <w:shd w:val="clear" w:color="000000" w:fill="F2F2F2"/>
            <w:hideMark/>
          </w:tcPr>
          <w:p w14:paraId="0B6185B2"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Completed</w:t>
            </w:r>
          </w:p>
        </w:tc>
        <w:tc>
          <w:tcPr>
            <w:tcW w:w="3969" w:type="dxa"/>
            <w:shd w:val="clear" w:color="000000" w:fill="F2F2F2"/>
            <w:hideMark/>
          </w:tcPr>
          <w:p w14:paraId="3752A6CD"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sz w:val="18"/>
                <w:szCs w:val="18"/>
                <w:lang w:eastAsia="en-GB"/>
              </w:rPr>
              <w:t>Consultation achieved via the Career, Employment, Development in Academic Research Survey (CEDARS), which attracted 2,400 responses (~30% response rate).</w:t>
            </w:r>
          </w:p>
          <w:p w14:paraId="78D5D598" w14:textId="77777777" w:rsidR="00970819" w:rsidRPr="002466EA" w:rsidRDefault="00970819" w:rsidP="000E37E9">
            <w:pPr>
              <w:rPr>
                <w:rFonts w:ascii="Arial" w:eastAsia="Times New Roman" w:hAnsi="Arial" w:cs="Arial"/>
                <w:color w:val="000000"/>
                <w:sz w:val="18"/>
                <w:szCs w:val="18"/>
                <w:lang w:eastAsia="en-GB"/>
              </w:rPr>
            </w:pPr>
          </w:p>
        </w:tc>
      </w:tr>
      <w:tr w:rsidR="00970819" w:rsidRPr="002466EA" w14:paraId="2F41567E" w14:textId="77777777" w:rsidTr="008959B1">
        <w:trPr>
          <w:trHeight w:val="1241"/>
        </w:trPr>
        <w:tc>
          <w:tcPr>
            <w:tcW w:w="1844" w:type="dxa"/>
            <w:vMerge/>
            <w:vAlign w:val="center"/>
            <w:hideMark/>
          </w:tcPr>
          <w:p w14:paraId="6EB79565"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vMerge/>
            <w:vAlign w:val="center"/>
            <w:hideMark/>
          </w:tcPr>
          <w:p w14:paraId="13EB300A" w14:textId="77777777" w:rsidR="00970819" w:rsidRPr="002466EA" w:rsidRDefault="00970819" w:rsidP="000E37E9">
            <w:pPr>
              <w:rPr>
                <w:rFonts w:ascii="Arial" w:eastAsia="Times New Roman" w:hAnsi="Arial" w:cs="Arial"/>
                <w:b/>
                <w:bCs/>
                <w:color w:val="000000"/>
                <w:sz w:val="18"/>
                <w:szCs w:val="18"/>
                <w:lang w:eastAsia="en-GB"/>
              </w:rPr>
            </w:pPr>
          </w:p>
        </w:tc>
        <w:tc>
          <w:tcPr>
            <w:tcW w:w="2357" w:type="dxa"/>
            <w:shd w:val="clear" w:color="000000" w:fill="F2F2F2"/>
            <w:hideMark/>
          </w:tcPr>
          <w:p w14:paraId="409EBC49" w14:textId="77777777" w:rsidR="00970819" w:rsidRPr="002466EA" w:rsidRDefault="00970819" w:rsidP="000E37E9">
            <w:pPr>
              <w:spacing w:after="240"/>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We will introduce a 'development levy' (using the Apprenticeship Levy) to prioritise offering an accredited coaching qualification to staff. </w:t>
            </w:r>
          </w:p>
        </w:tc>
        <w:tc>
          <w:tcPr>
            <w:tcW w:w="3412" w:type="dxa"/>
            <w:shd w:val="clear" w:color="000000" w:fill="F2F2F2"/>
            <w:hideMark/>
          </w:tcPr>
          <w:p w14:paraId="24AA0F64"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Following tendering process, accredited coaching qualification providers are appointed to deliver the programme. Graduates of this programme will be contracted to coach internally to UCL colleagues, including researchers. </w:t>
            </w:r>
          </w:p>
        </w:tc>
        <w:tc>
          <w:tcPr>
            <w:tcW w:w="1134" w:type="dxa"/>
            <w:shd w:val="clear" w:color="000000" w:fill="F2F2F2"/>
            <w:hideMark/>
          </w:tcPr>
          <w:p w14:paraId="2B1D451F"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OD </w:t>
            </w:r>
          </w:p>
        </w:tc>
        <w:tc>
          <w:tcPr>
            <w:tcW w:w="1276" w:type="dxa"/>
            <w:shd w:val="clear" w:color="000000" w:fill="F2F2F2"/>
            <w:hideMark/>
          </w:tcPr>
          <w:p w14:paraId="1CF18F47"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Carried over in 2022-24 AP</w:t>
            </w:r>
          </w:p>
        </w:tc>
        <w:tc>
          <w:tcPr>
            <w:tcW w:w="3969" w:type="dxa"/>
            <w:shd w:val="clear" w:color="000000" w:fill="F2F2F2"/>
            <w:hideMark/>
          </w:tcPr>
          <w:p w14:paraId="7A126889" w14:textId="2256BE19"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w:t>
            </w:r>
            <w:r w:rsidR="004E5025">
              <w:rPr>
                <w:rFonts w:ascii="Arial" w:eastAsia="Times New Roman" w:hAnsi="Arial" w:cs="Arial"/>
                <w:sz w:val="18"/>
                <w:szCs w:val="18"/>
                <w:lang w:eastAsia="en-GB"/>
              </w:rPr>
              <w:t>Coaching apprenticeship scheme piloted in 2022, with further goals added in 2022-24 AP</w:t>
            </w:r>
          </w:p>
        </w:tc>
      </w:tr>
      <w:tr w:rsidR="00970819" w:rsidRPr="002466EA" w14:paraId="24A72018" w14:textId="77777777" w:rsidTr="008959B1">
        <w:trPr>
          <w:trHeight w:val="1039"/>
        </w:trPr>
        <w:tc>
          <w:tcPr>
            <w:tcW w:w="1844" w:type="dxa"/>
            <w:vMerge/>
            <w:vAlign w:val="center"/>
            <w:hideMark/>
          </w:tcPr>
          <w:p w14:paraId="789FEA06"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vMerge/>
            <w:vAlign w:val="center"/>
            <w:hideMark/>
          </w:tcPr>
          <w:p w14:paraId="29E1E89C" w14:textId="77777777" w:rsidR="00970819" w:rsidRPr="002466EA" w:rsidRDefault="00970819" w:rsidP="000E37E9">
            <w:pPr>
              <w:rPr>
                <w:rFonts w:ascii="Arial" w:eastAsia="Times New Roman" w:hAnsi="Arial" w:cs="Arial"/>
                <w:b/>
                <w:bCs/>
                <w:color w:val="000000"/>
                <w:sz w:val="18"/>
                <w:szCs w:val="18"/>
                <w:lang w:eastAsia="en-GB"/>
              </w:rPr>
            </w:pPr>
          </w:p>
        </w:tc>
        <w:tc>
          <w:tcPr>
            <w:tcW w:w="2357" w:type="dxa"/>
            <w:shd w:val="clear" w:color="000000" w:fill="F2F2F2"/>
            <w:hideMark/>
          </w:tcPr>
          <w:p w14:paraId="5AA56909"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Introduce a Technician Development Strategy to support our commitments</w:t>
            </w:r>
          </w:p>
        </w:tc>
        <w:tc>
          <w:tcPr>
            <w:tcW w:w="3412" w:type="dxa"/>
            <w:shd w:val="clear" w:color="000000" w:fill="F2F2F2"/>
            <w:hideMark/>
          </w:tcPr>
          <w:p w14:paraId="16BB593C"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Technician Development Strategy is launched and published to provide clearer career development pathways to Research Technicians.</w:t>
            </w:r>
          </w:p>
        </w:tc>
        <w:tc>
          <w:tcPr>
            <w:tcW w:w="1134" w:type="dxa"/>
            <w:shd w:val="clear" w:color="000000" w:fill="F2F2F2"/>
            <w:hideMark/>
          </w:tcPr>
          <w:p w14:paraId="2C5B19E8"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OD </w:t>
            </w:r>
          </w:p>
        </w:tc>
        <w:tc>
          <w:tcPr>
            <w:tcW w:w="1276" w:type="dxa"/>
            <w:shd w:val="clear" w:color="000000" w:fill="F2F2F2"/>
            <w:hideMark/>
          </w:tcPr>
          <w:p w14:paraId="3DFD9B38"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Partial completion</w:t>
            </w:r>
          </w:p>
        </w:tc>
        <w:tc>
          <w:tcPr>
            <w:tcW w:w="3969" w:type="dxa"/>
            <w:shd w:val="clear" w:color="000000" w:fill="F2F2F2"/>
            <w:hideMark/>
          </w:tcPr>
          <w:p w14:paraId="45388730"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TOPS Technical Staff Project Manager now leads the project with support from OD.</w:t>
            </w:r>
          </w:p>
        </w:tc>
      </w:tr>
      <w:tr w:rsidR="00970819" w:rsidRPr="002466EA" w14:paraId="4BBCE6FF" w14:textId="77777777" w:rsidTr="008959B1">
        <w:trPr>
          <w:trHeight w:val="1687"/>
        </w:trPr>
        <w:tc>
          <w:tcPr>
            <w:tcW w:w="1844" w:type="dxa"/>
            <w:vMerge/>
            <w:vAlign w:val="center"/>
            <w:hideMark/>
          </w:tcPr>
          <w:p w14:paraId="3A870286"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vMerge/>
            <w:vAlign w:val="center"/>
            <w:hideMark/>
          </w:tcPr>
          <w:p w14:paraId="6878A54B" w14:textId="77777777" w:rsidR="00970819" w:rsidRPr="002466EA" w:rsidRDefault="00970819" w:rsidP="000E37E9">
            <w:pPr>
              <w:rPr>
                <w:rFonts w:ascii="Arial" w:eastAsia="Times New Roman" w:hAnsi="Arial" w:cs="Arial"/>
                <w:b/>
                <w:bCs/>
                <w:color w:val="000000"/>
                <w:sz w:val="18"/>
                <w:szCs w:val="18"/>
                <w:lang w:eastAsia="en-GB"/>
              </w:rPr>
            </w:pPr>
          </w:p>
        </w:tc>
        <w:tc>
          <w:tcPr>
            <w:tcW w:w="2357" w:type="dxa"/>
            <w:shd w:val="clear" w:color="000000" w:fill="F2F2F2"/>
            <w:hideMark/>
          </w:tcPr>
          <w:p w14:paraId="776A2D8C"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Develop, launch, and embed a Technician Careers Framework</w:t>
            </w:r>
          </w:p>
        </w:tc>
        <w:tc>
          <w:tcPr>
            <w:tcW w:w="3412" w:type="dxa"/>
            <w:shd w:val="clear" w:color="000000" w:fill="F2F2F2"/>
            <w:hideMark/>
          </w:tcPr>
          <w:p w14:paraId="3F624500"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Technician Framework is launched which describes the stages and expectations of development in a technician career pathway. The importance of research technicians and research assistants is recognised, and they are supported in their career development. </w:t>
            </w:r>
          </w:p>
        </w:tc>
        <w:tc>
          <w:tcPr>
            <w:tcW w:w="1134" w:type="dxa"/>
            <w:shd w:val="clear" w:color="000000" w:fill="F2F2F2"/>
            <w:hideMark/>
          </w:tcPr>
          <w:p w14:paraId="37FDF5A1"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OD </w:t>
            </w:r>
          </w:p>
        </w:tc>
        <w:tc>
          <w:tcPr>
            <w:tcW w:w="1276" w:type="dxa"/>
            <w:shd w:val="clear" w:color="000000" w:fill="F2F2F2"/>
            <w:hideMark/>
          </w:tcPr>
          <w:p w14:paraId="24C4F928"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Partial completion</w:t>
            </w:r>
          </w:p>
        </w:tc>
        <w:tc>
          <w:tcPr>
            <w:tcW w:w="3969" w:type="dxa"/>
            <w:shd w:val="clear" w:color="000000" w:fill="F2F2F2"/>
            <w:hideMark/>
          </w:tcPr>
          <w:p w14:paraId="33973AF0"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The pilot Technician Framework is in development, working with a range of staff from Engineering. The Framework will illustrate the two potential career pathways for Technical Staff specifically.</w:t>
            </w:r>
          </w:p>
        </w:tc>
      </w:tr>
      <w:tr w:rsidR="00970819" w:rsidRPr="002466EA" w14:paraId="410E071D" w14:textId="77777777" w:rsidTr="008959B1">
        <w:trPr>
          <w:trHeight w:val="416"/>
        </w:trPr>
        <w:tc>
          <w:tcPr>
            <w:tcW w:w="1844" w:type="dxa"/>
            <w:vMerge/>
            <w:vAlign w:val="center"/>
            <w:hideMark/>
          </w:tcPr>
          <w:p w14:paraId="28F6AE5D"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vMerge/>
            <w:vAlign w:val="center"/>
            <w:hideMark/>
          </w:tcPr>
          <w:p w14:paraId="1A8BE494" w14:textId="77777777" w:rsidR="00970819" w:rsidRPr="002466EA" w:rsidRDefault="00970819" w:rsidP="000E37E9">
            <w:pPr>
              <w:rPr>
                <w:rFonts w:ascii="Arial" w:eastAsia="Times New Roman" w:hAnsi="Arial" w:cs="Arial"/>
                <w:b/>
                <w:bCs/>
                <w:color w:val="000000"/>
                <w:sz w:val="18"/>
                <w:szCs w:val="18"/>
                <w:lang w:eastAsia="en-GB"/>
              </w:rPr>
            </w:pPr>
          </w:p>
        </w:tc>
        <w:tc>
          <w:tcPr>
            <w:tcW w:w="2357" w:type="dxa"/>
            <w:shd w:val="clear" w:color="000000" w:fill="F2F2F2"/>
            <w:hideMark/>
          </w:tcPr>
          <w:p w14:paraId="03CCBD7D"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 xml:space="preserve">Provide clear career advice and career development opportunities to research staff. </w:t>
            </w:r>
          </w:p>
        </w:tc>
        <w:tc>
          <w:tcPr>
            <w:tcW w:w="3412" w:type="dxa"/>
            <w:shd w:val="clear" w:color="000000" w:fill="F2F2F2"/>
            <w:hideMark/>
          </w:tcPr>
          <w:p w14:paraId="608E0EF8"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Ongoing expansion (10% annually) and development of provision in this area is achieved, including UCL Careers support for research staff: collaborative conferences, internships, 1:1 career advice and employer-led forums. The Academic Careers Office extend their annual Festival of Failure and ADAPT to Thrive series. Participate in new focus groups with Vitae and Oxford Brookes University to gauge women in STEM research's awareness of opportunities for spinouts. </w:t>
            </w:r>
          </w:p>
        </w:tc>
        <w:tc>
          <w:tcPr>
            <w:tcW w:w="1134" w:type="dxa"/>
            <w:shd w:val="clear" w:color="000000" w:fill="F2F2F2"/>
            <w:hideMark/>
          </w:tcPr>
          <w:p w14:paraId="44E12087"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UCL Careers, ACO, </w:t>
            </w:r>
          </w:p>
        </w:tc>
        <w:tc>
          <w:tcPr>
            <w:tcW w:w="1276" w:type="dxa"/>
            <w:shd w:val="clear" w:color="000000" w:fill="F2F2F2"/>
            <w:hideMark/>
          </w:tcPr>
          <w:p w14:paraId="0BA9AC1E"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Completed</w:t>
            </w:r>
          </w:p>
        </w:tc>
        <w:tc>
          <w:tcPr>
            <w:tcW w:w="3969" w:type="dxa"/>
            <w:shd w:val="clear" w:color="000000" w:fill="F2F2F2"/>
            <w:hideMark/>
          </w:tcPr>
          <w:p w14:paraId="073CC2E9" w14:textId="680A7145"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b/>
                <w:bCs/>
                <w:color w:val="000000"/>
                <w:sz w:val="18"/>
                <w:szCs w:val="18"/>
                <w:lang w:eastAsia="en-GB"/>
              </w:rPr>
              <w:t>UCL Careers:</w:t>
            </w:r>
            <w:r w:rsidRPr="002466EA">
              <w:rPr>
                <w:rFonts w:ascii="Arial" w:eastAsia="Times New Roman" w:hAnsi="Arial" w:cs="Arial"/>
                <w:color w:val="000000"/>
                <w:sz w:val="18"/>
                <w:szCs w:val="18"/>
                <w:lang w:eastAsia="en-GB"/>
              </w:rPr>
              <w:t xml:space="preserve"> 1) We conducted a survey of early-career research staff (and PhD students) in 2020 to assess training needs and preferences for adjustments/additions to provision; 2) All provision was moved online due to the pandemic, increasing maximum attendee capacity at many events, and possibly making sessions more accessible to off-main-campus/busy researchers; 3) In response to the unique conditions of the pandemic, in Summer and Autumn 2020 we organised additional one-to-one 45-minute ‘Researcher Extra’ careers appointments for early-career research staff</w:t>
            </w:r>
            <w:r w:rsidR="004E5025">
              <w:rPr>
                <w:rFonts w:ascii="Arial" w:eastAsia="Times New Roman" w:hAnsi="Arial" w:cs="Arial"/>
                <w:color w:val="000000"/>
                <w:sz w:val="18"/>
                <w:szCs w:val="18"/>
                <w:lang w:eastAsia="en-GB"/>
              </w:rPr>
              <w:t>, growing the programme above the 10% target</w:t>
            </w:r>
            <w:r w:rsidRPr="002466EA">
              <w:rPr>
                <w:rFonts w:ascii="Arial" w:eastAsia="Times New Roman" w:hAnsi="Arial" w:cs="Arial"/>
                <w:color w:val="000000"/>
                <w:sz w:val="18"/>
                <w:szCs w:val="18"/>
                <w:lang w:eastAsia="en-GB"/>
              </w:rPr>
              <w:t>. 4) We continued to deliver and grow our annual Beyond Academia Life Sciences Careers conference, which is a collaboration with the ICH. 5) We continued to source internships and vacancies for researchers during an economic downturn.</w:t>
            </w:r>
            <w:r w:rsidRPr="002466EA">
              <w:rPr>
                <w:rFonts w:ascii="Arial" w:eastAsia="Times New Roman" w:hAnsi="Arial" w:cs="Arial"/>
                <w:color w:val="000000"/>
                <w:sz w:val="18"/>
                <w:szCs w:val="18"/>
                <w:lang w:eastAsia="en-GB"/>
              </w:rPr>
              <w:br/>
            </w:r>
            <w:r w:rsidRPr="002466EA">
              <w:rPr>
                <w:rFonts w:ascii="Arial" w:eastAsia="Times New Roman" w:hAnsi="Arial" w:cs="Arial"/>
                <w:b/>
                <w:bCs/>
                <w:color w:val="000000"/>
                <w:sz w:val="18"/>
                <w:szCs w:val="18"/>
                <w:lang w:eastAsia="en-GB"/>
              </w:rPr>
              <w:t xml:space="preserve">ACO: </w:t>
            </w:r>
            <w:r w:rsidRPr="002466EA">
              <w:rPr>
                <w:rFonts w:ascii="Arial" w:eastAsia="Times New Roman" w:hAnsi="Arial" w:cs="Arial"/>
                <w:color w:val="000000"/>
                <w:sz w:val="18"/>
                <w:szCs w:val="18"/>
                <w:lang w:eastAsia="en-GB"/>
              </w:rPr>
              <w:t xml:space="preserve">The ACO continues to build on the success of the ADAPT programme, which aims to build resilience in early career researchers. It provided CBT based online coaching to 80 PhD students in 2019 and held the highly successful Festival of Failure in November 2019, featuring speakers and </w:t>
            </w:r>
            <w:r w:rsidRPr="002466EA">
              <w:rPr>
                <w:rFonts w:ascii="Arial" w:eastAsia="Times New Roman" w:hAnsi="Arial" w:cs="Arial"/>
                <w:color w:val="000000"/>
                <w:sz w:val="18"/>
                <w:szCs w:val="18"/>
                <w:lang w:eastAsia="en-GB"/>
              </w:rPr>
              <w:lastRenderedPageBreak/>
              <w:t>attendees from around the UK and Europe, followed by an editorial in the Lancet, written by its chief editor Richard Horton.</w:t>
            </w:r>
          </w:p>
        </w:tc>
      </w:tr>
      <w:tr w:rsidR="00970819" w:rsidRPr="002466EA" w14:paraId="491B9E1F" w14:textId="77777777" w:rsidTr="008959B1">
        <w:trPr>
          <w:trHeight w:val="2606"/>
        </w:trPr>
        <w:tc>
          <w:tcPr>
            <w:tcW w:w="1844" w:type="dxa"/>
            <w:vMerge w:val="restart"/>
            <w:shd w:val="clear" w:color="000000" w:fill="002855"/>
            <w:hideMark/>
          </w:tcPr>
          <w:p w14:paraId="5233AC4A" w14:textId="77777777" w:rsidR="00970819" w:rsidRPr="002466EA" w:rsidRDefault="00970819" w:rsidP="000E37E9">
            <w:pPr>
              <w:rPr>
                <w:rFonts w:ascii="Arial" w:eastAsia="Times New Roman" w:hAnsi="Arial" w:cs="Arial"/>
                <w:b/>
                <w:bCs/>
                <w:color w:val="FFFFFF"/>
                <w:sz w:val="18"/>
                <w:szCs w:val="18"/>
                <w:lang w:eastAsia="en-GB"/>
              </w:rPr>
            </w:pPr>
            <w:r w:rsidRPr="002466EA">
              <w:rPr>
                <w:rFonts w:ascii="Arial" w:eastAsia="Times New Roman" w:hAnsi="Arial" w:cs="Arial"/>
                <w:b/>
                <w:bCs/>
                <w:color w:val="FFFFFF"/>
                <w:sz w:val="18"/>
                <w:szCs w:val="18"/>
                <w:lang w:eastAsia="en-GB"/>
              </w:rPr>
              <w:lastRenderedPageBreak/>
              <w:br/>
            </w:r>
            <w:r w:rsidRPr="002466EA">
              <w:rPr>
                <w:rFonts w:ascii="Arial" w:eastAsia="Times New Roman" w:hAnsi="Arial" w:cs="Arial"/>
                <w:b/>
                <w:bCs/>
                <w:color w:val="FFFFFF"/>
                <w:sz w:val="18"/>
                <w:szCs w:val="18"/>
                <w:lang w:eastAsia="en-GB"/>
              </w:rPr>
              <w:br/>
            </w:r>
            <w:r w:rsidRPr="002466EA">
              <w:rPr>
                <w:rFonts w:ascii="Arial" w:eastAsia="Times New Roman" w:hAnsi="Arial" w:cs="Arial"/>
                <w:b/>
                <w:bCs/>
                <w:color w:val="FFFFFF"/>
                <w:sz w:val="18"/>
                <w:szCs w:val="18"/>
                <w:lang w:eastAsia="en-GB"/>
              </w:rPr>
              <w:br/>
            </w:r>
            <w:r w:rsidRPr="002466EA">
              <w:rPr>
                <w:rFonts w:ascii="Arial" w:eastAsia="Times New Roman" w:hAnsi="Arial" w:cs="Arial"/>
                <w:b/>
                <w:bCs/>
                <w:color w:val="FFFFFF"/>
                <w:sz w:val="18"/>
                <w:szCs w:val="18"/>
                <w:lang w:eastAsia="en-GB"/>
              </w:rPr>
              <w:br/>
            </w:r>
            <w:r w:rsidRPr="002466EA">
              <w:rPr>
                <w:rFonts w:ascii="Arial" w:eastAsia="Times New Roman" w:hAnsi="Arial" w:cs="Arial"/>
                <w:b/>
                <w:bCs/>
                <w:color w:val="FFFFFF"/>
                <w:sz w:val="18"/>
                <w:szCs w:val="18"/>
                <w:lang w:eastAsia="en-GB"/>
              </w:rPr>
              <w:br/>
              <w:t>Individual researchers share the responsibility for and need to pro-actively engage in their own personal and career development, and lifelong learning</w:t>
            </w:r>
            <w:r w:rsidRPr="002466EA">
              <w:rPr>
                <w:rFonts w:ascii="Arial" w:eastAsia="Times New Roman" w:hAnsi="Arial" w:cs="Arial"/>
                <w:b/>
                <w:bCs/>
                <w:color w:val="FFFFFF"/>
                <w:sz w:val="18"/>
                <w:szCs w:val="18"/>
                <w:lang w:eastAsia="en-GB"/>
              </w:rPr>
              <w:br/>
              <w:t xml:space="preserve">Concordat </w:t>
            </w:r>
            <w:proofErr w:type="gramStart"/>
            <w:r w:rsidRPr="002466EA">
              <w:rPr>
                <w:rFonts w:ascii="Arial" w:eastAsia="Times New Roman" w:hAnsi="Arial" w:cs="Arial"/>
                <w:b/>
                <w:bCs/>
                <w:color w:val="FFFFFF"/>
                <w:sz w:val="18"/>
                <w:szCs w:val="18"/>
                <w:lang w:eastAsia="en-GB"/>
              </w:rPr>
              <w:t>Principle</w:t>
            </w:r>
            <w:proofErr w:type="gramEnd"/>
            <w:r w:rsidRPr="002466EA">
              <w:rPr>
                <w:rFonts w:ascii="Arial" w:eastAsia="Times New Roman" w:hAnsi="Arial" w:cs="Arial"/>
                <w:b/>
                <w:bCs/>
                <w:color w:val="FFFFFF"/>
                <w:sz w:val="18"/>
                <w:szCs w:val="18"/>
                <w:lang w:eastAsia="en-GB"/>
              </w:rPr>
              <w:t xml:space="preserve"> 5</w:t>
            </w:r>
          </w:p>
        </w:tc>
        <w:tc>
          <w:tcPr>
            <w:tcW w:w="1460" w:type="dxa"/>
            <w:vMerge/>
            <w:vAlign w:val="center"/>
            <w:hideMark/>
          </w:tcPr>
          <w:p w14:paraId="23657B09" w14:textId="77777777" w:rsidR="00970819" w:rsidRPr="002466EA" w:rsidRDefault="00970819" w:rsidP="000E37E9">
            <w:pPr>
              <w:rPr>
                <w:rFonts w:ascii="Arial" w:eastAsia="Times New Roman" w:hAnsi="Arial" w:cs="Arial"/>
                <w:b/>
                <w:bCs/>
                <w:color w:val="000000"/>
                <w:sz w:val="18"/>
                <w:szCs w:val="18"/>
                <w:lang w:eastAsia="en-GB"/>
              </w:rPr>
            </w:pPr>
          </w:p>
        </w:tc>
        <w:tc>
          <w:tcPr>
            <w:tcW w:w="2357" w:type="dxa"/>
            <w:shd w:val="clear" w:color="000000" w:fill="F2F2F2"/>
            <w:hideMark/>
          </w:tcPr>
          <w:p w14:paraId="072DCE2E"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 xml:space="preserve">Encourage researchers to take responsibility for continuous personal and professional development </w:t>
            </w:r>
          </w:p>
        </w:tc>
        <w:tc>
          <w:tcPr>
            <w:tcW w:w="3412" w:type="dxa"/>
            <w:shd w:val="clear" w:color="000000" w:fill="F2F2F2"/>
            <w:hideMark/>
          </w:tcPr>
          <w:p w14:paraId="034B8040"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Pilot of digital skills and careers development tool for a first cohort of researchers to encourage continuous professional development is successfully launched. </w:t>
            </w:r>
            <w:r w:rsidRPr="002466EA">
              <w:rPr>
                <w:rFonts w:ascii="Arial" w:eastAsia="Times New Roman" w:hAnsi="Arial" w:cs="Arial"/>
                <w:sz w:val="18"/>
                <w:szCs w:val="18"/>
                <w:lang w:eastAsia="en-GB"/>
              </w:rPr>
              <w:br/>
            </w:r>
            <w:r w:rsidRPr="002466EA">
              <w:rPr>
                <w:rFonts w:ascii="Arial" w:eastAsia="Times New Roman" w:hAnsi="Arial" w:cs="Arial"/>
                <w:sz w:val="18"/>
                <w:szCs w:val="18"/>
                <w:lang w:eastAsia="en-GB"/>
              </w:rPr>
              <w:br/>
              <w:t xml:space="preserve">Application launches within Postdoc Appreciation Week and is utilised by sample population within academic year 2019-20, therefore providing evidence of the case for wider use across the institution. </w:t>
            </w:r>
          </w:p>
        </w:tc>
        <w:tc>
          <w:tcPr>
            <w:tcW w:w="1134" w:type="dxa"/>
            <w:shd w:val="clear" w:color="000000" w:fill="F2F2F2"/>
            <w:hideMark/>
          </w:tcPr>
          <w:p w14:paraId="0283B9F2"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OD</w:t>
            </w:r>
          </w:p>
        </w:tc>
        <w:tc>
          <w:tcPr>
            <w:tcW w:w="1276" w:type="dxa"/>
            <w:shd w:val="clear" w:color="000000" w:fill="F2F2F2"/>
            <w:hideMark/>
          </w:tcPr>
          <w:p w14:paraId="12813037"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Completed</w:t>
            </w:r>
          </w:p>
        </w:tc>
        <w:tc>
          <w:tcPr>
            <w:tcW w:w="3969" w:type="dxa"/>
            <w:shd w:val="clear" w:color="000000" w:fill="F2F2F2"/>
            <w:hideMark/>
          </w:tcPr>
          <w:p w14:paraId="01237A68"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Inkpath launched and available to all with UCL login</w:t>
            </w:r>
          </w:p>
        </w:tc>
      </w:tr>
      <w:tr w:rsidR="00970819" w:rsidRPr="002466EA" w14:paraId="7AF0D672" w14:textId="77777777" w:rsidTr="008959B1">
        <w:trPr>
          <w:trHeight w:val="2174"/>
        </w:trPr>
        <w:tc>
          <w:tcPr>
            <w:tcW w:w="1844" w:type="dxa"/>
            <w:vMerge/>
            <w:vAlign w:val="center"/>
            <w:hideMark/>
          </w:tcPr>
          <w:p w14:paraId="438DF7B4"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vMerge/>
            <w:vAlign w:val="center"/>
            <w:hideMark/>
          </w:tcPr>
          <w:p w14:paraId="38648B88" w14:textId="77777777" w:rsidR="00970819" w:rsidRPr="002466EA" w:rsidRDefault="00970819" w:rsidP="000E37E9">
            <w:pPr>
              <w:rPr>
                <w:rFonts w:ascii="Arial" w:eastAsia="Times New Roman" w:hAnsi="Arial" w:cs="Arial"/>
                <w:b/>
                <w:bCs/>
                <w:color w:val="000000"/>
                <w:sz w:val="18"/>
                <w:szCs w:val="18"/>
                <w:lang w:eastAsia="en-GB"/>
              </w:rPr>
            </w:pPr>
          </w:p>
        </w:tc>
        <w:tc>
          <w:tcPr>
            <w:tcW w:w="2357" w:type="dxa"/>
            <w:shd w:val="clear" w:color="000000" w:fill="F2F2F2"/>
            <w:hideMark/>
          </w:tcPr>
          <w:p w14:paraId="0449C3C4"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 xml:space="preserve">Review, update and disseminate Research Staff Code of Practice to ensure clear guidance on expectations of researchers at all levels. </w:t>
            </w:r>
          </w:p>
        </w:tc>
        <w:tc>
          <w:tcPr>
            <w:tcW w:w="3412" w:type="dxa"/>
            <w:shd w:val="clear" w:color="000000" w:fill="F2F2F2"/>
            <w:hideMark/>
          </w:tcPr>
          <w:p w14:paraId="1CE7E423"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 xml:space="preserve">Research Staff Code of Practice is reviewed annually via the Research Staff Consultative Group and in consultation with Faculties, updated, published </w:t>
            </w:r>
            <w:proofErr w:type="gramStart"/>
            <w:r w:rsidRPr="002466EA">
              <w:rPr>
                <w:rFonts w:ascii="Arial" w:eastAsia="Times New Roman" w:hAnsi="Arial" w:cs="Arial"/>
                <w:color w:val="000000"/>
                <w:sz w:val="18"/>
                <w:szCs w:val="18"/>
                <w:lang w:eastAsia="en-GB"/>
              </w:rPr>
              <w:t>online</w:t>
            </w:r>
            <w:proofErr w:type="gramEnd"/>
            <w:r w:rsidRPr="002466EA">
              <w:rPr>
                <w:rFonts w:ascii="Arial" w:eastAsia="Times New Roman" w:hAnsi="Arial" w:cs="Arial"/>
                <w:color w:val="000000"/>
                <w:sz w:val="18"/>
                <w:szCs w:val="18"/>
                <w:lang w:eastAsia="en-GB"/>
              </w:rPr>
              <w:t xml:space="preserve"> and disseminated. </w:t>
            </w:r>
            <w:r w:rsidRPr="002466EA">
              <w:rPr>
                <w:rFonts w:ascii="Arial" w:eastAsia="Times New Roman" w:hAnsi="Arial" w:cs="Arial"/>
                <w:color w:val="000000"/>
                <w:sz w:val="18"/>
                <w:szCs w:val="18"/>
                <w:lang w:eastAsia="en-GB"/>
              </w:rPr>
              <w:br/>
            </w:r>
            <w:r w:rsidRPr="002466EA">
              <w:rPr>
                <w:rFonts w:ascii="Arial" w:eastAsia="Times New Roman" w:hAnsi="Arial" w:cs="Arial"/>
                <w:color w:val="000000"/>
                <w:sz w:val="18"/>
                <w:szCs w:val="18"/>
                <w:lang w:eastAsia="en-GB"/>
              </w:rPr>
              <w:br/>
              <w:t xml:space="preserve">Researchers report using the Code of Practice via multiple channels: </w:t>
            </w:r>
            <w:r w:rsidRPr="002466EA">
              <w:rPr>
                <w:rFonts w:ascii="Arial" w:eastAsia="Times New Roman" w:hAnsi="Arial" w:cs="Arial"/>
                <w:sz w:val="18"/>
                <w:szCs w:val="18"/>
                <w:lang w:eastAsia="en-GB"/>
              </w:rPr>
              <w:t>Staff Survey,</w:t>
            </w:r>
            <w:r w:rsidRPr="002466EA">
              <w:rPr>
                <w:rFonts w:ascii="Arial" w:eastAsia="Times New Roman" w:hAnsi="Arial" w:cs="Arial"/>
                <w:color w:val="000000"/>
                <w:sz w:val="18"/>
                <w:szCs w:val="18"/>
                <w:lang w:eastAsia="en-GB"/>
              </w:rPr>
              <w:t xml:space="preserve"> CROS survey, appraisal and anecdotally. </w:t>
            </w:r>
          </w:p>
        </w:tc>
        <w:tc>
          <w:tcPr>
            <w:tcW w:w="1134" w:type="dxa"/>
            <w:shd w:val="clear" w:color="000000" w:fill="F2F2F2"/>
            <w:hideMark/>
          </w:tcPr>
          <w:p w14:paraId="0727D375"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OD, Faculties</w:t>
            </w:r>
          </w:p>
        </w:tc>
        <w:tc>
          <w:tcPr>
            <w:tcW w:w="1276" w:type="dxa"/>
            <w:shd w:val="clear" w:color="000000" w:fill="F2F2F2"/>
            <w:hideMark/>
          </w:tcPr>
          <w:p w14:paraId="1DE7E096"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Completed, ongoing commitment included in 2022-24 AP</w:t>
            </w:r>
          </w:p>
        </w:tc>
        <w:tc>
          <w:tcPr>
            <w:tcW w:w="3969" w:type="dxa"/>
            <w:shd w:val="clear" w:color="000000" w:fill="F2F2F2"/>
            <w:hideMark/>
          </w:tcPr>
          <w:p w14:paraId="639F8CFE"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On track, CoP added to research staff induction</w:t>
            </w:r>
          </w:p>
        </w:tc>
      </w:tr>
      <w:tr w:rsidR="00970819" w:rsidRPr="002466EA" w14:paraId="427B687A" w14:textId="77777777" w:rsidTr="008959B1">
        <w:trPr>
          <w:trHeight w:val="1833"/>
        </w:trPr>
        <w:tc>
          <w:tcPr>
            <w:tcW w:w="1844" w:type="dxa"/>
            <w:vMerge/>
            <w:vAlign w:val="center"/>
            <w:hideMark/>
          </w:tcPr>
          <w:p w14:paraId="045FBC05"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vMerge/>
            <w:vAlign w:val="center"/>
            <w:hideMark/>
          </w:tcPr>
          <w:p w14:paraId="67BCAECE" w14:textId="77777777" w:rsidR="00970819" w:rsidRPr="002466EA" w:rsidRDefault="00970819" w:rsidP="000E37E9">
            <w:pPr>
              <w:rPr>
                <w:rFonts w:ascii="Arial" w:eastAsia="Times New Roman" w:hAnsi="Arial" w:cs="Arial"/>
                <w:b/>
                <w:bCs/>
                <w:color w:val="000000"/>
                <w:sz w:val="18"/>
                <w:szCs w:val="18"/>
                <w:lang w:eastAsia="en-GB"/>
              </w:rPr>
            </w:pPr>
          </w:p>
        </w:tc>
        <w:tc>
          <w:tcPr>
            <w:tcW w:w="2357" w:type="dxa"/>
            <w:shd w:val="clear" w:color="000000" w:fill="F2F2F2"/>
            <w:hideMark/>
          </w:tcPr>
          <w:p w14:paraId="4C8B0E5F"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 xml:space="preserve">Continue to develop and expand channels for co-creation in researcher development  </w:t>
            </w:r>
          </w:p>
        </w:tc>
        <w:tc>
          <w:tcPr>
            <w:tcW w:w="3412" w:type="dxa"/>
            <w:shd w:val="clear" w:color="000000" w:fill="F2F2F2"/>
            <w:hideMark/>
          </w:tcPr>
          <w:p w14:paraId="0DB31DD1"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 xml:space="preserve">Applications to Researcher-led Initiative increases by 10% </w:t>
            </w:r>
            <w:r w:rsidRPr="002466EA">
              <w:rPr>
                <w:rFonts w:ascii="Arial" w:eastAsia="Times New Roman" w:hAnsi="Arial" w:cs="Arial"/>
                <w:color w:val="000000"/>
                <w:sz w:val="18"/>
                <w:szCs w:val="18"/>
                <w:lang w:eastAsia="en-GB"/>
              </w:rPr>
              <w:br/>
            </w:r>
            <w:r w:rsidRPr="002466EA">
              <w:rPr>
                <w:rFonts w:ascii="Arial" w:eastAsia="Times New Roman" w:hAnsi="Arial" w:cs="Arial"/>
                <w:color w:val="000000"/>
                <w:sz w:val="18"/>
                <w:szCs w:val="18"/>
                <w:lang w:eastAsia="en-GB"/>
              </w:rPr>
              <w:br/>
              <w:t xml:space="preserve">50% the sessions within the March 2020 Creating Connections conference for early-stage researchers working by part-time mode, are devised, </w:t>
            </w:r>
            <w:proofErr w:type="gramStart"/>
            <w:r w:rsidRPr="002466EA">
              <w:rPr>
                <w:rFonts w:ascii="Arial" w:eastAsia="Times New Roman" w:hAnsi="Arial" w:cs="Arial"/>
                <w:color w:val="000000"/>
                <w:sz w:val="18"/>
                <w:szCs w:val="18"/>
                <w:lang w:eastAsia="en-GB"/>
              </w:rPr>
              <w:t>delivered</w:t>
            </w:r>
            <w:proofErr w:type="gramEnd"/>
            <w:r w:rsidRPr="002466EA">
              <w:rPr>
                <w:rFonts w:ascii="Arial" w:eastAsia="Times New Roman" w:hAnsi="Arial" w:cs="Arial"/>
                <w:color w:val="000000"/>
                <w:sz w:val="18"/>
                <w:szCs w:val="18"/>
                <w:lang w:eastAsia="en-GB"/>
              </w:rPr>
              <w:t xml:space="preserve"> and led by and for researchers. </w:t>
            </w:r>
          </w:p>
        </w:tc>
        <w:tc>
          <w:tcPr>
            <w:tcW w:w="1134" w:type="dxa"/>
            <w:shd w:val="clear" w:color="000000" w:fill="F2F2F2"/>
            <w:hideMark/>
          </w:tcPr>
          <w:p w14:paraId="2B8BA375"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OD</w:t>
            </w:r>
          </w:p>
        </w:tc>
        <w:tc>
          <w:tcPr>
            <w:tcW w:w="1276" w:type="dxa"/>
            <w:shd w:val="clear" w:color="000000" w:fill="F2F2F2"/>
            <w:hideMark/>
          </w:tcPr>
          <w:p w14:paraId="270A92C0"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themeColor="text1"/>
                <w:sz w:val="18"/>
                <w:szCs w:val="18"/>
                <w:lang w:eastAsia="en-GB"/>
              </w:rPr>
              <w:t>Partial completion</w:t>
            </w:r>
          </w:p>
        </w:tc>
        <w:tc>
          <w:tcPr>
            <w:tcW w:w="3969" w:type="dxa"/>
            <w:shd w:val="clear" w:color="000000" w:fill="F2F2F2"/>
            <w:hideMark/>
          </w:tcPr>
          <w:p w14:paraId="5BACA205" w14:textId="52BAE412" w:rsidR="00970819" w:rsidRPr="002466EA" w:rsidRDefault="004E5025" w:rsidP="000E37E9">
            <w:pPr>
              <w:rPr>
                <w:rFonts w:ascii="Arial" w:eastAsia="Times New Roman" w:hAnsi="Arial" w:cs="Arial"/>
                <w:sz w:val="18"/>
                <w:szCs w:val="18"/>
                <w:lang w:eastAsia="en-GB"/>
              </w:rPr>
            </w:pPr>
            <w:r>
              <w:rPr>
                <w:rFonts w:ascii="Arial" w:eastAsia="Times New Roman" w:hAnsi="Arial" w:cs="Arial"/>
                <w:sz w:val="18"/>
                <w:szCs w:val="18"/>
                <w:lang w:eastAsia="en-GB"/>
              </w:rPr>
              <w:t>We received 43 applications in the 2019/20 award cycle, which effectively doubled the number of applications in 2018/19 year (21). During the pandemic, the interest slowed down, with 12 applications. The scheme will be refreshed and refocused in 2022/23 year.</w:t>
            </w:r>
          </w:p>
          <w:p w14:paraId="08D08498"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Creating connections conference discontinued from 2020 to be merged with the Festival of Early-Stage Researcher.</w:t>
            </w:r>
          </w:p>
        </w:tc>
      </w:tr>
      <w:tr w:rsidR="00970819" w:rsidRPr="002466EA" w14:paraId="0D75E886" w14:textId="77777777" w:rsidTr="008959B1">
        <w:trPr>
          <w:trHeight w:val="2228"/>
        </w:trPr>
        <w:tc>
          <w:tcPr>
            <w:tcW w:w="1844" w:type="dxa"/>
            <w:vMerge/>
            <w:vAlign w:val="center"/>
            <w:hideMark/>
          </w:tcPr>
          <w:p w14:paraId="1363DF13"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vMerge w:val="restart"/>
            <w:shd w:val="clear" w:color="000000" w:fill="F6BE00"/>
            <w:hideMark/>
          </w:tcPr>
          <w:p w14:paraId="79718BB4" w14:textId="77777777" w:rsidR="00970819" w:rsidRPr="002466EA" w:rsidRDefault="00970819" w:rsidP="000E37E9">
            <w:pPr>
              <w:rPr>
                <w:rFonts w:ascii="Arial" w:eastAsia="Times New Roman" w:hAnsi="Arial" w:cs="Arial"/>
                <w:b/>
                <w:bCs/>
                <w:color w:val="000000"/>
                <w:sz w:val="18"/>
                <w:szCs w:val="18"/>
                <w:lang w:eastAsia="en-GB"/>
              </w:rPr>
            </w:pPr>
            <w:r w:rsidRPr="002466EA">
              <w:rPr>
                <w:rFonts w:ascii="Arial" w:eastAsia="Times New Roman" w:hAnsi="Arial" w:cs="Arial"/>
                <w:b/>
                <w:bCs/>
                <w:color w:val="000000"/>
                <w:sz w:val="18"/>
                <w:szCs w:val="18"/>
                <w:lang w:eastAsia="en-GB"/>
              </w:rPr>
              <w:t>Review and relaunch Core Behaviours so they link clearly to UCL values and UCL 2034</w:t>
            </w:r>
          </w:p>
        </w:tc>
        <w:tc>
          <w:tcPr>
            <w:tcW w:w="2357" w:type="dxa"/>
            <w:vMerge w:val="restart"/>
            <w:shd w:val="clear" w:color="000000" w:fill="F2F2F2"/>
            <w:hideMark/>
          </w:tcPr>
          <w:p w14:paraId="14097440"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 xml:space="preserve">Ensure that we support people at every stage of their career with us – e.g., when they join, as they develop, when they are promoted, when they leave. </w:t>
            </w:r>
          </w:p>
        </w:tc>
        <w:tc>
          <w:tcPr>
            <w:tcW w:w="3412" w:type="dxa"/>
            <w:shd w:val="clear" w:color="000000" w:fill="F2F2F2"/>
            <w:hideMark/>
          </w:tcPr>
          <w:p w14:paraId="49BD7877" w14:textId="77777777" w:rsidR="00970819" w:rsidRPr="002466EA" w:rsidRDefault="00970819" w:rsidP="000E37E9">
            <w:pPr>
              <w:spacing w:after="240"/>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HR Dashboard provides key up to date demographic metrics on recruitment, selection, and career management opportunities, from doctoral candidates and prospective staff to the career experiences of current staff, including opportunities for appraisal and secondments, allowing HR OD to target and devise appropriate initiatives. </w:t>
            </w:r>
          </w:p>
        </w:tc>
        <w:tc>
          <w:tcPr>
            <w:tcW w:w="1134" w:type="dxa"/>
            <w:shd w:val="clear" w:color="000000" w:fill="F2F2F2"/>
            <w:hideMark/>
          </w:tcPr>
          <w:p w14:paraId="04C3566F"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OD</w:t>
            </w:r>
          </w:p>
        </w:tc>
        <w:tc>
          <w:tcPr>
            <w:tcW w:w="1276" w:type="dxa"/>
            <w:shd w:val="clear" w:color="000000" w:fill="F2F2F2"/>
            <w:hideMark/>
          </w:tcPr>
          <w:p w14:paraId="54D794B3"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Partially completed, new targets included in 2022-24 AP</w:t>
            </w:r>
          </w:p>
        </w:tc>
        <w:tc>
          <w:tcPr>
            <w:tcW w:w="3969" w:type="dxa"/>
            <w:shd w:val="clear" w:color="000000" w:fill="F2F2F2"/>
            <w:hideMark/>
          </w:tcPr>
          <w:p w14:paraId="6D706F97"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Postponed due to the delays with procurement of new recruitment system. Smaller scale Learning &amp; Development data dashboard is in place and provides vital overview of the engagement with central training programmes.</w:t>
            </w:r>
          </w:p>
        </w:tc>
      </w:tr>
      <w:tr w:rsidR="00970819" w:rsidRPr="002466EA" w14:paraId="388A59EB" w14:textId="77777777" w:rsidTr="008959B1">
        <w:trPr>
          <w:trHeight w:val="2431"/>
        </w:trPr>
        <w:tc>
          <w:tcPr>
            <w:tcW w:w="1844" w:type="dxa"/>
            <w:vMerge/>
            <w:vAlign w:val="center"/>
            <w:hideMark/>
          </w:tcPr>
          <w:p w14:paraId="7F66091C"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vMerge/>
            <w:vAlign w:val="center"/>
            <w:hideMark/>
          </w:tcPr>
          <w:p w14:paraId="08786C5D" w14:textId="77777777" w:rsidR="00970819" w:rsidRPr="002466EA" w:rsidRDefault="00970819" w:rsidP="000E37E9">
            <w:pPr>
              <w:rPr>
                <w:rFonts w:ascii="Arial" w:eastAsia="Times New Roman" w:hAnsi="Arial" w:cs="Arial"/>
                <w:b/>
                <w:bCs/>
                <w:color w:val="000000"/>
                <w:sz w:val="18"/>
                <w:szCs w:val="18"/>
                <w:lang w:eastAsia="en-GB"/>
              </w:rPr>
            </w:pPr>
          </w:p>
        </w:tc>
        <w:tc>
          <w:tcPr>
            <w:tcW w:w="2357" w:type="dxa"/>
            <w:vMerge/>
            <w:vAlign w:val="center"/>
            <w:hideMark/>
          </w:tcPr>
          <w:p w14:paraId="0EE1E290" w14:textId="77777777" w:rsidR="00970819" w:rsidRPr="002466EA" w:rsidRDefault="00970819" w:rsidP="000E37E9">
            <w:pPr>
              <w:rPr>
                <w:rFonts w:ascii="Arial" w:eastAsia="Times New Roman" w:hAnsi="Arial" w:cs="Arial"/>
                <w:color w:val="000000"/>
                <w:sz w:val="18"/>
                <w:szCs w:val="18"/>
                <w:lang w:eastAsia="en-GB"/>
              </w:rPr>
            </w:pPr>
          </w:p>
        </w:tc>
        <w:tc>
          <w:tcPr>
            <w:tcW w:w="3412" w:type="dxa"/>
            <w:shd w:val="clear" w:color="000000" w:fill="F2F2F2"/>
            <w:hideMark/>
          </w:tcPr>
          <w:p w14:paraId="0ABD5953" w14:textId="77777777" w:rsidR="00970819" w:rsidRPr="002466EA" w:rsidRDefault="00970819" w:rsidP="000E37E9">
            <w:pPr>
              <w:rPr>
                <w:rFonts w:ascii="Arial" w:eastAsia="Times New Roman" w:hAnsi="Arial" w:cs="Arial"/>
                <w:color w:val="000000" w:themeColor="text1"/>
                <w:sz w:val="18"/>
                <w:szCs w:val="18"/>
                <w:lang w:eastAsia="en-GB"/>
              </w:rPr>
            </w:pPr>
            <w:r w:rsidRPr="002466EA">
              <w:rPr>
                <w:rFonts w:ascii="Arial" w:eastAsia="Times New Roman" w:hAnsi="Arial" w:cs="Arial"/>
                <w:color w:val="000000" w:themeColor="text1"/>
                <w:sz w:val="18"/>
                <w:szCs w:val="18"/>
                <w:lang w:eastAsia="en-GB"/>
              </w:rPr>
              <w:t xml:space="preserve">Within the terms of the Next Generation Life Sciences Coalition, of which UCL is the first UK member, data on destinations for postgraduate research students and research staff alumni, including demographic data on participation by gender, ethnicity, and disability. </w:t>
            </w:r>
            <w:r w:rsidRPr="002466EA">
              <w:rPr>
                <w:rFonts w:ascii="Arial" w:eastAsia="Times New Roman" w:hAnsi="Arial" w:cs="Arial"/>
                <w:color w:val="000000" w:themeColor="text1"/>
                <w:sz w:val="18"/>
                <w:szCs w:val="18"/>
                <w:lang w:eastAsia="en-GB"/>
              </w:rPr>
              <w:br/>
            </w:r>
            <w:r w:rsidRPr="002466EA">
              <w:rPr>
                <w:rFonts w:ascii="Arial" w:eastAsia="Times New Roman" w:hAnsi="Arial" w:cs="Arial"/>
                <w:color w:val="000000" w:themeColor="text1"/>
                <w:sz w:val="18"/>
                <w:szCs w:val="18"/>
                <w:lang w:eastAsia="en-GB"/>
              </w:rPr>
              <w:br/>
              <w:t xml:space="preserve">Site is published, maintained, and updated annually. </w:t>
            </w:r>
          </w:p>
        </w:tc>
        <w:tc>
          <w:tcPr>
            <w:tcW w:w="1134" w:type="dxa"/>
            <w:shd w:val="clear" w:color="000000" w:fill="F2F2F2"/>
            <w:hideMark/>
          </w:tcPr>
          <w:p w14:paraId="1D1882AC" w14:textId="77777777" w:rsidR="00970819" w:rsidRPr="002466EA" w:rsidRDefault="00970819" w:rsidP="000E37E9">
            <w:pPr>
              <w:rPr>
                <w:rFonts w:ascii="Arial" w:eastAsia="Times New Roman" w:hAnsi="Arial" w:cs="Arial"/>
                <w:color w:val="000000" w:themeColor="text1"/>
                <w:sz w:val="18"/>
                <w:szCs w:val="18"/>
                <w:lang w:eastAsia="en-GB"/>
              </w:rPr>
            </w:pPr>
            <w:r w:rsidRPr="002466EA">
              <w:rPr>
                <w:rFonts w:ascii="Arial" w:eastAsia="Times New Roman" w:hAnsi="Arial" w:cs="Arial"/>
                <w:color w:val="000000" w:themeColor="text1"/>
                <w:sz w:val="18"/>
                <w:szCs w:val="18"/>
                <w:lang w:eastAsia="en-GB"/>
              </w:rPr>
              <w:t xml:space="preserve">OD  </w:t>
            </w:r>
          </w:p>
        </w:tc>
        <w:tc>
          <w:tcPr>
            <w:tcW w:w="1276" w:type="dxa"/>
            <w:shd w:val="clear" w:color="000000" w:fill="F2F2F2"/>
            <w:hideMark/>
          </w:tcPr>
          <w:p w14:paraId="5059B8D4" w14:textId="77777777" w:rsidR="00970819" w:rsidRPr="002466EA" w:rsidRDefault="00970819" w:rsidP="000E37E9">
            <w:pPr>
              <w:rPr>
                <w:rFonts w:ascii="Arial" w:eastAsia="Times New Roman" w:hAnsi="Arial" w:cs="Arial"/>
                <w:color w:val="000000" w:themeColor="text1"/>
                <w:sz w:val="18"/>
                <w:szCs w:val="18"/>
                <w:lang w:eastAsia="en-GB"/>
              </w:rPr>
            </w:pPr>
            <w:r w:rsidRPr="002466EA">
              <w:rPr>
                <w:rFonts w:ascii="Arial" w:eastAsia="Times New Roman" w:hAnsi="Arial" w:cs="Arial"/>
                <w:color w:val="000000" w:themeColor="text1"/>
                <w:sz w:val="18"/>
                <w:szCs w:val="18"/>
                <w:lang w:eastAsia="en-GB"/>
              </w:rPr>
              <w:t xml:space="preserve">Scratched </w:t>
            </w:r>
          </w:p>
        </w:tc>
        <w:tc>
          <w:tcPr>
            <w:tcW w:w="3969" w:type="dxa"/>
            <w:shd w:val="clear" w:color="000000" w:fill="F2F2F2"/>
            <w:hideMark/>
          </w:tcPr>
          <w:p w14:paraId="1D148DA3" w14:textId="77777777" w:rsidR="00970819" w:rsidRPr="002466EA" w:rsidRDefault="00970819" w:rsidP="000E37E9">
            <w:pPr>
              <w:rPr>
                <w:rFonts w:ascii="Arial" w:eastAsia="Times New Roman" w:hAnsi="Arial" w:cs="Arial"/>
                <w:color w:val="000000" w:themeColor="text1"/>
                <w:sz w:val="18"/>
                <w:szCs w:val="18"/>
                <w:lang w:eastAsia="en-GB"/>
              </w:rPr>
            </w:pPr>
            <w:r w:rsidRPr="002466EA">
              <w:rPr>
                <w:rFonts w:ascii="Arial" w:eastAsia="Times New Roman" w:hAnsi="Arial" w:cs="Arial"/>
                <w:color w:val="000000" w:themeColor="text1"/>
                <w:sz w:val="18"/>
                <w:szCs w:val="18"/>
                <w:lang w:eastAsia="en-GB"/>
              </w:rPr>
              <w:t xml:space="preserve">Project discontinued due to GDPR restriction on alumni data. </w:t>
            </w:r>
          </w:p>
        </w:tc>
      </w:tr>
      <w:tr w:rsidR="00970819" w:rsidRPr="002466EA" w14:paraId="62DB9D87" w14:textId="77777777" w:rsidTr="008959B1">
        <w:trPr>
          <w:trHeight w:val="991"/>
        </w:trPr>
        <w:tc>
          <w:tcPr>
            <w:tcW w:w="1844" w:type="dxa"/>
            <w:vMerge/>
            <w:vAlign w:val="center"/>
            <w:hideMark/>
          </w:tcPr>
          <w:p w14:paraId="2EA84C96"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vMerge/>
            <w:vAlign w:val="center"/>
            <w:hideMark/>
          </w:tcPr>
          <w:p w14:paraId="098EE386" w14:textId="77777777" w:rsidR="00970819" w:rsidRPr="002466EA" w:rsidRDefault="00970819" w:rsidP="000E37E9">
            <w:pPr>
              <w:rPr>
                <w:rFonts w:ascii="Arial" w:eastAsia="Times New Roman" w:hAnsi="Arial" w:cs="Arial"/>
                <w:b/>
                <w:bCs/>
                <w:color w:val="000000"/>
                <w:sz w:val="18"/>
                <w:szCs w:val="18"/>
                <w:lang w:eastAsia="en-GB"/>
              </w:rPr>
            </w:pPr>
          </w:p>
        </w:tc>
        <w:tc>
          <w:tcPr>
            <w:tcW w:w="2357" w:type="dxa"/>
            <w:vMerge/>
            <w:vAlign w:val="center"/>
            <w:hideMark/>
          </w:tcPr>
          <w:p w14:paraId="49BB34AA" w14:textId="77777777" w:rsidR="00970819" w:rsidRPr="002466EA" w:rsidRDefault="00970819" w:rsidP="000E37E9">
            <w:pPr>
              <w:rPr>
                <w:rFonts w:ascii="Arial" w:eastAsia="Times New Roman" w:hAnsi="Arial" w:cs="Arial"/>
                <w:color w:val="000000"/>
                <w:sz w:val="18"/>
                <w:szCs w:val="18"/>
                <w:lang w:eastAsia="en-GB"/>
              </w:rPr>
            </w:pPr>
          </w:p>
        </w:tc>
        <w:tc>
          <w:tcPr>
            <w:tcW w:w="3412" w:type="dxa"/>
            <w:shd w:val="clear" w:color="000000" w:fill="F2F2F2"/>
            <w:hideMark/>
          </w:tcPr>
          <w:p w14:paraId="2DE0454F" w14:textId="77777777" w:rsidR="00970819" w:rsidRPr="002466EA" w:rsidRDefault="00970819" w:rsidP="000E37E9">
            <w:pPr>
              <w:rPr>
                <w:rFonts w:ascii="Arial" w:eastAsia="Times New Roman" w:hAnsi="Arial" w:cs="Arial"/>
                <w:color w:val="000000" w:themeColor="text1"/>
                <w:sz w:val="18"/>
                <w:szCs w:val="18"/>
                <w:lang w:eastAsia="en-GB"/>
              </w:rPr>
            </w:pPr>
            <w:r w:rsidRPr="002466EA">
              <w:rPr>
                <w:rFonts w:ascii="Arial" w:eastAsia="Times New Roman" w:hAnsi="Arial" w:cs="Arial"/>
                <w:color w:val="000000" w:themeColor="text1"/>
                <w:sz w:val="18"/>
                <w:szCs w:val="18"/>
                <w:lang w:eastAsia="en-GB"/>
              </w:rPr>
              <w:t xml:space="preserve">An Alumni Employee Network is created, enabling a wider UCL community and helping us to understand researchers' career pathways. </w:t>
            </w:r>
          </w:p>
        </w:tc>
        <w:tc>
          <w:tcPr>
            <w:tcW w:w="1134" w:type="dxa"/>
            <w:shd w:val="clear" w:color="000000" w:fill="F2F2F2"/>
            <w:hideMark/>
          </w:tcPr>
          <w:p w14:paraId="0FCFC297" w14:textId="77777777" w:rsidR="00970819" w:rsidRPr="002466EA" w:rsidRDefault="00970819" w:rsidP="000E37E9">
            <w:pPr>
              <w:rPr>
                <w:rFonts w:ascii="Arial" w:eastAsia="Times New Roman" w:hAnsi="Arial" w:cs="Arial"/>
                <w:color w:val="000000" w:themeColor="text1"/>
                <w:sz w:val="18"/>
                <w:szCs w:val="18"/>
                <w:lang w:eastAsia="en-GB"/>
              </w:rPr>
            </w:pPr>
            <w:r w:rsidRPr="002466EA">
              <w:rPr>
                <w:rFonts w:ascii="Arial" w:eastAsia="Times New Roman" w:hAnsi="Arial" w:cs="Arial"/>
                <w:color w:val="000000" w:themeColor="text1"/>
                <w:sz w:val="18"/>
                <w:szCs w:val="18"/>
                <w:lang w:eastAsia="en-GB"/>
              </w:rPr>
              <w:t>OD,</w:t>
            </w:r>
          </w:p>
          <w:p w14:paraId="3068DAFF" w14:textId="77777777" w:rsidR="00970819" w:rsidRPr="002466EA" w:rsidRDefault="00970819" w:rsidP="000E37E9">
            <w:pPr>
              <w:rPr>
                <w:rFonts w:ascii="Arial" w:eastAsia="Times New Roman" w:hAnsi="Arial" w:cs="Arial"/>
                <w:color w:val="000000" w:themeColor="text1"/>
                <w:sz w:val="18"/>
                <w:szCs w:val="18"/>
                <w:lang w:eastAsia="en-GB"/>
              </w:rPr>
            </w:pPr>
            <w:r w:rsidRPr="002466EA">
              <w:rPr>
                <w:rFonts w:ascii="Arial" w:eastAsia="Times New Roman" w:hAnsi="Arial" w:cs="Arial"/>
                <w:color w:val="000000" w:themeColor="text1"/>
                <w:sz w:val="18"/>
                <w:szCs w:val="18"/>
                <w:lang w:eastAsia="en-GB"/>
              </w:rPr>
              <w:t>Faculties</w:t>
            </w:r>
          </w:p>
        </w:tc>
        <w:tc>
          <w:tcPr>
            <w:tcW w:w="1276" w:type="dxa"/>
            <w:shd w:val="clear" w:color="000000" w:fill="F2F2F2"/>
            <w:hideMark/>
          </w:tcPr>
          <w:p w14:paraId="41A62EB2" w14:textId="77777777" w:rsidR="00970819" w:rsidRPr="002466EA" w:rsidRDefault="00970819" w:rsidP="000E37E9">
            <w:pPr>
              <w:rPr>
                <w:rFonts w:ascii="Arial" w:eastAsia="Times New Roman" w:hAnsi="Arial" w:cs="Arial"/>
                <w:color w:val="000000" w:themeColor="text1"/>
                <w:sz w:val="18"/>
                <w:szCs w:val="18"/>
                <w:lang w:eastAsia="en-GB"/>
              </w:rPr>
            </w:pPr>
            <w:r w:rsidRPr="002466EA">
              <w:rPr>
                <w:rFonts w:ascii="Arial" w:eastAsia="Times New Roman" w:hAnsi="Arial" w:cs="Arial"/>
                <w:color w:val="000000" w:themeColor="text1"/>
                <w:sz w:val="18"/>
                <w:szCs w:val="18"/>
                <w:lang w:eastAsia="en-GB"/>
              </w:rPr>
              <w:t>Scratched</w:t>
            </w:r>
          </w:p>
        </w:tc>
        <w:tc>
          <w:tcPr>
            <w:tcW w:w="3969" w:type="dxa"/>
            <w:shd w:val="clear" w:color="000000" w:fill="F2F2F2"/>
            <w:hideMark/>
          </w:tcPr>
          <w:p w14:paraId="1F5A3623" w14:textId="77777777" w:rsidR="00970819" w:rsidRPr="002466EA" w:rsidRDefault="00970819" w:rsidP="000E37E9">
            <w:pPr>
              <w:rPr>
                <w:rFonts w:ascii="Arial" w:eastAsia="Times New Roman" w:hAnsi="Arial" w:cs="Arial"/>
                <w:color w:val="000000" w:themeColor="text1"/>
                <w:sz w:val="18"/>
                <w:szCs w:val="18"/>
                <w:lang w:eastAsia="en-GB"/>
              </w:rPr>
            </w:pPr>
            <w:r w:rsidRPr="002466EA">
              <w:rPr>
                <w:rFonts w:ascii="Arial" w:eastAsia="Times New Roman" w:hAnsi="Arial" w:cs="Arial"/>
                <w:color w:val="000000" w:themeColor="text1"/>
                <w:sz w:val="18"/>
                <w:szCs w:val="18"/>
                <w:lang w:eastAsia="en-GB"/>
              </w:rPr>
              <w:t xml:space="preserve">Project discontinued due to GDPR restriction on alumni data. </w:t>
            </w:r>
          </w:p>
        </w:tc>
      </w:tr>
      <w:tr w:rsidR="00970819" w:rsidRPr="002466EA" w14:paraId="7FA00139" w14:textId="77777777" w:rsidTr="008959B1">
        <w:trPr>
          <w:trHeight w:val="1201"/>
        </w:trPr>
        <w:tc>
          <w:tcPr>
            <w:tcW w:w="1844" w:type="dxa"/>
            <w:vMerge w:val="restart"/>
            <w:shd w:val="clear" w:color="000000" w:fill="002855"/>
            <w:hideMark/>
          </w:tcPr>
          <w:p w14:paraId="1E372274" w14:textId="77777777" w:rsidR="00970819" w:rsidRPr="002466EA" w:rsidRDefault="00970819" w:rsidP="000E37E9">
            <w:pPr>
              <w:rPr>
                <w:rFonts w:ascii="Arial" w:eastAsia="Times New Roman" w:hAnsi="Arial" w:cs="Arial"/>
                <w:b/>
                <w:bCs/>
                <w:color w:val="FFFFFF"/>
                <w:sz w:val="18"/>
                <w:szCs w:val="18"/>
                <w:lang w:eastAsia="en-GB"/>
              </w:rPr>
            </w:pPr>
            <w:r w:rsidRPr="002466EA">
              <w:rPr>
                <w:rFonts w:ascii="Arial" w:eastAsia="Times New Roman" w:hAnsi="Arial" w:cs="Arial"/>
                <w:b/>
                <w:bCs/>
                <w:color w:val="FFFFFF"/>
                <w:sz w:val="18"/>
                <w:szCs w:val="18"/>
                <w:lang w:eastAsia="en-GB"/>
              </w:rPr>
              <w:t xml:space="preserve">Diversity and equality must be promoted in all aspects of the recruitment and career management of researchers Concordat </w:t>
            </w:r>
            <w:proofErr w:type="gramStart"/>
            <w:r w:rsidRPr="002466EA">
              <w:rPr>
                <w:rFonts w:ascii="Arial" w:eastAsia="Times New Roman" w:hAnsi="Arial" w:cs="Arial"/>
                <w:b/>
                <w:bCs/>
                <w:color w:val="FFFFFF"/>
                <w:sz w:val="18"/>
                <w:szCs w:val="18"/>
                <w:lang w:eastAsia="en-GB"/>
              </w:rPr>
              <w:t>Principle</w:t>
            </w:r>
            <w:proofErr w:type="gramEnd"/>
            <w:r w:rsidRPr="002466EA">
              <w:rPr>
                <w:rFonts w:ascii="Arial" w:eastAsia="Times New Roman" w:hAnsi="Arial" w:cs="Arial"/>
                <w:b/>
                <w:bCs/>
                <w:color w:val="FFFFFF"/>
                <w:sz w:val="18"/>
                <w:szCs w:val="18"/>
                <w:lang w:eastAsia="en-GB"/>
              </w:rPr>
              <w:t xml:space="preserve"> 6</w:t>
            </w:r>
          </w:p>
        </w:tc>
        <w:tc>
          <w:tcPr>
            <w:tcW w:w="1460" w:type="dxa"/>
            <w:vMerge w:val="restart"/>
            <w:shd w:val="clear" w:color="000000" w:fill="F6BE00"/>
            <w:hideMark/>
          </w:tcPr>
          <w:p w14:paraId="443190E2" w14:textId="77777777" w:rsidR="00970819" w:rsidRPr="002466EA" w:rsidRDefault="00970819" w:rsidP="000E37E9">
            <w:pPr>
              <w:rPr>
                <w:rFonts w:ascii="Arial" w:eastAsia="Times New Roman" w:hAnsi="Arial" w:cs="Arial"/>
                <w:b/>
                <w:bCs/>
                <w:color w:val="000000"/>
                <w:sz w:val="18"/>
                <w:szCs w:val="18"/>
                <w:lang w:eastAsia="en-GB"/>
              </w:rPr>
            </w:pPr>
            <w:r w:rsidRPr="002466EA">
              <w:rPr>
                <w:rFonts w:ascii="Arial" w:eastAsia="Times New Roman" w:hAnsi="Arial" w:cs="Arial"/>
                <w:b/>
                <w:bCs/>
                <w:color w:val="000000"/>
                <w:sz w:val="18"/>
                <w:szCs w:val="18"/>
                <w:lang w:eastAsia="en-GB"/>
              </w:rPr>
              <w:t>Foster a diverse research community from the widest possible talent pool</w:t>
            </w:r>
          </w:p>
        </w:tc>
        <w:tc>
          <w:tcPr>
            <w:tcW w:w="2357" w:type="dxa"/>
            <w:shd w:val="clear" w:color="000000" w:fill="F2F2F2"/>
            <w:hideMark/>
          </w:tcPr>
          <w:p w14:paraId="3C9018A6"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 xml:space="preserve">Continue to develop the Inclusive Advocates Scheme which encourages sponsorship of BAME staff at grades towards their career advancement. </w:t>
            </w:r>
          </w:p>
        </w:tc>
        <w:tc>
          <w:tcPr>
            <w:tcW w:w="3412" w:type="dxa"/>
            <w:shd w:val="clear" w:color="000000" w:fill="F2F2F2"/>
            <w:hideMark/>
          </w:tcPr>
          <w:p w14:paraId="7F0E7D61"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BAME researchers are offered sponsorship from more senior advocates within UCL. Further recruitment to the scheme will take place in 2019/20.  </w:t>
            </w:r>
          </w:p>
        </w:tc>
        <w:tc>
          <w:tcPr>
            <w:tcW w:w="1134" w:type="dxa"/>
            <w:shd w:val="clear" w:color="000000" w:fill="F2F2F2"/>
            <w:hideMark/>
          </w:tcPr>
          <w:p w14:paraId="69ECF3B6"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EDI </w:t>
            </w:r>
          </w:p>
        </w:tc>
        <w:tc>
          <w:tcPr>
            <w:tcW w:w="1276" w:type="dxa"/>
            <w:shd w:val="clear" w:color="000000" w:fill="F2F2F2"/>
            <w:hideMark/>
          </w:tcPr>
          <w:p w14:paraId="424E8886"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Completed, </w:t>
            </w:r>
          </w:p>
          <w:p w14:paraId="59D85CBD"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ongoing commitment included in 2022-24 AP</w:t>
            </w:r>
          </w:p>
        </w:tc>
        <w:tc>
          <w:tcPr>
            <w:tcW w:w="3969" w:type="dxa"/>
            <w:shd w:val="clear" w:color="000000" w:fill="F2F2F2"/>
            <w:hideMark/>
          </w:tcPr>
          <w:p w14:paraId="5C6A9341"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 xml:space="preserve">Last cohort recruited early 2020.  currently 19% of scheme beneficiaries are researchers. Evaluation of pilot concluded at end of 2020. </w:t>
            </w:r>
          </w:p>
        </w:tc>
      </w:tr>
      <w:tr w:rsidR="00970819" w:rsidRPr="002466EA" w14:paraId="24C45C26" w14:textId="77777777" w:rsidTr="008959B1">
        <w:trPr>
          <w:trHeight w:val="1337"/>
        </w:trPr>
        <w:tc>
          <w:tcPr>
            <w:tcW w:w="1844" w:type="dxa"/>
            <w:vMerge/>
            <w:vAlign w:val="center"/>
            <w:hideMark/>
          </w:tcPr>
          <w:p w14:paraId="385BD507"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vMerge/>
            <w:vAlign w:val="center"/>
            <w:hideMark/>
          </w:tcPr>
          <w:p w14:paraId="360847FB" w14:textId="77777777" w:rsidR="00970819" w:rsidRPr="002466EA" w:rsidRDefault="00970819" w:rsidP="000E37E9">
            <w:pPr>
              <w:rPr>
                <w:rFonts w:ascii="Arial" w:eastAsia="Times New Roman" w:hAnsi="Arial" w:cs="Arial"/>
                <w:b/>
                <w:bCs/>
                <w:color w:val="000000"/>
                <w:sz w:val="18"/>
                <w:szCs w:val="18"/>
                <w:lang w:eastAsia="en-GB"/>
              </w:rPr>
            </w:pPr>
          </w:p>
        </w:tc>
        <w:tc>
          <w:tcPr>
            <w:tcW w:w="2357" w:type="dxa"/>
            <w:shd w:val="clear" w:color="000000" w:fill="F2F2F2"/>
            <w:hideMark/>
          </w:tcPr>
          <w:p w14:paraId="76BE4B3C"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Continue to develop the B-Mentor Programme for Research Staff.</w:t>
            </w:r>
          </w:p>
        </w:tc>
        <w:tc>
          <w:tcPr>
            <w:tcW w:w="3412" w:type="dxa"/>
            <w:shd w:val="clear" w:color="000000" w:fill="F2F2F2"/>
            <w:hideMark/>
          </w:tcPr>
          <w:p w14:paraId="7D5941F1"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 xml:space="preserve">BAME researchers are offered mentoring and the chance to mentor through a cross-institutional scheme. </w:t>
            </w:r>
          </w:p>
        </w:tc>
        <w:tc>
          <w:tcPr>
            <w:tcW w:w="1134" w:type="dxa"/>
            <w:shd w:val="clear" w:color="000000" w:fill="F2F2F2"/>
            <w:hideMark/>
          </w:tcPr>
          <w:p w14:paraId="6443B236"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EDI </w:t>
            </w:r>
          </w:p>
        </w:tc>
        <w:tc>
          <w:tcPr>
            <w:tcW w:w="1276" w:type="dxa"/>
            <w:shd w:val="clear" w:color="000000" w:fill="F2F2F2"/>
            <w:hideMark/>
          </w:tcPr>
          <w:p w14:paraId="14189E9B"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Completed, ongoing commitment included in 2022-24 AP</w:t>
            </w:r>
          </w:p>
        </w:tc>
        <w:tc>
          <w:tcPr>
            <w:tcW w:w="3969" w:type="dxa"/>
            <w:shd w:val="clear" w:color="000000" w:fill="F2F2F2"/>
            <w:hideMark/>
          </w:tcPr>
          <w:p w14:paraId="0F8963BF"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UCL facilitates an annual mentoring programme across partner universities for BAME post docs to lecturers, beneficiaries include researchers.</w:t>
            </w:r>
          </w:p>
        </w:tc>
      </w:tr>
      <w:tr w:rsidR="00970819" w:rsidRPr="002466EA" w14:paraId="552FB715" w14:textId="77777777" w:rsidTr="008959B1">
        <w:trPr>
          <w:trHeight w:val="983"/>
        </w:trPr>
        <w:tc>
          <w:tcPr>
            <w:tcW w:w="1844" w:type="dxa"/>
            <w:vMerge/>
            <w:vAlign w:val="center"/>
            <w:hideMark/>
          </w:tcPr>
          <w:p w14:paraId="1C0FD567"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vMerge/>
            <w:vAlign w:val="center"/>
            <w:hideMark/>
          </w:tcPr>
          <w:p w14:paraId="267AA1B8" w14:textId="77777777" w:rsidR="00970819" w:rsidRPr="002466EA" w:rsidRDefault="00970819" w:rsidP="000E37E9">
            <w:pPr>
              <w:rPr>
                <w:rFonts w:ascii="Arial" w:eastAsia="Times New Roman" w:hAnsi="Arial" w:cs="Arial"/>
                <w:b/>
                <w:bCs/>
                <w:color w:val="000000"/>
                <w:sz w:val="18"/>
                <w:szCs w:val="18"/>
                <w:lang w:eastAsia="en-GB"/>
              </w:rPr>
            </w:pPr>
          </w:p>
        </w:tc>
        <w:tc>
          <w:tcPr>
            <w:tcW w:w="2357" w:type="dxa"/>
            <w:vMerge w:val="restart"/>
            <w:shd w:val="clear" w:color="000000" w:fill="F2F2F2"/>
            <w:hideMark/>
          </w:tcPr>
          <w:p w14:paraId="499AC664"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We will recognise, respect, and celebrate the diversity of our people by providing a flexible, accessible, and inclusive working environment.</w:t>
            </w:r>
          </w:p>
        </w:tc>
        <w:tc>
          <w:tcPr>
            <w:tcW w:w="3412" w:type="dxa"/>
            <w:shd w:val="clear" w:color="000000" w:fill="F2F2F2"/>
            <w:hideMark/>
          </w:tcPr>
          <w:p w14:paraId="51B9CD28"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 xml:space="preserve">Athena SWAN Silver Charter Mark is successfully retained. </w:t>
            </w:r>
          </w:p>
        </w:tc>
        <w:tc>
          <w:tcPr>
            <w:tcW w:w="1134" w:type="dxa"/>
            <w:shd w:val="clear" w:color="000000" w:fill="F2F2F2"/>
            <w:hideMark/>
          </w:tcPr>
          <w:p w14:paraId="600067C6"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EDI </w:t>
            </w:r>
          </w:p>
        </w:tc>
        <w:tc>
          <w:tcPr>
            <w:tcW w:w="1276" w:type="dxa"/>
            <w:shd w:val="clear" w:color="000000" w:fill="F2F2F2"/>
            <w:hideMark/>
          </w:tcPr>
          <w:p w14:paraId="0A99F485"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Completed</w:t>
            </w:r>
          </w:p>
        </w:tc>
        <w:tc>
          <w:tcPr>
            <w:tcW w:w="3969" w:type="dxa"/>
            <w:shd w:val="clear" w:color="000000" w:fill="F2F2F2"/>
            <w:hideMark/>
          </w:tcPr>
          <w:p w14:paraId="4F4640C5"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color w:val="000000"/>
                <w:sz w:val="18"/>
                <w:szCs w:val="18"/>
                <w:lang w:eastAsia="en-GB"/>
              </w:rPr>
              <w:t>Athena SWAN Silver Charter Mark is successfully retained in 2021.</w:t>
            </w:r>
          </w:p>
        </w:tc>
      </w:tr>
      <w:tr w:rsidR="00970819" w:rsidRPr="002466EA" w14:paraId="45516CF2" w14:textId="77777777" w:rsidTr="008959B1">
        <w:trPr>
          <w:trHeight w:val="1107"/>
        </w:trPr>
        <w:tc>
          <w:tcPr>
            <w:tcW w:w="1844" w:type="dxa"/>
            <w:vMerge/>
            <w:vAlign w:val="center"/>
            <w:hideMark/>
          </w:tcPr>
          <w:p w14:paraId="228F8197"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vMerge/>
            <w:vAlign w:val="center"/>
            <w:hideMark/>
          </w:tcPr>
          <w:p w14:paraId="766B32FA" w14:textId="77777777" w:rsidR="00970819" w:rsidRPr="002466EA" w:rsidRDefault="00970819" w:rsidP="000E37E9">
            <w:pPr>
              <w:rPr>
                <w:rFonts w:ascii="Arial" w:eastAsia="Times New Roman" w:hAnsi="Arial" w:cs="Arial"/>
                <w:b/>
                <w:bCs/>
                <w:color w:val="000000"/>
                <w:sz w:val="18"/>
                <w:szCs w:val="18"/>
                <w:lang w:eastAsia="en-GB"/>
              </w:rPr>
            </w:pPr>
          </w:p>
        </w:tc>
        <w:tc>
          <w:tcPr>
            <w:tcW w:w="2357" w:type="dxa"/>
            <w:vMerge/>
            <w:vAlign w:val="center"/>
            <w:hideMark/>
          </w:tcPr>
          <w:p w14:paraId="098F98B6" w14:textId="77777777" w:rsidR="00970819" w:rsidRPr="002466EA" w:rsidRDefault="00970819" w:rsidP="000E37E9">
            <w:pPr>
              <w:rPr>
                <w:rFonts w:ascii="Arial" w:eastAsia="Times New Roman" w:hAnsi="Arial" w:cs="Arial"/>
                <w:color w:val="000000"/>
                <w:sz w:val="18"/>
                <w:szCs w:val="18"/>
                <w:lang w:eastAsia="en-GB"/>
              </w:rPr>
            </w:pPr>
          </w:p>
        </w:tc>
        <w:tc>
          <w:tcPr>
            <w:tcW w:w="3412" w:type="dxa"/>
            <w:shd w:val="clear" w:color="000000" w:fill="F2F2F2"/>
            <w:hideMark/>
          </w:tcPr>
          <w:p w14:paraId="64E22334"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Disability Standard charter mark is successfully retained. </w:t>
            </w:r>
          </w:p>
        </w:tc>
        <w:tc>
          <w:tcPr>
            <w:tcW w:w="1134" w:type="dxa"/>
            <w:shd w:val="clear" w:color="000000" w:fill="F2F2F2"/>
            <w:hideMark/>
          </w:tcPr>
          <w:p w14:paraId="526D7EB8"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EDI </w:t>
            </w:r>
          </w:p>
        </w:tc>
        <w:tc>
          <w:tcPr>
            <w:tcW w:w="1276" w:type="dxa"/>
            <w:shd w:val="clear" w:color="000000" w:fill="F2F2F2"/>
            <w:hideMark/>
          </w:tcPr>
          <w:p w14:paraId="4DA34A36"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Carried over in 2022-24 AP</w:t>
            </w:r>
          </w:p>
        </w:tc>
        <w:tc>
          <w:tcPr>
            <w:tcW w:w="3969" w:type="dxa"/>
            <w:shd w:val="clear" w:color="000000" w:fill="F2F2F2"/>
            <w:hideMark/>
          </w:tcPr>
          <w:p w14:paraId="0C62CCA4"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A Disability Equality Implementation Group has been established to focus on and progress disability equity.</w:t>
            </w:r>
          </w:p>
        </w:tc>
      </w:tr>
      <w:tr w:rsidR="00970819" w:rsidRPr="002466EA" w14:paraId="63925D8A" w14:textId="77777777" w:rsidTr="008959B1">
        <w:trPr>
          <w:trHeight w:val="1707"/>
        </w:trPr>
        <w:tc>
          <w:tcPr>
            <w:tcW w:w="1844" w:type="dxa"/>
            <w:vMerge/>
            <w:vAlign w:val="center"/>
            <w:hideMark/>
          </w:tcPr>
          <w:p w14:paraId="5FCD50AF"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vMerge/>
            <w:vAlign w:val="center"/>
            <w:hideMark/>
          </w:tcPr>
          <w:p w14:paraId="629D426F" w14:textId="77777777" w:rsidR="00970819" w:rsidRPr="002466EA" w:rsidRDefault="00970819" w:rsidP="000E37E9">
            <w:pPr>
              <w:rPr>
                <w:rFonts w:ascii="Arial" w:eastAsia="Times New Roman" w:hAnsi="Arial" w:cs="Arial"/>
                <w:b/>
                <w:bCs/>
                <w:color w:val="000000"/>
                <w:sz w:val="18"/>
                <w:szCs w:val="18"/>
                <w:lang w:eastAsia="en-GB"/>
              </w:rPr>
            </w:pPr>
          </w:p>
        </w:tc>
        <w:tc>
          <w:tcPr>
            <w:tcW w:w="2357" w:type="dxa"/>
            <w:vMerge/>
            <w:vAlign w:val="center"/>
            <w:hideMark/>
          </w:tcPr>
          <w:p w14:paraId="460A75A4" w14:textId="77777777" w:rsidR="00970819" w:rsidRPr="002466EA" w:rsidRDefault="00970819" w:rsidP="000E37E9">
            <w:pPr>
              <w:rPr>
                <w:rFonts w:ascii="Arial" w:eastAsia="Times New Roman" w:hAnsi="Arial" w:cs="Arial"/>
                <w:color w:val="000000"/>
                <w:sz w:val="18"/>
                <w:szCs w:val="18"/>
                <w:lang w:eastAsia="en-GB"/>
              </w:rPr>
            </w:pPr>
          </w:p>
        </w:tc>
        <w:tc>
          <w:tcPr>
            <w:tcW w:w="3412" w:type="dxa"/>
            <w:shd w:val="clear" w:color="000000" w:fill="F2F2F2"/>
            <w:hideMark/>
          </w:tcPr>
          <w:p w14:paraId="1A4FDBD6"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UCL will host a conference on global best-practice prevention of sexual misconduct in June 2020 for which planning has begun. </w:t>
            </w:r>
          </w:p>
        </w:tc>
        <w:tc>
          <w:tcPr>
            <w:tcW w:w="1134" w:type="dxa"/>
            <w:shd w:val="clear" w:color="000000" w:fill="F2F2F2"/>
            <w:hideMark/>
          </w:tcPr>
          <w:p w14:paraId="04B1709F"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EDI </w:t>
            </w:r>
          </w:p>
        </w:tc>
        <w:tc>
          <w:tcPr>
            <w:tcW w:w="1276" w:type="dxa"/>
            <w:shd w:val="clear" w:color="000000" w:fill="F2F2F2"/>
            <w:hideMark/>
          </w:tcPr>
          <w:p w14:paraId="263A2901"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Completed</w:t>
            </w:r>
          </w:p>
        </w:tc>
        <w:tc>
          <w:tcPr>
            <w:tcW w:w="3969" w:type="dxa"/>
            <w:shd w:val="clear" w:color="000000" w:fill="F2F2F2"/>
            <w:hideMark/>
          </w:tcPr>
          <w:p w14:paraId="2043C968"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 xml:space="preserve">Conference took place virtually and attracted 350 delegates from numerous countries. UCL continues with programmes addressing bullying, </w:t>
            </w:r>
            <w:proofErr w:type="gramStart"/>
            <w:r w:rsidRPr="002466EA">
              <w:rPr>
                <w:rFonts w:ascii="Arial" w:eastAsia="Times New Roman" w:hAnsi="Arial" w:cs="Arial"/>
                <w:color w:val="000000"/>
                <w:sz w:val="18"/>
                <w:szCs w:val="18"/>
                <w:lang w:eastAsia="en-GB"/>
              </w:rPr>
              <w:t>harassment</w:t>
            </w:r>
            <w:proofErr w:type="gramEnd"/>
            <w:r w:rsidRPr="002466EA">
              <w:rPr>
                <w:rFonts w:ascii="Arial" w:eastAsia="Times New Roman" w:hAnsi="Arial" w:cs="Arial"/>
                <w:color w:val="000000"/>
                <w:sz w:val="18"/>
                <w:szCs w:val="18"/>
                <w:lang w:eastAsia="en-GB"/>
              </w:rPr>
              <w:t xml:space="preserve"> and sexual misconduct, overseen by the Prevention of Harmful Behaviours Working Group.</w:t>
            </w:r>
          </w:p>
        </w:tc>
      </w:tr>
      <w:tr w:rsidR="00970819" w:rsidRPr="002466EA" w14:paraId="572615EE" w14:textId="77777777" w:rsidTr="008959B1">
        <w:trPr>
          <w:trHeight w:val="2174"/>
        </w:trPr>
        <w:tc>
          <w:tcPr>
            <w:tcW w:w="1844" w:type="dxa"/>
            <w:vMerge/>
            <w:vAlign w:val="center"/>
            <w:hideMark/>
          </w:tcPr>
          <w:p w14:paraId="011B7145"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vMerge/>
            <w:vAlign w:val="center"/>
            <w:hideMark/>
          </w:tcPr>
          <w:p w14:paraId="14D51A64" w14:textId="77777777" w:rsidR="00970819" w:rsidRPr="002466EA" w:rsidRDefault="00970819" w:rsidP="000E37E9">
            <w:pPr>
              <w:rPr>
                <w:rFonts w:ascii="Arial" w:eastAsia="Times New Roman" w:hAnsi="Arial" w:cs="Arial"/>
                <w:b/>
                <w:bCs/>
                <w:color w:val="000000"/>
                <w:sz w:val="18"/>
                <w:szCs w:val="18"/>
                <w:lang w:eastAsia="en-GB"/>
              </w:rPr>
            </w:pPr>
          </w:p>
        </w:tc>
        <w:tc>
          <w:tcPr>
            <w:tcW w:w="2357" w:type="dxa"/>
            <w:vMerge/>
            <w:vAlign w:val="center"/>
            <w:hideMark/>
          </w:tcPr>
          <w:p w14:paraId="4E623C41" w14:textId="77777777" w:rsidR="00970819" w:rsidRPr="002466EA" w:rsidRDefault="00970819" w:rsidP="000E37E9">
            <w:pPr>
              <w:rPr>
                <w:rFonts w:ascii="Arial" w:eastAsia="Times New Roman" w:hAnsi="Arial" w:cs="Arial"/>
                <w:color w:val="000000"/>
                <w:sz w:val="18"/>
                <w:szCs w:val="18"/>
                <w:lang w:eastAsia="en-GB"/>
              </w:rPr>
            </w:pPr>
          </w:p>
        </w:tc>
        <w:tc>
          <w:tcPr>
            <w:tcW w:w="3412" w:type="dxa"/>
            <w:shd w:val="clear" w:color="000000" w:fill="F2F2F2"/>
            <w:hideMark/>
          </w:tcPr>
          <w:p w14:paraId="29AE6B5C"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New BAME leadership programme is designed and delivered to BAME staff, both research and professional services, as part of a suite of measures, including a new module in PI development module on inclusive leadership, to help foster a diverse community and improve rates of progression of BAME staff from grades 5 to 7, to 8, 9, 10 and above. </w:t>
            </w:r>
          </w:p>
        </w:tc>
        <w:tc>
          <w:tcPr>
            <w:tcW w:w="1134" w:type="dxa"/>
            <w:shd w:val="clear" w:color="000000" w:fill="F2F2F2"/>
            <w:hideMark/>
          </w:tcPr>
          <w:p w14:paraId="23596D35"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OD &amp; EDI </w:t>
            </w:r>
          </w:p>
        </w:tc>
        <w:tc>
          <w:tcPr>
            <w:tcW w:w="1276" w:type="dxa"/>
            <w:shd w:val="clear" w:color="000000" w:fill="F2F2F2"/>
            <w:hideMark/>
          </w:tcPr>
          <w:p w14:paraId="38BF5A5A"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Completed</w:t>
            </w:r>
          </w:p>
        </w:tc>
        <w:tc>
          <w:tcPr>
            <w:tcW w:w="3969" w:type="dxa"/>
            <w:shd w:val="clear" w:color="000000" w:fill="F2F2F2"/>
            <w:hideMark/>
          </w:tcPr>
          <w:p w14:paraId="1FFA0F35"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BAME leadership programme launched in 2020, PI training launched in 2021.</w:t>
            </w:r>
          </w:p>
        </w:tc>
      </w:tr>
      <w:tr w:rsidR="00970819" w:rsidRPr="002466EA" w14:paraId="45B930DD" w14:textId="77777777" w:rsidTr="008959B1">
        <w:trPr>
          <w:trHeight w:val="643"/>
        </w:trPr>
        <w:tc>
          <w:tcPr>
            <w:tcW w:w="1844" w:type="dxa"/>
            <w:vMerge/>
            <w:vAlign w:val="center"/>
            <w:hideMark/>
          </w:tcPr>
          <w:p w14:paraId="6B2435B5"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vMerge/>
            <w:vAlign w:val="center"/>
            <w:hideMark/>
          </w:tcPr>
          <w:p w14:paraId="672D5052" w14:textId="77777777" w:rsidR="00970819" w:rsidRPr="002466EA" w:rsidRDefault="00970819" w:rsidP="000E37E9">
            <w:pPr>
              <w:rPr>
                <w:rFonts w:ascii="Arial" w:eastAsia="Times New Roman" w:hAnsi="Arial" w:cs="Arial"/>
                <w:b/>
                <w:bCs/>
                <w:color w:val="000000"/>
                <w:sz w:val="18"/>
                <w:szCs w:val="18"/>
                <w:lang w:eastAsia="en-GB"/>
              </w:rPr>
            </w:pPr>
          </w:p>
        </w:tc>
        <w:tc>
          <w:tcPr>
            <w:tcW w:w="2357" w:type="dxa"/>
            <w:vMerge/>
            <w:vAlign w:val="center"/>
            <w:hideMark/>
          </w:tcPr>
          <w:p w14:paraId="506F4576" w14:textId="77777777" w:rsidR="00970819" w:rsidRPr="002466EA" w:rsidRDefault="00970819" w:rsidP="000E37E9">
            <w:pPr>
              <w:rPr>
                <w:rFonts w:ascii="Arial" w:eastAsia="Times New Roman" w:hAnsi="Arial" w:cs="Arial"/>
                <w:color w:val="000000"/>
                <w:sz w:val="18"/>
                <w:szCs w:val="18"/>
                <w:lang w:eastAsia="en-GB"/>
              </w:rPr>
            </w:pPr>
          </w:p>
        </w:tc>
        <w:tc>
          <w:tcPr>
            <w:tcW w:w="3412" w:type="dxa"/>
            <w:shd w:val="clear" w:color="000000" w:fill="F2F2F2"/>
            <w:hideMark/>
          </w:tcPr>
          <w:p w14:paraId="57C89A61"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Race Equality Charter Mark Bronze is successfully retained. </w:t>
            </w:r>
          </w:p>
        </w:tc>
        <w:tc>
          <w:tcPr>
            <w:tcW w:w="1134" w:type="dxa"/>
            <w:shd w:val="clear" w:color="000000" w:fill="F2F2F2"/>
            <w:hideMark/>
          </w:tcPr>
          <w:p w14:paraId="45D76543"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EDI </w:t>
            </w:r>
          </w:p>
        </w:tc>
        <w:tc>
          <w:tcPr>
            <w:tcW w:w="1276" w:type="dxa"/>
            <w:shd w:val="clear" w:color="000000" w:fill="F2F2F2"/>
            <w:hideMark/>
          </w:tcPr>
          <w:p w14:paraId="73549600"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Completed</w:t>
            </w:r>
          </w:p>
        </w:tc>
        <w:tc>
          <w:tcPr>
            <w:tcW w:w="3969" w:type="dxa"/>
            <w:shd w:val="clear" w:color="000000" w:fill="F2F2F2"/>
            <w:hideMark/>
          </w:tcPr>
          <w:p w14:paraId="0F0B75F7"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Race Equality Charter Mark Bronze is successfully retained in 2020.</w:t>
            </w:r>
          </w:p>
        </w:tc>
      </w:tr>
      <w:tr w:rsidR="00970819" w:rsidRPr="002466EA" w14:paraId="7FCFC0E1" w14:textId="77777777" w:rsidTr="008959B1">
        <w:trPr>
          <w:trHeight w:val="1067"/>
        </w:trPr>
        <w:tc>
          <w:tcPr>
            <w:tcW w:w="1844" w:type="dxa"/>
            <w:vMerge w:val="restart"/>
            <w:shd w:val="clear" w:color="000000" w:fill="002855"/>
            <w:hideMark/>
          </w:tcPr>
          <w:p w14:paraId="6C946799" w14:textId="77777777" w:rsidR="00970819" w:rsidRPr="002466EA" w:rsidRDefault="00970819" w:rsidP="000E37E9">
            <w:pPr>
              <w:rPr>
                <w:rFonts w:ascii="Arial" w:eastAsia="Times New Roman" w:hAnsi="Arial" w:cs="Arial"/>
                <w:b/>
                <w:bCs/>
                <w:color w:val="FFFFFF"/>
                <w:sz w:val="18"/>
                <w:szCs w:val="18"/>
                <w:lang w:eastAsia="en-GB"/>
              </w:rPr>
            </w:pPr>
            <w:r w:rsidRPr="002466EA">
              <w:rPr>
                <w:rFonts w:ascii="Arial" w:eastAsia="Times New Roman" w:hAnsi="Arial" w:cs="Arial"/>
                <w:b/>
                <w:bCs/>
                <w:color w:val="FFFFFF"/>
                <w:sz w:val="18"/>
                <w:szCs w:val="18"/>
                <w:lang w:eastAsia="en-GB"/>
              </w:rPr>
              <w:t>The sector and all stakeholders will undertake regular and collective review of their progress in strengthening the attractiveness and sustainability of</w:t>
            </w:r>
            <w:r w:rsidRPr="002466EA">
              <w:rPr>
                <w:rFonts w:ascii="Arial" w:eastAsia="Times New Roman" w:hAnsi="Arial" w:cs="Arial"/>
                <w:b/>
                <w:bCs/>
                <w:color w:val="FFFFFF"/>
                <w:sz w:val="18"/>
                <w:szCs w:val="18"/>
                <w:lang w:eastAsia="en-GB"/>
              </w:rPr>
              <w:br/>
              <w:t>research careers in the UK.</w:t>
            </w:r>
            <w:r w:rsidRPr="002466EA">
              <w:rPr>
                <w:rFonts w:ascii="Arial" w:eastAsia="Times New Roman" w:hAnsi="Arial" w:cs="Arial"/>
                <w:b/>
                <w:bCs/>
                <w:color w:val="FFFFFF"/>
                <w:sz w:val="18"/>
                <w:szCs w:val="18"/>
                <w:lang w:eastAsia="en-GB"/>
              </w:rPr>
              <w:br/>
              <w:t xml:space="preserve">Concordat </w:t>
            </w:r>
            <w:proofErr w:type="gramStart"/>
            <w:r w:rsidRPr="002466EA">
              <w:rPr>
                <w:rFonts w:ascii="Arial" w:eastAsia="Times New Roman" w:hAnsi="Arial" w:cs="Arial"/>
                <w:b/>
                <w:bCs/>
                <w:color w:val="FFFFFF"/>
                <w:sz w:val="18"/>
                <w:szCs w:val="18"/>
                <w:lang w:eastAsia="en-GB"/>
              </w:rPr>
              <w:t>Principle</w:t>
            </w:r>
            <w:proofErr w:type="gramEnd"/>
            <w:r w:rsidRPr="002466EA">
              <w:rPr>
                <w:rFonts w:ascii="Arial" w:eastAsia="Times New Roman" w:hAnsi="Arial" w:cs="Arial"/>
                <w:b/>
                <w:bCs/>
                <w:color w:val="FFFFFF"/>
                <w:sz w:val="18"/>
                <w:szCs w:val="18"/>
                <w:lang w:eastAsia="en-GB"/>
              </w:rPr>
              <w:t xml:space="preserve"> 7</w:t>
            </w:r>
          </w:p>
        </w:tc>
        <w:tc>
          <w:tcPr>
            <w:tcW w:w="1460" w:type="dxa"/>
            <w:vMerge w:val="restart"/>
            <w:shd w:val="clear" w:color="000000" w:fill="F6BE00"/>
            <w:hideMark/>
          </w:tcPr>
          <w:p w14:paraId="14574635" w14:textId="77777777" w:rsidR="00970819" w:rsidRPr="002466EA" w:rsidRDefault="00970819" w:rsidP="000E37E9">
            <w:pPr>
              <w:rPr>
                <w:rFonts w:ascii="Arial" w:eastAsia="Times New Roman" w:hAnsi="Arial" w:cs="Arial"/>
                <w:b/>
                <w:bCs/>
                <w:color w:val="000000"/>
                <w:sz w:val="18"/>
                <w:szCs w:val="18"/>
                <w:lang w:eastAsia="en-GB"/>
              </w:rPr>
            </w:pPr>
            <w:r w:rsidRPr="002466EA">
              <w:rPr>
                <w:rFonts w:ascii="Arial" w:eastAsia="Times New Roman" w:hAnsi="Arial" w:cs="Arial"/>
                <w:b/>
                <w:bCs/>
                <w:color w:val="000000"/>
                <w:sz w:val="18"/>
                <w:szCs w:val="18"/>
                <w:lang w:eastAsia="en-GB"/>
              </w:rPr>
              <w:t>Our processes, systems, policies, and behaviours will enable the success of the University and allow our people to thrive</w:t>
            </w:r>
          </w:p>
        </w:tc>
        <w:tc>
          <w:tcPr>
            <w:tcW w:w="2357" w:type="dxa"/>
            <w:shd w:val="clear" w:color="000000" w:fill="F2F2F2"/>
            <w:hideMark/>
          </w:tcPr>
          <w:p w14:paraId="732D08D6" w14:textId="77777777" w:rsidR="00970819" w:rsidRPr="002466EA" w:rsidRDefault="00970819" w:rsidP="000E37E9">
            <w:pPr>
              <w:rPr>
                <w:rFonts w:ascii="Arial" w:eastAsia="Times New Roman" w:hAnsi="Arial" w:cs="Arial"/>
                <w:color w:val="000000" w:themeColor="text1"/>
                <w:sz w:val="18"/>
                <w:szCs w:val="18"/>
                <w:lang w:eastAsia="en-GB"/>
              </w:rPr>
            </w:pPr>
            <w:r w:rsidRPr="002466EA">
              <w:rPr>
                <w:rFonts w:ascii="Arial" w:eastAsia="Times New Roman" w:hAnsi="Arial" w:cs="Arial"/>
                <w:color w:val="000000" w:themeColor="text1"/>
                <w:sz w:val="18"/>
                <w:szCs w:val="18"/>
                <w:lang w:eastAsia="en-GB"/>
              </w:rPr>
              <w:t xml:space="preserve">The RX Strategy will include a specific stream of work around encouraging playfulness and experimentation in research at UCL </w:t>
            </w:r>
          </w:p>
        </w:tc>
        <w:tc>
          <w:tcPr>
            <w:tcW w:w="3412" w:type="dxa"/>
            <w:shd w:val="clear" w:color="000000" w:fill="F2F2F2"/>
            <w:hideMark/>
          </w:tcPr>
          <w:p w14:paraId="21B8F2AE" w14:textId="77777777" w:rsidR="00970819" w:rsidRPr="002466EA" w:rsidRDefault="00970819" w:rsidP="000E37E9">
            <w:pPr>
              <w:rPr>
                <w:rFonts w:ascii="Arial" w:eastAsia="Times New Roman" w:hAnsi="Arial" w:cs="Arial"/>
                <w:color w:val="000000" w:themeColor="text1"/>
                <w:sz w:val="18"/>
                <w:szCs w:val="18"/>
                <w:lang w:eastAsia="en-GB"/>
              </w:rPr>
            </w:pPr>
            <w:r w:rsidRPr="002466EA">
              <w:rPr>
                <w:rFonts w:ascii="Arial" w:eastAsia="Times New Roman" w:hAnsi="Arial" w:cs="Arial"/>
                <w:color w:val="000000" w:themeColor="text1"/>
                <w:sz w:val="18"/>
                <w:szCs w:val="18"/>
                <w:lang w:eastAsia="en-GB"/>
              </w:rPr>
              <w:t xml:space="preserve">Flagship initiatives to encourage greater openness, collaboration and a playfulness are developed within Postdoc Appreciation Week. </w:t>
            </w:r>
          </w:p>
        </w:tc>
        <w:tc>
          <w:tcPr>
            <w:tcW w:w="1134" w:type="dxa"/>
            <w:shd w:val="clear" w:color="000000" w:fill="F2F2F2"/>
            <w:hideMark/>
          </w:tcPr>
          <w:p w14:paraId="4F42B748" w14:textId="77777777" w:rsidR="00970819" w:rsidRPr="002466EA" w:rsidRDefault="00970819" w:rsidP="000E37E9">
            <w:pPr>
              <w:rPr>
                <w:rFonts w:ascii="Arial" w:eastAsia="Times New Roman" w:hAnsi="Arial" w:cs="Arial"/>
                <w:color w:val="000000" w:themeColor="text1"/>
                <w:sz w:val="18"/>
                <w:szCs w:val="18"/>
                <w:lang w:eastAsia="en-GB"/>
              </w:rPr>
            </w:pPr>
            <w:r w:rsidRPr="002466EA">
              <w:rPr>
                <w:rFonts w:ascii="Arial" w:eastAsia="Times New Roman" w:hAnsi="Arial" w:cs="Arial"/>
                <w:color w:val="000000" w:themeColor="text1"/>
                <w:sz w:val="18"/>
                <w:szCs w:val="18"/>
                <w:lang w:eastAsia="en-GB"/>
              </w:rPr>
              <w:t xml:space="preserve">OD </w:t>
            </w:r>
          </w:p>
        </w:tc>
        <w:tc>
          <w:tcPr>
            <w:tcW w:w="1276" w:type="dxa"/>
            <w:shd w:val="clear" w:color="000000" w:fill="F2F2F2"/>
            <w:hideMark/>
          </w:tcPr>
          <w:p w14:paraId="4D7E163A" w14:textId="77777777" w:rsidR="00970819" w:rsidRPr="002466EA" w:rsidRDefault="00970819" w:rsidP="000E37E9">
            <w:pPr>
              <w:rPr>
                <w:rFonts w:ascii="Arial" w:eastAsia="Times New Roman" w:hAnsi="Arial" w:cs="Arial"/>
                <w:color w:val="000000" w:themeColor="text1"/>
                <w:sz w:val="18"/>
                <w:szCs w:val="18"/>
                <w:lang w:eastAsia="en-GB"/>
              </w:rPr>
            </w:pPr>
            <w:r w:rsidRPr="002466EA">
              <w:rPr>
                <w:rFonts w:ascii="Arial" w:eastAsia="Times New Roman" w:hAnsi="Arial" w:cs="Arial"/>
                <w:color w:val="000000" w:themeColor="text1"/>
                <w:sz w:val="18"/>
                <w:szCs w:val="18"/>
                <w:lang w:eastAsia="en-GB"/>
              </w:rPr>
              <w:t xml:space="preserve">Scratched </w:t>
            </w:r>
          </w:p>
        </w:tc>
        <w:tc>
          <w:tcPr>
            <w:tcW w:w="3969" w:type="dxa"/>
            <w:shd w:val="clear" w:color="000000" w:fill="F2F2F2"/>
            <w:hideMark/>
          </w:tcPr>
          <w:p w14:paraId="79279D70" w14:textId="21766C10" w:rsidR="00970819" w:rsidRPr="002466EA" w:rsidRDefault="004E5025" w:rsidP="000E37E9">
            <w:pPr>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While work on RX Strategy was discontinued, nurturing collaboration and co-creation, also in informal, playful manner, is encouraged via flagship initiatives (FESR, RLI).</w:t>
            </w:r>
          </w:p>
        </w:tc>
      </w:tr>
      <w:tr w:rsidR="00970819" w:rsidRPr="002466EA" w14:paraId="211B7111" w14:textId="77777777" w:rsidTr="008959B1">
        <w:trPr>
          <w:trHeight w:val="1390"/>
        </w:trPr>
        <w:tc>
          <w:tcPr>
            <w:tcW w:w="1844" w:type="dxa"/>
            <w:vMerge/>
            <w:vAlign w:val="center"/>
            <w:hideMark/>
          </w:tcPr>
          <w:p w14:paraId="602766DB"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vMerge/>
            <w:vAlign w:val="center"/>
            <w:hideMark/>
          </w:tcPr>
          <w:p w14:paraId="62A1C7C8" w14:textId="77777777" w:rsidR="00970819" w:rsidRPr="002466EA" w:rsidRDefault="00970819" w:rsidP="000E37E9">
            <w:pPr>
              <w:rPr>
                <w:rFonts w:ascii="Arial" w:eastAsia="Times New Roman" w:hAnsi="Arial" w:cs="Arial"/>
                <w:b/>
                <w:bCs/>
                <w:color w:val="000000"/>
                <w:sz w:val="18"/>
                <w:szCs w:val="18"/>
                <w:lang w:eastAsia="en-GB"/>
              </w:rPr>
            </w:pPr>
          </w:p>
        </w:tc>
        <w:tc>
          <w:tcPr>
            <w:tcW w:w="2357" w:type="dxa"/>
            <w:shd w:val="clear" w:color="000000" w:fill="F2F2F2"/>
            <w:hideMark/>
          </w:tcPr>
          <w:p w14:paraId="737A36E5"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 xml:space="preserve">Engage with Faculties and research staff to fulfil the requirements of the HREiR Action Plan </w:t>
            </w:r>
          </w:p>
        </w:tc>
        <w:tc>
          <w:tcPr>
            <w:tcW w:w="3412" w:type="dxa"/>
            <w:shd w:val="clear" w:color="000000" w:fill="F2F2F2"/>
            <w:hideMark/>
          </w:tcPr>
          <w:p w14:paraId="3298D6F8"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RSCG, UCL Liaison Committee and Postdoc Appreciation Week all provide a forum for regular and specific engagement activities to provide a forum for reviewing, developing, and delivering this action plan. </w:t>
            </w:r>
          </w:p>
        </w:tc>
        <w:tc>
          <w:tcPr>
            <w:tcW w:w="1134" w:type="dxa"/>
            <w:shd w:val="clear" w:color="000000" w:fill="F2F2F2"/>
            <w:hideMark/>
          </w:tcPr>
          <w:p w14:paraId="2C7BB19A"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OD </w:t>
            </w:r>
          </w:p>
        </w:tc>
        <w:tc>
          <w:tcPr>
            <w:tcW w:w="1276" w:type="dxa"/>
            <w:shd w:val="clear" w:color="000000" w:fill="F2F2F2"/>
            <w:hideMark/>
          </w:tcPr>
          <w:p w14:paraId="20591BB1"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Completed, ongoing commitment included in 2022-24 AP</w:t>
            </w:r>
          </w:p>
        </w:tc>
        <w:tc>
          <w:tcPr>
            <w:tcW w:w="3969" w:type="dxa"/>
            <w:shd w:val="clear" w:color="000000" w:fill="F2F2F2"/>
            <w:noWrap/>
            <w:hideMark/>
          </w:tcPr>
          <w:p w14:paraId="1588185D"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 xml:space="preserve">RSCG continue to meet on termly basis, Festival of Early-Stage Researcher Town Hall event in 2022 included a Q&amp;A with senior academics, the </w:t>
            </w:r>
            <w:proofErr w:type="gramStart"/>
            <w:r w:rsidRPr="002466EA">
              <w:rPr>
                <w:rFonts w:ascii="Arial" w:eastAsia="Times New Roman" w:hAnsi="Arial" w:cs="Arial"/>
                <w:color w:val="000000"/>
                <w:sz w:val="18"/>
                <w:szCs w:val="18"/>
                <w:lang w:eastAsia="en-GB"/>
              </w:rPr>
              <w:t>Provost</w:t>
            </w:r>
            <w:proofErr w:type="gramEnd"/>
            <w:r w:rsidRPr="002466EA">
              <w:rPr>
                <w:rFonts w:ascii="Arial" w:eastAsia="Times New Roman" w:hAnsi="Arial" w:cs="Arial"/>
                <w:color w:val="000000"/>
                <w:sz w:val="18"/>
                <w:szCs w:val="18"/>
                <w:lang w:eastAsia="en-GB"/>
              </w:rPr>
              <w:t xml:space="preserve">, and Pro-Vice-Provost Doctoral School. </w:t>
            </w:r>
          </w:p>
        </w:tc>
      </w:tr>
      <w:tr w:rsidR="00970819" w:rsidRPr="002466EA" w14:paraId="64C248E0" w14:textId="77777777" w:rsidTr="008959B1">
        <w:trPr>
          <w:trHeight w:val="2066"/>
        </w:trPr>
        <w:tc>
          <w:tcPr>
            <w:tcW w:w="1844" w:type="dxa"/>
            <w:vMerge/>
            <w:vAlign w:val="center"/>
            <w:hideMark/>
          </w:tcPr>
          <w:p w14:paraId="34CD6561" w14:textId="77777777" w:rsidR="00970819" w:rsidRPr="002466EA" w:rsidRDefault="00970819" w:rsidP="000E37E9">
            <w:pPr>
              <w:rPr>
                <w:rFonts w:ascii="Arial" w:eastAsia="Times New Roman" w:hAnsi="Arial" w:cs="Arial"/>
                <w:b/>
                <w:bCs/>
                <w:color w:val="FFFFFF"/>
                <w:sz w:val="18"/>
                <w:szCs w:val="18"/>
                <w:lang w:eastAsia="en-GB"/>
              </w:rPr>
            </w:pPr>
          </w:p>
        </w:tc>
        <w:tc>
          <w:tcPr>
            <w:tcW w:w="1460" w:type="dxa"/>
            <w:vMerge/>
            <w:vAlign w:val="center"/>
            <w:hideMark/>
          </w:tcPr>
          <w:p w14:paraId="46B709AA" w14:textId="77777777" w:rsidR="00970819" w:rsidRPr="002466EA" w:rsidRDefault="00970819" w:rsidP="000E37E9">
            <w:pPr>
              <w:rPr>
                <w:rFonts w:ascii="Arial" w:eastAsia="Times New Roman" w:hAnsi="Arial" w:cs="Arial"/>
                <w:b/>
                <w:bCs/>
                <w:color w:val="000000"/>
                <w:sz w:val="18"/>
                <w:szCs w:val="18"/>
                <w:lang w:eastAsia="en-GB"/>
              </w:rPr>
            </w:pPr>
          </w:p>
        </w:tc>
        <w:tc>
          <w:tcPr>
            <w:tcW w:w="2357" w:type="dxa"/>
            <w:shd w:val="clear" w:color="000000" w:fill="EDEDED"/>
            <w:hideMark/>
          </w:tcPr>
          <w:p w14:paraId="76FA86E9"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 xml:space="preserve">UCL will continue to liaise with Vitae and other institutions, sector-wide, to share best practice in researcher development and the researcher experience </w:t>
            </w:r>
          </w:p>
        </w:tc>
        <w:tc>
          <w:tcPr>
            <w:tcW w:w="3412" w:type="dxa"/>
            <w:shd w:val="clear" w:color="000000" w:fill="EDEDED"/>
            <w:hideMark/>
          </w:tcPr>
          <w:p w14:paraId="041695C7"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 xml:space="preserve">UCL provides leadership in researcher development and researcher experience through flagship initiatives and effective practices. As a signatory of the Concordat to Support the Career Development of Researchers 2019, UCL contributes to work within the sector, and uses this action plan as a means of monitoring our progress against our commitment. </w:t>
            </w:r>
          </w:p>
        </w:tc>
        <w:tc>
          <w:tcPr>
            <w:tcW w:w="1134" w:type="dxa"/>
            <w:shd w:val="clear" w:color="000000" w:fill="EDEDED"/>
            <w:hideMark/>
          </w:tcPr>
          <w:p w14:paraId="717CB3F4" w14:textId="77777777" w:rsidR="00970819" w:rsidRPr="002466EA" w:rsidRDefault="00970819" w:rsidP="000E37E9">
            <w:pPr>
              <w:rPr>
                <w:rFonts w:ascii="Arial" w:eastAsia="Times New Roman" w:hAnsi="Arial" w:cs="Arial"/>
                <w:sz w:val="18"/>
                <w:szCs w:val="18"/>
                <w:lang w:eastAsia="en-GB"/>
              </w:rPr>
            </w:pPr>
            <w:r w:rsidRPr="002466EA">
              <w:rPr>
                <w:rFonts w:ascii="Arial" w:eastAsia="Times New Roman" w:hAnsi="Arial" w:cs="Arial"/>
                <w:sz w:val="18"/>
                <w:szCs w:val="18"/>
                <w:lang w:eastAsia="en-GB"/>
              </w:rPr>
              <w:t>OD</w:t>
            </w:r>
          </w:p>
        </w:tc>
        <w:tc>
          <w:tcPr>
            <w:tcW w:w="1276" w:type="dxa"/>
            <w:shd w:val="clear" w:color="000000" w:fill="EDEDED"/>
            <w:hideMark/>
          </w:tcPr>
          <w:p w14:paraId="58108E7A"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Completed, ongoing commitment included in 2022-24 AP</w:t>
            </w:r>
          </w:p>
        </w:tc>
        <w:tc>
          <w:tcPr>
            <w:tcW w:w="3969" w:type="dxa"/>
            <w:shd w:val="clear" w:color="000000" w:fill="EDEDED"/>
            <w:noWrap/>
            <w:hideMark/>
          </w:tcPr>
          <w:p w14:paraId="0E36BB76" w14:textId="77777777" w:rsidR="00970819" w:rsidRPr="002466EA" w:rsidRDefault="00970819"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 xml:space="preserve">UCL continues to share best practices across sector via R14, LERU and Vitae.  </w:t>
            </w:r>
          </w:p>
        </w:tc>
      </w:tr>
    </w:tbl>
    <w:p w14:paraId="232E14C6" w14:textId="77777777" w:rsidR="00970819" w:rsidRPr="00970819" w:rsidRDefault="00970819" w:rsidP="00970819"/>
    <w:sectPr w:rsidR="00970819" w:rsidRPr="00970819" w:rsidSect="008959B1">
      <w:footerReference w:type="default" r:id="rId7"/>
      <w:headerReference w:type="first" r:id="rId8"/>
      <w:footerReference w:type="first" r:id="rId9"/>
      <w:pgSz w:w="16840" w:h="11900" w:orient="landscape"/>
      <w:pgMar w:top="851" w:right="2835" w:bottom="851" w:left="1559" w:header="2438" w:footer="24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10DA5" w14:textId="77777777" w:rsidR="00747E7D" w:rsidRDefault="00747E7D" w:rsidP="00970819">
      <w:r>
        <w:separator/>
      </w:r>
    </w:p>
  </w:endnote>
  <w:endnote w:type="continuationSeparator" w:id="0">
    <w:p w14:paraId="26CE7E20" w14:textId="77777777" w:rsidR="00747E7D" w:rsidRDefault="00747E7D" w:rsidP="0097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E419" w14:textId="34D99B57" w:rsidR="000A517F" w:rsidRPr="000A517F" w:rsidRDefault="000A517F" w:rsidP="000A517F">
    <w:pPr>
      <w:pStyle w:val="Footer"/>
      <w:jc w:val="center"/>
      <w:rPr>
        <w:rFonts w:ascii="Arial" w:hAnsi="Arial" w:cs="Arial"/>
        <w:sz w:val="22"/>
        <w:szCs w:val="22"/>
      </w:rPr>
    </w:pPr>
    <w:r w:rsidRPr="000A517F">
      <w:rPr>
        <w:rFonts w:ascii="Arial" w:hAnsi="Arial" w:cs="Arial"/>
        <w:i/>
        <w:iCs/>
        <w:sz w:val="22"/>
        <w:szCs w:val="22"/>
      </w:rPr>
      <w:t>UCL HR</w:t>
    </w:r>
    <w:r>
      <w:rPr>
        <w:rFonts w:ascii="Arial" w:hAnsi="Arial" w:cs="Arial"/>
        <w:i/>
        <w:iCs/>
        <w:sz w:val="22"/>
        <w:szCs w:val="22"/>
      </w:rPr>
      <w:t xml:space="preserve">EiR </w:t>
    </w:r>
    <w:r w:rsidRPr="000A517F">
      <w:rPr>
        <w:rFonts w:ascii="Arial" w:hAnsi="Arial" w:cs="Arial"/>
        <w:i/>
        <w:iCs/>
        <w:sz w:val="22"/>
        <w:szCs w:val="22"/>
      </w:rPr>
      <w:t>Progress Report 2019-21</w:t>
    </w:r>
    <w:r w:rsidRPr="000A517F">
      <w:rPr>
        <w:rFonts w:ascii="Arial" w:hAnsi="Arial" w:cs="Arial"/>
        <w:sz w:val="22"/>
        <w:szCs w:val="22"/>
      </w:rPr>
      <w:t xml:space="preserve">, </w:t>
    </w:r>
    <w:sdt>
      <w:sdtPr>
        <w:rPr>
          <w:rFonts w:ascii="Arial" w:hAnsi="Arial" w:cs="Arial"/>
          <w:b/>
          <w:bCs/>
          <w:sz w:val="22"/>
          <w:szCs w:val="22"/>
        </w:rPr>
        <w:id w:val="-853719659"/>
        <w:docPartObj>
          <w:docPartGallery w:val="Page Numbers (Bottom of Page)"/>
          <w:docPartUnique/>
        </w:docPartObj>
      </w:sdtPr>
      <w:sdtEndPr>
        <w:rPr>
          <w:noProof/>
        </w:rPr>
      </w:sdtEndPr>
      <w:sdtContent>
        <w:r w:rsidRPr="000A517F">
          <w:rPr>
            <w:rFonts w:ascii="Arial" w:hAnsi="Arial" w:cs="Arial"/>
            <w:b/>
            <w:bCs/>
            <w:sz w:val="22"/>
            <w:szCs w:val="22"/>
          </w:rPr>
          <w:t xml:space="preserve">Page  </w:t>
        </w:r>
        <w:r w:rsidRPr="000A517F">
          <w:rPr>
            <w:rFonts w:ascii="Arial" w:hAnsi="Arial" w:cs="Arial"/>
            <w:b/>
            <w:bCs/>
            <w:sz w:val="22"/>
            <w:szCs w:val="22"/>
          </w:rPr>
          <w:fldChar w:fldCharType="begin"/>
        </w:r>
        <w:r w:rsidRPr="000A517F">
          <w:rPr>
            <w:rFonts w:ascii="Arial" w:hAnsi="Arial" w:cs="Arial"/>
            <w:b/>
            <w:bCs/>
            <w:sz w:val="22"/>
            <w:szCs w:val="22"/>
          </w:rPr>
          <w:instrText xml:space="preserve"> PAGE   \* MERGEFORMAT </w:instrText>
        </w:r>
        <w:r w:rsidRPr="000A517F">
          <w:rPr>
            <w:rFonts w:ascii="Arial" w:hAnsi="Arial" w:cs="Arial"/>
            <w:b/>
            <w:bCs/>
            <w:sz w:val="22"/>
            <w:szCs w:val="22"/>
          </w:rPr>
          <w:fldChar w:fldCharType="separate"/>
        </w:r>
        <w:r>
          <w:rPr>
            <w:rFonts w:ascii="Arial" w:hAnsi="Arial" w:cs="Arial"/>
            <w:b/>
            <w:bCs/>
            <w:sz w:val="22"/>
            <w:szCs w:val="22"/>
          </w:rPr>
          <w:t>1</w:t>
        </w:r>
        <w:r w:rsidRPr="000A517F">
          <w:rPr>
            <w:rFonts w:ascii="Arial" w:hAnsi="Arial" w:cs="Arial"/>
            <w:b/>
            <w:bCs/>
            <w:noProof/>
            <w:sz w:val="22"/>
            <w:szCs w:val="22"/>
          </w:rPr>
          <w:fldChar w:fldCharType="end"/>
        </w:r>
        <w:r>
          <w:rPr>
            <w:rFonts w:ascii="Arial" w:hAnsi="Arial" w:cs="Arial"/>
            <w:b/>
            <w:bCs/>
            <w:noProof/>
            <w:sz w:val="22"/>
            <w:szCs w:val="22"/>
          </w:rPr>
          <w:t xml:space="preserve"> </w:t>
        </w:r>
        <w:r w:rsidRPr="000A517F">
          <w:rPr>
            <w:rFonts w:ascii="Arial" w:hAnsi="Arial" w:cs="Arial"/>
            <w:b/>
            <w:bCs/>
            <w:noProof/>
            <w:sz w:val="22"/>
            <w:szCs w:val="22"/>
          </w:rPr>
          <w:t>/</w:t>
        </w:r>
        <w:r>
          <w:rPr>
            <w:rFonts w:ascii="Arial" w:hAnsi="Arial" w:cs="Arial"/>
            <w:b/>
            <w:bCs/>
            <w:noProof/>
            <w:sz w:val="22"/>
            <w:szCs w:val="22"/>
          </w:rPr>
          <w:t xml:space="preserve"> 8</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C33D" w14:textId="53DD2E3C" w:rsidR="000A517F" w:rsidRPr="000A517F" w:rsidRDefault="000A517F" w:rsidP="000A517F">
    <w:pPr>
      <w:pStyle w:val="Footer"/>
      <w:jc w:val="center"/>
      <w:rPr>
        <w:rFonts w:ascii="Arial" w:hAnsi="Arial" w:cs="Arial"/>
        <w:sz w:val="22"/>
        <w:szCs w:val="22"/>
      </w:rPr>
    </w:pPr>
    <w:r w:rsidRPr="000A517F">
      <w:rPr>
        <w:rFonts w:ascii="Arial" w:hAnsi="Arial" w:cs="Arial"/>
        <w:i/>
        <w:iCs/>
        <w:sz w:val="22"/>
        <w:szCs w:val="22"/>
      </w:rPr>
      <w:t>UCL HR Excellence in Research 2019-21 Progress Report</w:t>
    </w:r>
    <w:r w:rsidRPr="000A517F">
      <w:rPr>
        <w:rFonts w:ascii="Arial" w:hAnsi="Arial" w:cs="Arial"/>
        <w:sz w:val="22"/>
        <w:szCs w:val="22"/>
      </w:rPr>
      <w:t xml:space="preserve">, </w:t>
    </w:r>
    <w:sdt>
      <w:sdtPr>
        <w:rPr>
          <w:rFonts w:ascii="Arial" w:hAnsi="Arial" w:cs="Arial"/>
          <w:b/>
          <w:bCs/>
          <w:sz w:val="22"/>
          <w:szCs w:val="22"/>
        </w:rPr>
        <w:id w:val="1783991210"/>
        <w:docPartObj>
          <w:docPartGallery w:val="Page Numbers (Bottom of Page)"/>
          <w:docPartUnique/>
        </w:docPartObj>
      </w:sdtPr>
      <w:sdtEndPr>
        <w:rPr>
          <w:noProof/>
        </w:rPr>
      </w:sdtEndPr>
      <w:sdtContent>
        <w:r w:rsidRPr="000A517F">
          <w:rPr>
            <w:rFonts w:ascii="Arial" w:hAnsi="Arial" w:cs="Arial"/>
            <w:b/>
            <w:bCs/>
            <w:sz w:val="22"/>
            <w:szCs w:val="22"/>
          </w:rPr>
          <w:t xml:space="preserve">Page  </w:t>
        </w:r>
        <w:r w:rsidRPr="000A517F">
          <w:rPr>
            <w:rFonts w:ascii="Arial" w:hAnsi="Arial" w:cs="Arial"/>
            <w:b/>
            <w:bCs/>
            <w:sz w:val="22"/>
            <w:szCs w:val="22"/>
          </w:rPr>
          <w:fldChar w:fldCharType="begin"/>
        </w:r>
        <w:r w:rsidRPr="000A517F">
          <w:rPr>
            <w:rFonts w:ascii="Arial" w:hAnsi="Arial" w:cs="Arial"/>
            <w:b/>
            <w:bCs/>
            <w:sz w:val="22"/>
            <w:szCs w:val="22"/>
          </w:rPr>
          <w:instrText xml:space="preserve"> PAGE   \* MERGEFORMAT </w:instrText>
        </w:r>
        <w:r w:rsidRPr="000A517F">
          <w:rPr>
            <w:rFonts w:ascii="Arial" w:hAnsi="Arial" w:cs="Arial"/>
            <w:b/>
            <w:bCs/>
            <w:sz w:val="22"/>
            <w:szCs w:val="22"/>
          </w:rPr>
          <w:fldChar w:fldCharType="separate"/>
        </w:r>
        <w:r w:rsidRPr="000A517F">
          <w:rPr>
            <w:rFonts w:ascii="Arial" w:hAnsi="Arial" w:cs="Arial"/>
            <w:b/>
            <w:bCs/>
            <w:noProof/>
            <w:sz w:val="22"/>
            <w:szCs w:val="22"/>
          </w:rPr>
          <w:t>2</w:t>
        </w:r>
        <w:r w:rsidRPr="000A517F">
          <w:rPr>
            <w:rFonts w:ascii="Arial" w:hAnsi="Arial" w:cs="Arial"/>
            <w:b/>
            <w:bCs/>
            <w:noProof/>
            <w:sz w:val="22"/>
            <w:szCs w:val="22"/>
          </w:rPr>
          <w:fldChar w:fldCharType="end"/>
        </w:r>
        <w:r w:rsidRPr="000A517F">
          <w:rPr>
            <w:rFonts w:ascii="Arial" w:hAnsi="Arial" w:cs="Arial"/>
            <w:b/>
            <w:bCs/>
            <w:noProof/>
            <w:sz w:val="22"/>
            <w:szCs w:val="22"/>
          </w:rPr>
          <w:t>/</w:t>
        </w:r>
        <w:r>
          <w:rPr>
            <w:rFonts w:ascii="Arial" w:hAnsi="Arial" w:cs="Arial"/>
            <w:b/>
            <w:bCs/>
            <w:noProof/>
            <w:sz w:val="22"/>
            <w:szCs w:val="22"/>
          </w:rPr>
          <w:t>8</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9FFA" w14:textId="77777777" w:rsidR="00747E7D" w:rsidRDefault="00747E7D" w:rsidP="00970819">
      <w:r>
        <w:separator/>
      </w:r>
    </w:p>
  </w:footnote>
  <w:footnote w:type="continuationSeparator" w:id="0">
    <w:p w14:paraId="634972B7" w14:textId="77777777" w:rsidR="00747E7D" w:rsidRDefault="00747E7D" w:rsidP="00970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71F4" w14:textId="337D388C" w:rsidR="00970819" w:rsidRDefault="00970819" w:rsidP="0097081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TNq2t7ZHQNSQSttUQwyXrkhJ1BlQuV20w+Q5/1JjF2+GwNgEfB4odQb7xQ4/9xNbN6/zyC5ti0/xU8R7ofp/g==" w:salt="+35WWxfh8v2wU7sJU79Pt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FF"/>
    <w:rsid w:val="000A517F"/>
    <w:rsid w:val="00382926"/>
    <w:rsid w:val="004E5025"/>
    <w:rsid w:val="005943D2"/>
    <w:rsid w:val="006A2A5B"/>
    <w:rsid w:val="00747E7D"/>
    <w:rsid w:val="007C6061"/>
    <w:rsid w:val="00857BFF"/>
    <w:rsid w:val="008959B1"/>
    <w:rsid w:val="008E6E1B"/>
    <w:rsid w:val="00970819"/>
    <w:rsid w:val="00A1072B"/>
    <w:rsid w:val="00D01E00"/>
    <w:rsid w:val="00D7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F51E8"/>
  <w15:chartTrackingRefBased/>
  <w15:docId w15:val="{27737FAB-964A-4B7C-BF2B-73017172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819"/>
    <w:pPr>
      <w:spacing w:after="0" w:line="240" w:lineRule="auto"/>
    </w:pPr>
    <w:rPr>
      <w:rFonts w:ascii="Helvetica Neue" w:eastAsiaTheme="minorEastAsia" w:hAnsi="Helvetica Neue" w:cs="Times New Roman"/>
      <w:sz w:val="24"/>
      <w:szCs w:val="24"/>
      <w:lang w:eastAsia="ja-JP"/>
    </w:rPr>
  </w:style>
  <w:style w:type="paragraph" w:styleId="Heading1">
    <w:name w:val="heading 1"/>
    <w:basedOn w:val="Normal"/>
    <w:next w:val="Normal"/>
    <w:link w:val="Heading1Char"/>
    <w:uiPriority w:val="9"/>
    <w:qFormat/>
    <w:rsid w:val="008959B1"/>
    <w:pPr>
      <w:outlineLvl w:val="0"/>
    </w:pPr>
    <w:rPr>
      <w:rFonts w:ascii="Arial" w:hAnsi="Arial" w:cs="Arial"/>
      <w:b/>
      <w:bCs/>
      <w:noProo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819"/>
    <w:pPr>
      <w:tabs>
        <w:tab w:val="center" w:pos="4513"/>
        <w:tab w:val="right" w:pos="9026"/>
      </w:tabs>
    </w:pPr>
  </w:style>
  <w:style w:type="character" w:customStyle="1" w:styleId="HeaderChar">
    <w:name w:val="Header Char"/>
    <w:basedOn w:val="DefaultParagraphFont"/>
    <w:link w:val="Header"/>
    <w:uiPriority w:val="99"/>
    <w:rsid w:val="00970819"/>
    <w:rPr>
      <w:rFonts w:ascii="Helvetica Neue" w:eastAsiaTheme="minorEastAsia" w:hAnsi="Helvetica Neue" w:cs="Times New Roman"/>
      <w:sz w:val="24"/>
      <w:szCs w:val="24"/>
      <w:lang w:eastAsia="ja-JP"/>
    </w:rPr>
  </w:style>
  <w:style w:type="paragraph" w:styleId="Footer">
    <w:name w:val="footer"/>
    <w:basedOn w:val="Normal"/>
    <w:link w:val="FooterChar"/>
    <w:uiPriority w:val="99"/>
    <w:unhideWhenUsed/>
    <w:rsid w:val="00970819"/>
    <w:pPr>
      <w:tabs>
        <w:tab w:val="center" w:pos="4513"/>
        <w:tab w:val="right" w:pos="9026"/>
      </w:tabs>
    </w:pPr>
  </w:style>
  <w:style w:type="character" w:customStyle="1" w:styleId="FooterChar">
    <w:name w:val="Footer Char"/>
    <w:basedOn w:val="DefaultParagraphFont"/>
    <w:link w:val="Footer"/>
    <w:uiPriority w:val="99"/>
    <w:rsid w:val="00970819"/>
    <w:rPr>
      <w:rFonts w:ascii="Helvetica Neue" w:eastAsiaTheme="minorEastAsia" w:hAnsi="Helvetica Neue" w:cs="Times New Roman"/>
      <w:sz w:val="24"/>
      <w:szCs w:val="24"/>
      <w:lang w:eastAsia="ja-JP"/>
    </w:rPr>
  </w:style>
  <w:style w:type="character" w:customStyle="1" w:styleId="Heading1Char">
    <w:name w:val="Heading 1 Char"/>
    <w:basedOn w:val="DefaultParagraphFont"/>
    <w:link w:val="Heading1"/>
    <w:uiPriority w:val="9"/>
    <w:rsid w:val="008959B1"/>
    <w:rPr>
      <w:rFonts w:ascii="Arial" w:eastAsiaTheme="minorEastAsia" w:hAnsi="Arial" w:cs="Arial"/>
      <w:b/>
      <w:bCs/>
      <w:noProof/>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3053</Words>
  <Characters>17405</Characters>
  <Application>Microsoft Office Word</Application>
  <DocSecurity>8</DocSecurity>
  <Lines>145</Lines>
  <Paragraphs>40</Paragraphs>
  <ScaleCrop>false</ScaleCrop>
  <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Kasia</dc:creator>
  <cp:keywords/>
  <dc:description/>
  <cp:lastModifiedBy>Bronk, Kasia</cp:lastModifiedBy>
  <cp:revision>3</cp:revision>
  <dcterms:created xsi:type="dcterms:W3CDTF">2022-07-07T15:48:00Z</dcterms:created>
  <dcterms:modified xsi:type="dcterms:W3CDTF">2022-07-07T15:49:00Z</dcterms:modified>
</cp:coreProperties>
</file>