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C393C" w:rsidP="00DB3E1E" w:rsidRDefault="00DB3E1E" w14:paraId="72D2C73C" w14:textId="3C539668">
      <w:pPr>
        <w:jc w:val="center"/>
        <w:rPr>
          <w:b/>
          <w:bCs w:val="0"/>
        </w:rPr>
      </w:pPr>
      <w:r>
        <w:rPr>
          <w:b/>
          <w:bCs w:val="0"/>
        </w:rPr>
        <w:t xml:space="preserve">How to Complete the Voluntary Resignation </w:t>
      </w:r>
      <w:r w:rsidRPr="023C019F" w:rsidR="2E7C7AF5">
        <w:rPr>
          <w:b/>
        </w:rPr>
        <w:t>payment estimator</w:t>
      </w:r>
    </w:p>
    <w:p w:rsidR="00DB3E1E" w:rsidP="00DB3E1E" w:rsidRDefault="00DB3E1E" w14:paraId="25B1B3CC" w14:textId="2D4B7011">
      <w:pPr>
        <w:jc w:val="center"/>
        <w:rPr>
          <w:b/>
          <w:bCs w:val="0"/>
        </w:rPr>
      </w:pPr>
    </w:p>
    <w:p w:rsidR="00DB3E1E" w:rsidP="00DB3E1E" w:rsidRDefault="00DB3E1E" w14:paraId="4216FAEE" w14:textId="4C82770B">
      <w:r>
        <w:t>You will need to complete the following 6 fields only, and the rest will be automatically calculated:</w:t>
      </w:r>
    </w:p>
    <w:p w:rsidR="00DB3E1E" w:rsidP="00DB3E1E" w:rsidRDefault="00DB3E1E" w14:paraId="1E26AFEC" w14:textId="4D37BC69"/>
    <w:tbl>
      <w:tblPr>
        <w:tblW w:w="6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  <w:tblCaption w:val="Estimator fields "/>
        <w:tblDescription w:val="This picture shows the fields that need to be completed in the estimator"/>
      </w:tblPr>
      <w:tblGrid>
        <w:gridCol w:w="5000"/>
        <w:gridCol w:w="1240"/>
      </w:tblGrid>
      <w:tr w:rsidRPr="00DB3E1E" w:rsidR="00DB3E1E" w:rsidTr="023C019F" w14:paraId="2CD79E27" w14:textId="77777777">
        <w:trPr>
          <w:trHeight w:val="285"/>
        </w:trPr>
        <w:tc>
          <w:tcPr>
            <w:tcW w:w="500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/>
            <w:vAlign w:val="bottom"/>
            <w:hideMark/>
          </w:tcPr>
          <w:p w:rsidRPr="00DB3E1E" w:rsidR="00DB3E1E" w:rsidP="00DB3E1E" w:rsidRDefault="00DB3E1E" w14:paraId="7BED508B" w14:textId="77777777">
            <w:pPr>
              <w:spacing w:line="240" w:lineRule="auto"/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</w:pPr>
            <w:r w:rsidRPr="00DB3E1E"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  <w:t>Annual salary (full time equivalent)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00"/>
            <w:noWrap/>
            <w:vAlign w:val="bottom"/>
          </w:tcPr>
          <w:p w:rsidRPr="00DB3E1E" w:rsidR="00DB3E1E" w:rsidP="00DB3E1E" w:rsidRDefault="00DB3E1E" w14:paraId="5A37E1A0" w14:textId="4E649518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</w:pPr>
          </w:p>
        </w:tc>
      </w:tr>
      <w:tr w:rsidRPr="00DB3E1E" w:rsidR="00DB3E1E" w:rsidTr="023C019F" w14:paraId="73B02C1C" w14:textId="77777777">
        <w:trPr>
          <w:trHeight w:val="285"/>
        </w:trPr>
        <w:tc>
          <w:tcPr>
            <w:tcW w:w="500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  <w:hideMark/>
          </w:tcPr>
          <w:p w:rsidRPr="00DB3E1E" w:rsidR="00DB3E1E" w:rsidP="00DB3E1E" w:rsidRDefault="00DB3E1E" w14:paraId="66DB0EA4" w14:textId="77777777">
            <w:pPr>
              <w:spacing w:line="240" w:lineRule="auto"/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</w:pPr>
            <w:r w:rsidRPr="00DB3E1E"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  <w:t>Annual London allowance (full-time equivalent)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00"/>
            <w:noWrap/>
            <w:vAlign w:val="bottom"/>
          </w:tcPr>
          <w:p w:rsidRPr="00DB3E1E" w:rsidR="00DB3E1E" w:rsidP="00DB3E1E" w:rsidRDefault="00DB3E1E" w14:paraId="7CCD8690" w14:textId="03B8A206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</w:pPr>
          </w:p>
        </w:tc>
      </w:tr>
      <w:tr w:rsidRPr="00DB3E1E" w:rsidR="00DB3E1E" w:rsidTr="023C019F" w14:paraId="7542DB6B" w14:textId="77777777">
        <w:trPr>
          <w:trHeight w:val="285"/>
        </w:trPr>
        <w:tc>
          <w:tcPr>
            <w:tcW w:w="500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  <w:hideMark/>
          </w:tcPr>
          <w:p w:rsidRPr="00DB3E1E" w:rsidR="00DB3E1E" w:rsidP="00DB3E1E" w:rsidRDefault="00DB3E1E" w14:paraId="48991A4B" w14:textId="77777777">
            <w:pPr>
              <w:spacing w:line="240" w:lineRule="auto"/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</w:pPr>
            <w:r w:rsidRPr="00DB3E1E"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  <w:t>FTE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00"/>
            <w:noWrap/>
            <w:vAlign w:val="bottom"/>
          </w:tcPr>
          <w:p w:rsidRPr="00DB3E1E" w:rsidR="00DB3E1E" w:rsidP="00DB3E1E" w:rsidRDefault="00DB3E1E" w14:paraId="34928D48" w14:textId="5D2C84AA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</w:pPr>
          </w:p>
        </w:tc>
      </w:tr>
      <w:tr w:rsidRPr="00DB3E1E" w:rsidR="00DB3E1E" w:rsidTr="023C019F" w14:paraId="32101032" w14:textId="77777777">
        <w:trPr>
          <w:trHeight w:val="285"/>
        </w:trPr>
        <w:tc>
          <w:tcPr>
            <w:tcW w:w="500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  <w:hideMark/>
          </w:tcPr>
          <w:p w:rsidRPr="00DB3E1E" w:rsidR="00DB3E1E" w:rsidP="00DB3E1E" w:rsidRDefault="00DB3E1E" w14:paraId="20E89707" w14:textId="77777777">
            <w:pPr>
              <w:spacing w:line="240" w:lineRule="auto"/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</w:pPr>
            <w:r w:rsidRPr="00DB3E1E"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  <w:t>Date of birth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00"/>
            <w:noWrap/>
            <w:vAlign w:val="bottom"/>
          </w:tcPr>
          <w:p w:rsidRPr="00DB3E1E" w:rsidR="00DB3E1E" w:rsidP="00DB3E1E" w:rsidRDefault="00DB3E1E" w14:paraId="15F6A476" w14:textId="0FEA4859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</w:pPr>
          </w:p>
        </w:tc>
      </w:tr>
      <w:tr w:rsidRPr="00DB3E1E" w:rsidR="00DB3E1E" w:rsidTr="023C019F" w14:paraId="6551E145" w14:textId="77777777">
        <w:trPr>
          <w:trHeight w:val="285"/>
        </w:trPr>
        <w:tc>
          <w:tcPr>
            <w:tcW w:w="5000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  <w:hideMark/>
          </w:tcPr>
          <w:p w:rsidRPr="00DB3E1E" w:rsidR="00DB3E1E" w:rsidP="00DB3E1E" w:rsidRDefault="00DB3E1E" w14:paraId="2D4A1306" w14:textId="77777777">
            <w:pPr>
              <w:spacing w:line="240" w:lineRule="auto"/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</w:pPr>
            <w:r w:rsidRPr="00DB3E1E"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  <w:t>Continuous service date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00"/>
            <w:noWrap/>
            <w:vAlign w:val="bottom"/>
          </w:tcPr>
          <w:p w:rsidRPr="00DB3E1E" w:rsidR="00DB3E1E" w:rsidP="00DB3E1E" w:rsidRDefault="00DB3E1E" w14:paraId="0DC8A440" w14:textId="29E648F6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</w:pPr>
          </w:p>
        </w:tc>
      </w:tr>
      <w:tr w:rsidRPr="00DB3E1E" w:rsidR="00DB3E1E" w:rsidTr="023C019F" w14:paraId="02388C22" w14:textId="77777777">
        <w:trPr>
          <w:trHeight w:val="300"/>
        </w:trPr>
        <w:tc>
          <w:tcPr>
            <w:tcW w:w="50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  <w:hideMark/>
          </w:tcPr>
          <w:p w:rsidRPr="00DB3E1E" w:rsidR="00DB3E1E" w:rsidP="00DB3E1E" w:rsidRDefault="00DB3E1E" w14:paraId="113C12D9" w14:textId="77777777">
            <w:pPr>
              <w:spacing w:line="240" w:lineRule="auto"/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</w:pPr>
            <w:r w:rsidRPr="00DB3E1E">
              <w:rPr>
                <w:rFonts w:ascii="Calibri" w:hAnsi="Calibri" w:cs="Calibri"/>
                <w:bCs w:val="0"/>
                <w:color w:val="000000"/>
                <w:sz w:val="22"/>
                <w:lang w:eastAsia="en-GB"/>
              </w:rPr>
              <w:t>Proposed leave date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vAlign w:val="bottom"/>
          </w:tcPr>
          <w:p w:rsidRPr="00DB3E1E" w:rsidR="00DB3E1E" w:rsidP="00DB3E1E" w:rsidRDefault="00DB3E1E" w14:paraId="48ABCF32" w14:textId="0289DBEA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sz w:val="22"/>
                <w:lang w:eastAsia="en-GB"/>
              </w:rPr>
            </w:pPr>
          </w:p>
        </w:tc>
      </w:tr>
    </w:tbl>
    <w:p w:rsidR="00DB3E1E" w:rsidP="00DB3E1E" w:rsidRDefault="00DB3E1E" w14:paraId="4707EDB6" w14:textId="16373955"/>
    <w:p w:rsidRPr="00DB3E1E" w:rsidR="00DB3E1E" w:rsidP="00414DEA" w:rsidRDefault="00414DEA" w14:paraId="30839E13" w14:textId="459C9742">
      <w:pPr>
        <w:pStyle w:val="ListParagraph"/>
        <w:ind w:left="0"/>
        <w:rPr>
          <w:b/>
        </w:rPr>
      </w:pPr>
      <w:r>
        <w:rPr>
          <w:b/>
        </w:rPr>
        <w:t xml:space="preserve">Step 1: </w:t>
      </w:r>
      <w:r w:rsidRPr="7B4A43F5" w:rsidR="53099135">
        <w:rPr>
          <w:b/>
        </w:rPr>
        <w:t>How to look up your annual salary (full time equivalent)</w:t>
      </w:r>
    </w:p>
    <w:p w:rsidR="0099192A" w:rsidP="7B4A43F5" w:rsidRDefault="00FA5190" w14:paraId="1ED919C8" w14:textId="4B6221C3">
      <w:r w:rsidR="00FA5190">
        <w:rPr/>
        <w:t>This is your basic gross annual salary excluding any allowances.</w:t>
      </w:r>
      <w:r>
        <w:br/>
      </w:r>
      <w:r w:rsidR="002A4C58">
        <w:rPr/>
        <w:t xml:space="preserve">If you are on a published </w:t>
      </w:r>
      <w:hyperlink r:id="Rf6d32f1a40d44b76">
        <w:r w:rsidRPr="7D043554" w:rsidR="002A4C58">
          <w:rPr>
            <w:rStyle w:val="Hyperlink"/>
          </w:rPr>
          <w:t>UCL salary scale</w:t>
        </w:r>
      </w:hyperlink>
      <w:r w:rsidR="002A4C58">
        <w:rPr/>
        <w:t xml:space="preserve"> </w:t>
      </w:r>
      <w:r w:rsidR="0A9D84A2">
        <w:rPr/>
        <w:t xml:space="preserve">and know what spine point you are paid at, </w:t>
      </w:r>
      <w:r w:rsidR="002A4C58">
        <w:rPr/>
        <w:t>choose the relevant salary under the heading “August 2022 (excluding London Allowance)”.</w:t>
      </w:r>
      <w:r>
        <w:br/>
      </w:r>
    </w:p>
    <w:p w:rsidR="0099192A" w:rsidP="7B4A43F5" w:rsidRDefault="00533315" w14:paraId="79767F51" w14:textId="3F387A3F">
      <w:r>
        <w:t>OR</w:t>
      </w:r>
      <w:r>
        <w:br/>
      </w:r>
    </w:p>
    <w:p w:rsidR="0013015D" w:rsidP="7B4A43F5" w:rsidRDefault="004F669D" w14:paraId="61FE5CA4" w14:textId="5A471939">
      <w:r>
        <w:t xml:space="preserve">Follow the </w:t>
      </w:r>
      <w:r w:rsidR="0013015D">
        <w:t xml:space="preserve">UCL guide to finding </w:t>
      </w:r>
      <w:hyperlink w:history="1" r:id="rId9">
        <w:r w:rsidRPr="0013015D" w:rsidR="0013015D">
          <w:rPr>
            <w:rStyle w:val="Hyperlink"/>
          </w:rPr>
          <w:t>your payslip</w:t>
        </w:r>
      </w:hyperlink>
      <w:r w:rsidR="0013015D">
        <w:t>.</w:t>
      </w:r>
    </w:p>
    <w:p w:rsidR="008D7FB2" w:rsidP="7B4A43F5" w:rsidRDefault="53099135" w14:paraId="3390242F" w14:textId="084A8007">
      <w:r>
        <w:br/>
      </w:r>
      <w:r w:rsidR="002B1E01">
        <w:rPr/>
        <w:t>Review</w:t>
      </w:r>
      <w:r w:rsidR="001F68A6">
        <w:rPr/>
        <w:t xml:space="preserve"> </w:t>
      </w:r>
      <w:r w:rsidR="002B1E01">
        <w:rPr/>
        <w:t xml:space="preserve">the </w:t>
      </w:r>
      <w:r w:rsidR="002976D2">
        <w:rPr/>
        <w:t xml:space="preserve">‘Payments’ </w:t>
      </w:r>
      <w:r w:rsidR="002B1E01">
        <w:rPr/>
        <w:t xml:space="preserve">section of </w:t>
      </w:r>
      <w:r w:rsidR="008D7FB2">
        <w:rPr/>
        <w:t xml:space="preserve">your payslip. </w:t>
      </w:r>
      <w:r w:rsidR="004019D9">
        <w:rPr/>
        <w:t>The full-time a</w:t>
      </w:r>
      <w:r w:rsidR="002976D2">
        <w:rPr/>
        <w:t xml:space="preserve">nnual Salary is found in the </w:t>
      </w:r>
      <w:r w:rsidR="007C6C25">
        <w:rPr/>
        <w:t xml:space="preserve">third column of the table.  </w:t>
      </w:r>
    </w:p>
    <w:p w:rsidR="008D7FB2" w:rsidP="7D043554" w:rsidRDefault="008D7FB2" w14:paraId="44490E3B" w14:textId="7CE2530D">
      <w:pPr>
        <w:pStyle w:val="Normal"/>
      </w:pPr>
      <w:r w:rsidR="4C3498BB">
        <w:drawing>
          <wp:inline wp14:editId="7D043554" wp14:anchorId="35337465">
            <wp:extent cx="4572000" cy="523875"/>
            <wp:effectExtent l="0" t="0" r="0" b="0"/>
            <wp:docPr id="1597248472" name="" descr="Annual salary amount highlighted." title="Picture of payments in the paysli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5fcf90c76248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6A" w:rsidP="7B4A43F5" w:rsidRDefault="00520F6A" w14:paraId="3750ED85" w14:textId="77777777"/>
    <w:p w:rsidR="00520F6A" w:rsidP="00414DEA" w:rsidRDefault="00414DEA" w14:paraId="514BCE70" w14:textId="52A6D57B">
      <w:pPr>
        <w:pStyle w:val="ListParagraph"/>
        <w:ind w:left="0"/>
        <w:rPr>
          <w:b/>
        </w:rPr>
      </w:pPr>
      <w:r>
        <w:rPr>
          <w:b/>
        </w:rPr>
        <w:t xml:space="preserve">Step 2: </w:t>
      </w:r>
      <w:r w:rsidRPr="003313D3" w:rsidR="00520F6A">
        <w:rPr>
          <w:b/>
        </w:rPr>
        <w:t>How to look up you</w:t>
      </w:r>
      <w:r w:rsidR="00CB16B6">
        <w:rPr>
          <w:b/>
        </w:rPr>
        <w:t>r</w:t>
      </w:r>
      <w:r w:rsidRPr="003313D3" w:rsidR="00520F6A">
        <w:rPr>
          <w:b/>
        </w:rPr>
        <w:t xml:space="preserve"> London allowance (ful</w:t>
      </w:r>
      <w:r w:rsidRPr="003313D3" w:rsidR="003313D3">
        <w:rPr>
          <w:b/>
        </w:rPr>
        <w:t>l-time equivalent)</w:t>
      </w:r>
      <w:r w:rsidR="00271357">
        <w:rPr>
          <w:b/>
        </w:rPr>
        <w:br/>
      </w:r>
    </w:p>
    <w:p w:rsidR="00271357" w:rsidP="00271357" w:rsidRDefault="00271357" w14:paraId="32606DE7" w14:textId="37BFDCA6">
      <w:pPr>
        <w:pStyle w:val="ListParagraph"/>
        <w:ind w:left="0"/>
      </w:pPr>
      <w:r w:rsidR="2EBD0170">
        <w:rPr/>
        <w:t xml:space="preserve">UCL </w:t>
      </w:r>
      <w:r w:rsidR="00271357">
        <w:rPr/>
        <w:t>London based:  £4000</w:t>
      </w:r>
      <w:r>
        <w:br/>
      </w:r>
      <w:r w:rsidR="21167005">
        <w:rPr/>
        <w:t xml:space="preserve">UCL </w:t>
      </w:r>
      <w:r w:rsidR="00271357">
        <w:rPr/>
        <w:t>Fringe London Allowance: £2000</w:t>
      </w:r>
    </w:p>
    <w:p w:rsidR="00271357" w:rsidP="00271357" w:rsidRDefault="00271357" w14:paraId="5692F0B1" w14:textId="73511DAA">
      <w:pPr>
        <w:pStyle w:val="ListParagraph"/>
        <w:ind w:left="0"/>
      </w:pPr>
      <w:r w:rsidR="1FFD6EB9">
        <w:rPr/>
        <w:t>I</w:t>
      </w:r>
      <w:r w:rsidR="52D80861">
        <w:rPr/>
        <w:t xml:space="preserve">nstitute </w:t>
      </w:r>
      <w:r w:rsidR="1FFD6EB9">
        <w:rPr/>
        <w:t>o</w:t>
      </w:r>
      <w:r w:rsidR="78AA1CC8">
        <w:rPr/>
        <w:t xml:space="preserve">f </w:t>
      </w:r>
      <w:r w:rsidR="1FFD6EB9">
        <w:rPr/>
        <w:t>E</w:t>
      </w:r>
      <w:r w:rsidR="603D9178">
        <w:rPr/>
        <w:t>ducation</w:t>
      </w:r>
      <w:r w:rsidR="1FFD6EB9">
        <w:rPr/>
        <w:t>: £2888</w:t>
      </w:r>
    </w:p>
    <w:p w:rsidR="00271357" w:rsidP="00271357" w:rsidRDefault="00271357" w14:paraId="3BF7D541" w14:textId="6C9E0F33">
      <w:pPr>
        <w:pStyle w:val="ListParagraph"/>
        <w:ind w:left="0"/>
      </w:pPr>
      <w:r w:rsidR="00271357">
        <w:rPr/>
        <w:t>MRC:</w:t>
      </w:r>
      <w:r w:rsidR="0C5F0F5B">
        <w:rPr/>
        <w:t xml:space="preserve"> £4</w:t>
      </w:r>
      <w:r w:rsidR="0C5F0F5B">
        <w:rPr/>
        <w:t>000</w:t>
      </w:r>
      <w:r>
        <w:br/>
      </w:r>
      <w:r w:rsidR="5BFA5767">
        <w:rPr/>
        <w:t xml:space="preserve">PRION: £4000 </w:t>
      </w:r>
    </w:p>
    <w:p w:rsidR="00271357" w:rsidP="7D043554" w:rsidRDefault="00271357" w14:paraId="380F0840" w14:textId="6563F261">
      <w:pPr>
        <w:pStyle w:val="ListParagraph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7D043554" w:rsidR="78CD1456">
        <w:rPr>
          <w:noProof w:val="0"/>
          <w:lang w:val="en-GB"/>
        </w:rPr>
        <w:t>Non-Consultant Clinical Academic Pay Scale</w:t>
      </w:r>
      <w:r w:rsidRPr="7D043554" w:rsidR="4839D28C">
        <w:rPr>
          <w:noProof w:val="0"/>
          <w:lang w:val="en-GB"/>
        </w:rPr>
        <w:t>, STR and Junior Doctors pay scales</w:t>
      </w:r>
      <w:r w:rsidRPr="7D043554" w:rsidR="78CD1456">
        <w:rPr>
          <w:noProof w:val="0"/>
          <w:lang w:val="en-GB"/>
        </w:rPr>
        <w:t>: £4000</w:t>
      </w:r>
    </w:p>
    <w:p w:rsidR="00271357" w:rsidP="7D043554" w:rsidRDefault="00271357" w14:paraId="549C8521" w14:textId="30FC383F">
      <w:pPr>
        <w:pStyle w:val="ListParagraph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7D043554" w:rsidR="0CD13857">
        <w:rPr>
          <w:noProof w:val="0"/>
          <w:lang w:val="en-GB"/>
        </w:rPr>
        <w:t>Consultant pay scale: £2,162</w:t>
      </w:r>
    </w:p>
    <w:p w:rsidR="00271357" w:rsidP="7D043554" w:rsidRDefault="00271357" w14:paraId="4B21E064" w14:textId="1AABD319">
      <w:pPr>
        <w:pStyle w:val="ListParagraph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 w:rsidRPr="7D043554" w:rsidR="595CD403">
        <w:rPr>
          <w:noProof w:val="0"/>
          <w:lang w:val="en-GB"/>
        </w:rPr>
        <w:t>Dentists: £4000</w:t>
      </w:r>
    </w:p>
    <w:p w:rsidR="00271357" w:rsidP="7D043554" w:rsidRDefault="00271357" w14:paraId="13FF52C8" w14:textId="1343FC02">
      <w:pPr>
        <w:pStyle w:val="ListParagraph"/>
        <w:bidi w:val="0"/>
        <w:spacing w:before="0" w:beforeAutospacing="off" w:after="0" w:afterAutospacing="off" w:line="360" w:lineRule="auto"/>
        <w:ind w:left="0" w:right="0"/>
        <w:jc w:val="left"/>
        <w:rPr>
          <w:noProof w:val="0"/>
          <w:lang w:val="en-GB"/>
        </w:rPr>
      </w:pPr>
      <w:r>
        <w:br/>
      </w:r>
      <w:r w:rsidR="00271357">
        <w:rPr/>
        <w:t>Outside of region: £0</w:t>
      </w:r>
    </w:p>
    <w:p w:rsidR="003313D3" w:rsidP="003313D3" w:rsidRDefault="003313D3" w14:paraId="69D31345" w14:textId="77777777">
      <w:pPr>
        <w:pStyle w:val="ListParagraph"/>
      </w:pPr>
    </w:p>
    <w:p w:rsidR="00631697" w:rsidP="00631697" w:rsidRDefault="00EF1540" w14:paraId="277C8BA9" w14:textId="77777777">
      <w:r>
        <w:t>OR</w:t>
      </w:r>
      <w:r>
        <w:br/>
      </w:r>
      <w:r>
        <w:br/>
      </w:r>
      <w:r w:rsidR="00631697">
        <w:t xml:space="preserve">Follow the UCL guide to finding </w:t>
      </w:r>
      <w:hyperlink w:history="1" r:id="rId11">
        <w:r w:rsidRPr="0013015D" w:rsidR="00631697">
          <w:rPr>
            <w:rStyle w:val="Hyperlink"/>
          </w:rPr>
          <w:t>your payslip</w:t>
        </w:r>
      </w:hyperlink>
      <w:r w:rsidR="00631697">
        <w:t>.</w:t>
      </w:r>
    </w:p>
    <w:p w:rsidR="00414DEA" w:rsidP="00631697" w:rsidRDefault="00631697" w14:paraId="3EAC87E0" w14:textId="0026841C">
      <w:r>
        <w:br/>
      </w:r>
      <w:r w:rsidR="00631697">
        <w:rPr/>
        <w:t>Review</w:t>
      </w:r>
      <w:r w:rsidR="00631697">
        <w:rPr/>
        <w:t xml:space="preserve"> </w:t>
      </w:r>
      <w:r w:rsidR="00631697">
        <w:rPr/>
        <w:t xml:space="preserve">the </w:t>
      </w:r>
      <w:r w:rsidR="00631697">
        <w:rPr/>
        <w:t xml:space="preserve">‘Payments’ </w:t>
      </w:r>
      <w:r w:rsidR="00631697">
        <w:rPr/>
        <w:t>section of your payslip</w:t>
      </w:r>
      <w:r w:rsidR="00287DC4">
        <w:rPr/>
        <w:t>, see picture above</w:t>
      </w:r>
      <w:r w:rsidR="00631697">
        <w:rPr/>
        <w:t xml:space="preserve">. </w:t>
      </w:r>
      <w:r w:rsidR="007C6C25">
        <w:rPr/>
        <w:t xml:space="preserve">London allowance is </w:t>
      </w:r>
      <w:r w:rsidR="00414DEA">
        <w:rPr/>
        <w:t xml:space="preserve">normally </w:t>
      </w:r>
      <w:r w:rsidR="007C6C25">
        <w:rPr/>
        <w:t>found in the row below</w:t>
      </w:r>
      <w:r w:rsidR="00414DEA">
        <w:rPr/>
        <w:t xml:space="preserve"> basic pay</w:t>
      </w:r>
      <w:r w:rsidR="007C6C25">
        <w:rPr/>
        <w:t xml:space="preserve">.  It does not display the annual amount.  To work out the full-time amount, take the </w:t>
      </w:r>
      <w:r w:rsidR="002D15B5">
        <w:rPr/>
        <w:t xml:space="preserve">monthly </w:t>
      </w:r>
      <w:r w:rsidR="0095677F">
        <w:rPr/>
        <w:t>amount</w:t>
      </w:r>
      <w:r w:rsidR="007C6C25">
        <w:rPr/>
        <w:t xml:space="preserve"> at the end of that row </w:t>
      </w:r>
      <w:r w:rsidR="0095677F">
        <w:rPr/>
        <w:t xml:space="preserve">(under column Value) </w:t>
      </w:r>
      <w:r w:rsidR="007C6C25">
        <w:rPr/>
        <w:t xml:space="preserve">and multiply it by </w:t>
      </w:r>
      <w:r w:rsidR="00E42716">
        <w:rPr/>
        <w:t>12</w:t>
      </w:r>
      <w:r w:rsidR="00E42716">
        <w:rPr/>
        <w:t xml:space="preserve">.  </w:t>
      </w:r>
    </w:p>
    <w:p w:rsidR="00414DEA" w:rsidP="7B4A43F5" w:rsidRDefault="00414DEA" w14:paraId="2D11AC5C" w14:textId="77777777"/>
    <w:p w:rsidR="00F8044B" w:rsidP="7B4A43F5" w:rsidRDefault="00E42716" w14:paraId="7EF7610C" w14:textId="7BE576F6">
      <w:r>
        <w:t>If you are part-time, you will need to divide that figure by your FTE, to work out the full</w:t>
      </w:r>
      <w:r w:rsidR="005E22F6">
        <w:t xml:space="preserve">-time equivalent.  </w:t>
      </w:r>
    </w:p>
    <w:p w:rsidR="007C6C25" w:rsidP="7B4A43F5" w:rsidRDefault="005E22F6" w14:paraId="2D22871B" w14:textId="73531061">
      <w:r>
        <w:t>For example</w:t>
      </w:r>
      <w:r w:rsidR="00F8044B">
        <w:t>:</w:t>
      </w:r>
      <w:r>
        <w:t xml:space="preserve"> </w:t>
      </w:r>
    </w:p>
    <w:p w:rsidR="00E464F8" w:rsidP="7B4A43F5" w:rsidRDefault="00E464F8" w14:paraId="41EBEFE9" w14:textId="7B3E318C">
      <w:r w:rsidR="00E464F8">
        <w:rPr/>
        <w:t>£29</w:t>
      </w:r>
      <w:r w:rsidR="7C676BC4">
        <w:rPr/>
        <w:t>4</w:t>
      </w:r>
      <w:r w:rsidR="000970E3">
        <w:rPr/>
        <w:t>.</w:t>
      </w:r>
      <w:r w:rsidR="4A15B5F3">
        <w:rPr/>
        <w:t>06</w:t>
      </w:r>
      <w:r w:rsidR="000970E3">
        <w:rPr/>
        <w:t xml:space="preserve"> * 12 = </w:t>
      </w:r>
      <w:r w:rsidR="000D5929">
        <w:rPr/>
        <w:t>£</w:t>
      </w:r>
      <w:r w:rsidR="00A92238">
        <w:rPr/>
        <w:t>3</w:t>
      </w:r>
      <w:r w:rsidR="00E94234">
        <w:rPr/>
        <w:t>,</w:t>
      </w:r>
      <w:r w:rsidR="00A92238">
        <w:rPr/>
        <w:t>5</w:t>
      </w:r>
      <w:r w:rsidR="70AB3922">
        <w:rPr/>
        <w:t>28.72</w:t>
      </w:r>
      <w:r w:rsidR="00E94234">
        <w:rPr/>
        <w:t xml:space="preserve"> (pro-rata London allowance)</w:t>
      </w:r>
    </w:p>
    <w:p w:rsidR="003313D3" w:rsidP="003313D3" w:rsidRDefault="00A92238" w14:paraId="36F22ABF" w14:textId="3B024B27">
      <w:pPr>
        <w:spacing w:line="240" w:lineRule="auto"/>
      </w:pPr>
      <w:r w:rsidR="00A92238">
        <w:rPr/>
        <w:t>£35</w:t>
      </w:r>
      <w:r w:rsidR="182E2598">
        <w:rPr/>
        <w:t>28.72</w:t>
      </w:r>
      <w:r w:rsidR="00A92238">
        <w:rPr/>
        <w:t xml:space="preserve"> / 0.8</w:t>
      </w:r>
      <w:r w:rsidR="402D3E52">
        <w:rPr/>
        <w:t>8219</w:t>
      </w:r>
      <w:r w:rsidR="00A92238">
        <w:rPr/>
        <w:t xml:space="preserve"> = </w:t>
      </w:r>
      <w:r w:rsidR="00E94234">
        <w:rPr/>
        <w:t>£4,000 (</w:t>
      </w:r>
      <w:r w:rsidR="003313D3">
        <w:rPr/>
        <w:t>Annual London allowance (full-time equivalent)</w:t>
      </w:r>
    </w:p>
    <w:p w:rsidR="003313D3" w:rsidP="003313D3" w:rsidRDefault="00A92238" w14:paraId="7E12365F" w14:textId="77DD8F30">
      <w:pPr>
        <w:spacing w:line="240" w:lineRule="auto"/>
      </w:pPr>
    </w:p>
    <w:p w:rsidR="003313D3" w:rsidP="7D043554" w:rsidRDefault="00A92238" w14:paraId="4760E2B4" w14:textId="7A08878B">
      <w:pPr>
        <w:pStyle w:val="Normal"/>
        <w:spacing w:line="240" w:lineRule="auto"/>
      </w:pPr>
      <w:r w:rsidR="13D06A63">
        <w:drawing>
          <wp:inline wp14:editId="7C8F9E4C" wp14:anchorId="0F29E024">
            <wp:extent cx="4572000" cy="504825"/>
            <wp:effectExtent l="0" t="0" r="0" b="0"/>
            <wp:docPr id="652109798" name="" descr="FTE and London allowance highlighted" title="Payslip payments tabl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b5939f0f984c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32B3B" w:rsidP="003313D3" w:rsidRDefault="00632B3B" w14:paraId="2334D80F" w14:textId="77777777">
      <w:pPr>
        <w:spacing w:line="240" w:lineRule="auto"/>
      </w:pPr>
    </w:p>
    <w:p w:rsidRPr="00632B3B" w:rsidR="00632B3B" w:rsidP="003313D3" w:rsidRDefault="00632B3B" w14:paraId="1B16EF85" w14:textId="6881227F">
      <w:pPr>
        <w:spacing w:line="240" w:lineRule="auto"/>
        <w:rPr>
          <w:rFonts w:ascii="Calibri" w:hAnsi="Calibri" w:cs="Calibri"/>
          <w:b/>
          <w:bCs w:val="0"/>
          <w:color w:val="000000"/>
          <w:sz w:val="22"/>
          <w:lang w:eastAsia="en-GB"/>
        </w:rPr>
      </w:pPr>
      <w:r w:rsidRPr="00632B3B">
        <w:rPr>
          <w:b/>
          <w:bCs w:val="0"/>
        </w:rPr>
        <w:t>Step 3: How to look up your FTE</w:t>
      </w:r>
    </w:p>
    <w:p w:rsidR="00A92238" w:rsidP="7B4A43F5" w:rsidRDefault="00A92238" w14:paraId="5C6F7C69" w14:textId="408F35F0"/>
    <w:p w:rsidR="008626E7" w:rsidP="008626E7" w:rsidRDefault="00901FC6" w14:paraId="21B09068" w14:textId="4ED2C93B">
      <w:r>
        <w:t xml:space="preserve">This is the proportion of </w:t>
      </w:r>
      <w:r w:rsidR="004976F8">
        <w:t>full-</w:t>
      </w:r>
      <w:r>
        <w:t xml:space="preserve">time </w:t>
      </w:r>
      <w:r w:rsidR="004976F8">
        <w:t xml:space="preserve">that </w:t>
      </w:r>
      <w:r>
        <w:t xml:space="preserve">you work.  A full-time employee works 1 FTE.  </w:t>
      </w:r>
      <w:r>
        <w:br/>
      </w:r>
      <w:r>
        <w:t xml:space="preserve">If you are part-time, you can find your FTE by looking on your payslip.  </w:t>
      </w:r>
      <w:r>
        <w:br/>
      </w:r>
      <w:r w:rsidR="00632B3B">
        <w:t>FTE is in the fourth column of the payments table</w:t>
      </w:r>
      <w:r w:rsidR="008626E7">
        <w:t>.</w:t>
      </w:r>
    </w:p>
    <w:p w:rsidR="008626E7" w:rsidP="008626E7" w:rsidRDefault="008626E7" w14:paraId="68910334" w14:textId="77777777"/>
    <w:p w:rsidR="008626E7" w:rsidP="008626E7" w:rsidRDefault="008626E7" w14:paraId="2201FA85" w14:textId="77777777">
      <w:pPr>
        <w:rPr>
          <w:b/>
          <w:bCs w:val="0"/>
        </w:rPr>
      </w:pPr>
      <w:r w:rsidRPr="008626E7">
        <w:rPr>
          <w:b/>
          <w:bCs w:val="0"/>
        </w:rPr>
        <w:t>Step 4: Date of birth</w:t>
      </w:r>
    </w:p>
    <w:p w:rsidRPr="008626E7" w:rsidR="008626E7" w:rsidP="008626E7" w:rsidRDefault="008626E7" w14:paraId="5F14D5C3" w14:textId="759EF74B">
      <w:r>
        <w:t>Hopefully you know this!</w:t>
      </w:r>
    </w:p>
    <w:p w:rsidR="008626E7" w:rsidP="008626E7" w:rsidRDefault="008626E7" w14:paraId="7F2A4BF9" w14:textId="77777777"/>
    <w:p w:rsidRPr="00DB3E1E" w:rsidR="00DB3E1E" w:rsidP="008626E7" w:rsidRDefault="008626E7" w14:paraId="1DD4F592" w14:textId="33D2D060">
      <w:r w:rsidRPr="008626E7">
        <w:rPr>
          <w:b/>
          <w:bCs w:val="0"/>
        </w:rPr>
        <w:t xml:space="preserve">Step 5: </w:t>
      </w:r>
      <w:r w:rsidRPr="0C33CCFA" w:rsidR="53099135">
        <w:rPr>
          <w:b/>
        </w:rPr>
        <w:t>Continuous service date</w:t>
      </w:r>
      <w:r>
        <w:rPr>
          <w:b/>
        </w:rPr>
        <w:br/>
      </w:r>
      <w:r w:rsidR="00DB3E1E">
        <w:br/>
      </w:r>
      <w:r w:rsidR="53099135">
        <w:t>This</w:t>
      </w:r>
      <w:r w:rsidRPr="0C33CCFA" w:rsidR="53099135">
        <w:rPr>
          <w:b/>
        </w:rPr>
        <w:t xml:space="preserve"> </w:t>
      </w:r>
      <w:r w:rsidR="53099135">
        <w:t>date is used to calculate how many complete years’ service you have with UCL.</w:t>
      </w:r>
      <w:r w:rsidR="00DB3E1E">
        <w:br/>
      </w:r>
      <w:r w:rsidR="53099135">
        <w:t xml:space="preserve">It is the date your current employment with UCL commenced </w:t>
      </w:r>
      <w:r w:rsidRPr="0C33CCFA" w:rsidR="53099135">
        <w:rPr>
          <w:color w:val="242424"/>
        </w:rPr>
        <w:t>(or the date your employment started with your previous employer(s) for those who TUPE transferred to UCL).</w:t>
      </w:r>
    </w:p>
    <w:p w:rsidR="00DB3E1E" w:rsidP="00DB3E1E" w:rsidRDefault="00DB3E1E" w14:paraId="341FD7B3" w14:textId="6259B2BA">
      <w:pPr>
        <w:pStyle w:val="ListParagraph"/>
        <w:ind w:left="0"/>
      </w:pPr>
      <w:r>
        <w:br/>
      </w:r>
      <w:r>
        <w:t>You will find your Continuous Service Date by:</w:t>
      </w:r>
    </w:p>
    <w:p w:rsidR="00DB3E1E" w:rsidP="00DB3E1E" w:rsidRDefault="00DB3E1E" w14:paraId="44A2BEA6" w14:textId="77777777">
      <w:pPr>
        <w:pStyle w:val="ListParagraph"/>
        <w:numPr>
          <w:ilvl w:val="0"/>
          <w:numId w:val="2"/>
        </w:numPr>
        <w:spacing w:after="160"/>
        <w:ind w:left="0"/>
      </w:pPr>
      <w:r>
        <w:t xml:space="preserve">Logging in to </w:t>
      </w:r>
      <w:hyperlink w:history="1" r:id="rId16">
        <w:r w:rsidRPr="001050C5">
          <w:rPr>
            <w:rStyle w:val="Hyperlink"/>
          </w:rPr>
          <w:t>MyHR</w:t>
        </w:r>
      </w:hyperlink>
    </w:p>
    <w:p w:rsidR="00DB3E1E" w:rsidP="00DB3E1E" w:rsidRDefault="00DB3E1E" w14:paraId="3278D13A" w14:textId="41701C63">
      <w:pPr>
        <w:pStyle w:val="ListParagraph"/>
        <w:numPr>
          <w:ilvl w:val="0"/>
          <w:numId w:val="2"/>
        </w:numPr>
        <w:spacing w:after="160"/>
        <w:ind w:left="0"/>
      </w:pPr>
      <w:r>
        <w:lastRenderedPageBreak/>
        <w:t>In the top left of the page, click the Navigator button</w:t>
      </w:r>
    </w:p>
    <w:p w:rsidR="00DB3E1E" w:rsidP="00DB3E1E" w:rsidRDefault="00DB3E1E" w14:paraId="45CDD713" w14:textId="531932AE">
      <w:pPr>
        <w:pStyle w:val="ListParagraph"/>
        <w:numPr>
          <w:ilvl w:val="0"/>
          <w:numId w:val="2"/>
        </w:numPr>
        <w:spacing w:after="160"/>
        <w:ind w:left="0"/>
      </w:pPr>
      <w:r>
        <w:t xml:space="preserve">Proceed to ‘UCL Employee Self Service’ &gt; ‘My Employee Information’ &gt; ‘My Information’. </w:t>
      </w:r>
    </w:p>
    <w:p w:rsidR="00DB3E1E" w:rsidP="00DB3E1E" w:rsidRDefault="00DB3E1E" w14:paraId="08BA2BA9" w14:textId="69299BD4">
      <w:pPr>
        <w:pStyle w:val="ListParagraph"/>
        <w:spacing w:after="160"/>
        <w:ind w:left="0"/>
      </w:pPr>
    </w:p>
    <w:p w:rsidR="000E4132" w:rsidP="00FC24D3" w:rsidRDefault="00FC24D3" w14:paraId="7B1D86FD" w14:textId="77777777">
      <w:pPr>
        <w:pStyle w:val="ListParagraph"/>
        <w:spacing w:after="160"/>
        <w:ind w:left="0"/>
      </w:pPr>
      <w:r>
        <w:rPr>
          <w:b/>
        </w:rPr>
        <w:t xml:space="preserve">Step 6: </w:t>
      </w:r>
      <w:r w:rsidRPr="005F25F6" w:rsidR="53099135">
        <w:rPr>
          <w:b/>
        </w:rPr>
        <w:t>Proposed leave date</w:t>
      </w:r>
      <w:r w:rsidR="00DB3E1E">
        <w:br/>
      </w:r>
      <w:r w:rsidR="53099135">
        <w:t>For Grade 6 and below</w:t>
      </w:r>
      <w:r w:rsidR="627338E7">
        <w:t xml:space="preserve">, who are on one month’s notice, </w:t>
      </w:r>
      <w:r w:rsidR="53099135">
        <w:t>the earliest leave date will normally be approximately the end of March. For Grade 7 and above</w:t>
      </w:r>
      <w:r w:rsidR="48A5EE09">
        <w:t xml:space="preserve">, who are on three months’ notice, </w:t>
      </w:r>
      <w:r w:rsidR="53099135">
        <w:t xml:space="preserve">the earliest leave date will normally be approximately the end of May, or the end of July for staff with operational or teaching commitments. </w:t>
      </w:r>
    </w:p>
    <w:p w:rsidR="000E4132" w:rsidP="00FC24D3" w:rsidRDefault="000E4132" w14:paraId="787FE3B3" w14:textId="77777777">
      <w:pPr>
        <w:pStyle w:val="ListParagraph"/>
        <w:spacing w:after="160"/>
        <w:ind w:left="0"/>
      </w:pPr>
    </w:p>
    <w:p w:rsidRPr="005F25F6" w:rsidR="00DB3E1E" w:rsidP="00FC24D3" w:rsidRDefault="005F1C60" w14:paraId="16A5BE78" w14:textId="329BDD94">
      <w:pPr>
        <w:pStyle w:val="ListParagraph"/>
        <w:spacing w:after="160"/>
        <w:ind w:left="0"/>
        <w:rPr>
          <w:rFonts w:ascii="Segoe UI" w:hAnsi="Segoe UI" w:cs="Segoe UI"/>
          <w:color w:val="242424"/>
          <w:sz w:val="21"/>
          <w:szCs w:val="21"/>
        </w:rPr>
      </w:pPr>
      <w:r w:rsidR="005F1C60">
        <w:rPr/>
        <w:t>This calculator is designed to provide an estimate only.  Please note, t</w:t>
      </w:r>
      <w:r w:rsidR="00985E9B">
        <w:rPr/>
        <w:t>h</w:t>
      </w:r>
      <w:r w:rsidR="000E4132">
        <w:rPr/>
        <w:t>e las</w:t>
      </w:r>
      <w:r w:rsidR="00260F9E">
        <w:rPr/>
        <w:t>t</w:t>
      </w:r>
      <w:r w:rsidR="000E4132">
        <w:rPr/>
        <w:t xml:space="preserve"> day of service</w:t>
      </w:r>
      <w:r w:rsidR="19617E04">
        <w:rPr/>
        <w:t xml:space="preserve"> and payment amount</w:t>
      </w:r>
      <w:r w:rsidR="000E4132">
        <w:rPr/>
        <w:t xml:space="preserve"> </w:t>
      </w:r>
      <w:r w:rsidR="00985E9B">
        <w:rPr/>
        <w:t xml:space="preserve">will be confirmed </w:t>
      </w:r>
      <w:r w:rsidR="00325D48">
        <w:rPr/>
        <w:t xml:space="preserve">in writing </w:t>
      </w:r>
      <w:r w:rsidR="005F1C60">
        <w:rPr/>
        <w:t>once</w:t>
      </w:r>
      <w:r w:rsidR="00260F9E">
        <w:rPr/>
        <w:t xml:space="preserve"> an application is approved. </w:t>
      </w:r>
      <w:r>
        <w:br/>
      </w:r>
      <w:r>
        <w:br/>
      </w:r>
    </w:p>
    <w:sectPr w:rsidRPr="005F25F6" w:rsidR="00DB3E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1D7"/>
    <w:multiLevelType w:val="hybridMultilevel"/>
    <w:tmpl w:val="A126A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CA2"/>
    <w:multiLevelType w:val="hybridMultilevel"/>
    <w:tmpl w:val="C172CC10"/>
    <w:lvl w:ilvl="0" w:tplc="C30E9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453D"/>
    <w:multiLevelType w:val="hybridMultilevel"/>
    <w:tmpl w:val="386AAC50"/>
    <w:lvl w:ilvl="0" w:tplc="230E30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A35C64"/>
    <w:multiLevelType w:val="hybridMultilevel"/>
    <w:tmpl w:val="84A29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74444">
    <w:abstractNumId w:val="0"/>
  </w:num>
  <w:num w:numId="2" w16cid:durableId="1111322869">
    <w:abstractNumId w:val="2"/>
  </w:num>
  <w:num w:numId="3" w16cid:durableId="762380309">
    <w:abstractNumId w:val="3"/>
  </w:num>
  <w:num w:numId="4" w16cid:durableId="63957684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38"/>
    <w:rsid w:val="00000B01"/>
    <w:rsid w:val="000208E5"/>
    <w:rsid w:val="000970E3"/>
    <w:rsid w:val="000A5768"/>
    <w:rsid w:val="000D5929"/>
    <w:rsid w:val="000E4132"/>
    <w:rsid w:val="00106636"/>
    <w:rsid w:val="0013015D"/>
    <w:rsid w:val="001F68A6"/>
    <w:rsid w:val="00251B03"/>
    <w:rsid w:val="00260F9E"/>
    <w:rsid w:val="00271357"/>
    <w:rsid w:val="002843F0"/>
    <w:rsid w:val="00287DC4"/>
    <w:rsid w:val="00293943"/>
    <w:rsid w:val="002976D2"/>
    <w:rsid w:val="002A2722"/>
    <w:rsid w:val="002A4C58"/>
    <w:rsid w:val="002B1E01"/>
    <w:rsid w:val="002D0888"/>
    <w:rsid w:val="002D15B5"/>
    <w:rsid w:val="003213E1"/>
    <w:rsid w:val="00325D48"/>
    <w:rsid w:val="003313D3"/>
    <w:rsid w:val="00341C21"/>
    <w:rsid w:val="003E28C6"/>
    <w:rsid w:val="004019D9"/>
    <w:rsid w:val="00414DEA"/>
    <w:rsid w:val="004976F8"/>
    <w:rsid w:val="004F669D"/>
    <w:rsid w:val="00512002"/>
    <w:rsid w:val="00520F6A"/>
    <w:rsid w:val="00533315"/>
    <w:rsid w:val="00535238"/>
    <w:rsid w:val="0059459A"/>
    <w:rsid w:val="005C393C"/>
    <w:rsid w:val="005E22F6"/>
    <w:rsid w:val="005F1C60"/>
    <w:rsid w:val="005F25F6"/>
    <w:rsid w:val="00616B69"/>
    <w:rsid w:val="006248EC"/>
    <w:rsid w:val="00631697"/>
    <w:rsid w:val="00632B3B"/>
    <w:rsid w:val="00754A55"/>
    <w:rsid w:val="00767C8B"/>
    <w:rsid w:val="007C0412"/>
    <w:rsid w:val="007C6C25"/>
    <w:rsid w:val="007D02BF"/>
    <w:rsid w:val="008626E7"/>
    <w:rsid w:val="008661EB"/>
    <w:rsid w:val="008A5722"/>
    <w:rsid w:val="008D33D2"/>
    <w:rsid w:val="008D7FB2"/>
    <w:rsid w:val="00900DDA"/>
    <w:rsid w:val="00901FC6"/>
    <w:rsid w:val="00922734"/>
    <w:rsid w:val="00922BB1"/>
    <w:rsid w:val="0095677F"/>
    <w:rsid w:val="00985E9B"/>
    <w:rsid w:val="00987164"/>
    <w:rsid w:val="0099192A"/>
    <w:rsid w:val="009D656B"/>
    <w:rsid w:val="00A92238"/>
    <w:rsid w:val="00B40548"/>
    <w:rsid w:val="00B91324"/>
    <w:rsid w:val="00BC4939"/>
    <w:rsid w:val="00BF192F"/>
    <w:rsid w:val="00CB0195"/>
    <w:rsid w:val="00CB16B6"/>
    <w:rsid w:val="00CC4A68"/>
    <w:rsid w:val="00CE1622"/>
    <w:rsid w:val="00DB3E1E"/>
    <w:rsid w:val="00DB420F"/>
    <w:rsid w:val="00E42716"/>
    <w:rsid w:val="00E464F8"/>
    <w:rsid w:val="00E60767"/>
    <w:rsid w:val="00E84804"/>
    <w:rsid w:val="00E94234"/>
    <w:rsid w:val="00EA1344"/>
    <w:rsid w:val="00EF1030"/>
    <w:rsid w:val="00EF1540"/>
    <w:rsid w:val="00F37C86"/>
    <w:rsid w:val="00F8044B"/>
    <w:rsid w:val="00FA5190"/>
    <w:rsid w:val="00FB26F4"/>
    <w:rsid w:val="00FC24D3"/>
    <w:rsid w:val="00FC7A57"/>
    <w:rsid w:val="00FD489E"/>
    <w:rsid w:val="023C019F"/>
    <w:rsid w:val="03DF6370"/>
    <w:rsid w:val="068BD237"/>
    <w:rsid w:val="0727D9CA"/>
    <w:rsid w:val="07790049"/>
    <w:rsid w:val="09155495"/>
    <w:rsid w:val="09C639F6"/>
    <w:rsid w:val="0A9D84A2"/>
    <w:rsid w:val="0AB124F6"/>
    <w:rsid w:val="0C33CCFA"/>
    <w:rsid w:val="0C5F0F5B"/>
    <w:rsid w:val="0CD13857"/>
    <w:rsid w:val="109F995C"/>
    <w:rsid w:val="13D06A63"/>
    <w:rsid w:val="13F35589"/>
    <w:rsid w:val="1657506E"/>
    <w:rsid w:val="182E2598"/>
    <w:rsid w:val="19617E04"/>
    <w:rsid w:val="1A6F95F5"/>
    <w:rsid w:val="1CBBA10E"/>
    <w:rsid w:val="1D5A5377"/>
    <w:rsid w:val="1FFD6EB9"/>
    <w:rsid w:val="21167005"/>
    <w:rsid w:val="2151D5F7"/>
    <w:rsid w:val="22CD8DAB"/>
    <w:rsid w:val="23000A78"/>
    <w:rsid w:val="259B96C1"/>
    <w:rsid w:val="26E495FD"/>
    <w:rsid w:val="286263E7"/>
    <w:rsid w:val="2CD4C3E9"/>
    <w:rsid w:val="2E7C7AF5"/>
    <w:rsid w:val="2EBD0170"/>
    <w:rsid w:val="30A03831"/>
    <w:rsid w:val="3329238A"/>
    <w:rsid w:val="37DA44EE"/>
    <w:rsid w:val="3F803554"/>
    <w:rsid w:val="3FA1DBD4"/>
    <w:rsid w:val="402D3E52"/>
    <w:rsid w:val="46682AC6"/>
    <w:rsid w:val="4839D28C"/>
    <w:rsid w:val="48A5EE09"/>
    <w:rsid w:val="4A15B5F3"/>
    <w:rsid w:val="4C3498BB"/>
    <w:rsid w:val="4F4DA8C9"/>
    <w:rsid w:val="51A85FE6"/>
    <w:rsid w:val="5220BC8E"/>
    <w:rsid w:val="52D80861"/>
    <w:rsid w:val="53099135"/>
    <w:rsid w:val="53361854"/>
    <w:rsid w:val="5367B220"/>
    <w:rsid w:val="58CCE298"/>
    <w:rsid w:val="595CD403"/>
    <w:rsid w:val="5BFA5767"/>
    <w:rsid w:val="5EE61739"/>
    <w:rsid w:val="603D9178"/>
    <w:rsid w:val="6159CDB3"/>
    <w:rsid w:val="627338E7"/>
    <w:rsid w:val="634B0351"/>
    <w:rsid w:val="64FE11F8"/>
    <w:rsid w:val="69E5496F"/>
    <w:rsid w:val="6B77CE6E"/>
    <w:rsid w:val="6C2029D7"/>
    <w:rsid w:val="6DB4E64B"/>
    <w:rsid w:val="6E8517C8"/>
    <w:rsid w:val="6F5060FE"/>
    <w:rsid w:val="70AB3922"/>
    <w:rsid w:val="7176CA42"/>
    <w:rsid w:val="72A12A1D"/>
    <w:rsid w:val="76E895E0"/>
    <w:rsid w:val="78AA1CC8"/>
    <w:rsid w:val="78CD1456"/>
    <w:rsid w:val="79C5A426"/>
    <w:rsid w:val="7A9313A5"/>
    <w:rsid w:val="7B4A43F5"/>
    <w:rsid w:val="7C2EE406"/>
    <w:rsid w:val="7C676BC4"/>
    <w:rsid w:val="7D0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A159"/>
  <w15:chartTrackingRefBased/>
  <w15:docId w15:val="{662B9654-4F3C-4F3F-B889-EA51DD470A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1030"/>
    <w:pPr>
      <w:spacing w:after="0"/>
    </w:pPr>
    <w:rPr>
      <w:rFonts w:ascii="Arial" w:hAnsi="Arial" w:cs="Arial"/>
      <w:bCs/>
      <w:sz w:val="24"/>
    </w:rPr>
  </w:style>
  <w:style w:type="paragraph" w:styleId="Heading1">
    <w:name w:val="heading 1"/>
    <w:basedOn w:val="Normal"/>
    <w:link w:val="Heading1Char"/>
    <w:uiPriority w:val="9"/>
    <w:qFormat/>
    <w:rsid w:val="0059459A"/>
    <w:pPr>
      <w:spacing w:before="100" w:beforeAutospacing="1" w:after="100" w:afterAutospacing="1" w:line="240" w:lineRule="auto"/>
      <w:outlineLvl w:val="0"/>
    </w:pPr>
    <w:rPr>
      <w:rFonts w:cs="Times New Roman"/>
      <w:b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C86"/>
    <w:pPr>
      <w:keepNext/>
      <w:spacing w:before="240" w:after="60"/>
      <w:outlineLvl w:val="1"/>
    </w:pPr>
    <w:rPr>
      <w:b/>
      <w:bCs w:val="0"/>
      <w:iCs/>
      <w:sz w:val="32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459A"/>
    <w:rPr>
      <w:rFonts w:ascii="Arial" w:hAnsi="Arial" w:cs="Times New Roman"/>
      <w:b/>
      <w:bCs/>
      <w:kern w:val="36"/>
      <w:sz w:val="32"/>
      <w:szCs w:val="48"/>
      <w:lang w:eastAsia="en-GB"/>
    </w:rPr>
  </w:style>
  <w:style w:type="character" w:styleId="Heading2Char" w:customStyle="1">
    <w:name w:val="Heading 2 Char"/>
    <w:link w:val="Heading2"/>
    <w:uiPriority w:val="9"/>
    <w:rsid w:val="00F37C86"/>
    <w:rPr>
      <w:rFonts w:ascii="Arial" w:hAnsi="Arial"/>
      <w:b/>
      <w:bCs/>
      <w:iCs/>
      <w:sz w:val="32"/>
      <w:szCs w:val="28"/>
    </w:rPr>
  </w:style>
  <w:style w:type="paragraph" w:styleId="ListParagraph">
    <w:name w:val="List Paragraph"/>
    <w:basedOn w:val="Normal"/>
    <w:uiPriority w:val="34"/>
    <w:qFormat/>
    <w:rsid w:val="00DB3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E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E1E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E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E1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3E1E"/>
    <w:rPr>
      <w:rFonts w:ascii="Arial" w:hAnsi="Arial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E1E"/>
    <w:rPr>
      <w:b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3E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ebsappxlv-sso.adcom.ucl.ac.uk:4443/oam/server/obrareq.cgi?encquery%3D8DCFaxcfQ7gwdLKNDjmMVj84rzy2mFaKtV%2Bt2jIdvgNdd2zhPXJvJDpp6EPkWEdIQzu2kUVdSJwOZ3vrUv7JqInVbzYLuW1nwnS7DX54UBob1bXaRV7xyxm7CHre6QA74hjOQuk0RAkZ3rrRmJoQMVntvoZau05RMzN11JD0jw6lS3rEK0wSwhulNUOk90matGcSLKVO6weyPqULknbuMFcRRNteqrlrDRjcqCkdfRDsu%2BbOQwpp4GN0DDawvDxLU1fILdj8kEzce4cMpml%2FPQT9JmSSxRgisyMX8KvtHTdXIHssfYEZyjFGsuERm3rw18A4nAzt%2FNJ8VDuY6ncLNP4fydaSXHXdScUu%2Fv80Imif0C%2FfRihoZXjyMTsgzQZlW1tufe%2F2Z2X5ZS12lzUgD6Y2CUHClPkJSyf7%2BuRqJ5n4wodc0WcB3zX0xEyDqogQxr8Y3ywg%2FBjF2%2B9bc%2BPvCB0g4kdoObrsqeuS%2BoM75e5uL6%2F1hSOOZVt749sao00g24E8bGRy2lEjhllVgej6qgoJ%2FToYlMrWomdImJ5d%2BIT4UgaIDuLqfy%2BkrrsOeg6oMkEk1M%2FyaRjZQezmO7NrJtgF4HMlwP9PmFcnIfgLaoOFRAX5VIBUpa4OJtpkN8eJnKDyvCTV7i9QF6%2BiEKvb7Npk8k8qniqDcSNPyuLnyqLYaDPeDXT7B6NWNguKbLgH9ibjYNgh9PmeqHOwU8A09UHOhCpjB4W8aviLyP70EzdawAl909xwr%2BFgaLAJT0y0fnmfrxgxTV33xAqM4cLlk4rMkLXPI%2Bw%2BC3swKiESZpeQbpJP7HJZVhs666RxWyPWIQCCmTzTiDeW4cKc5i2Rnf6FM1kkkk3WDiBijguq3Tz%2FscAkszNSPvmD3KTD0KhTgYlbHBFBwaHaA8DmCgwPnzQH%2Fzi8U7%2F7gFwEu8JSd9Us4eNMk1cKCnK8OoOIxiC2O8yQreNJ5pmgXdW4lr7HF0JTvnSl0DvNmBAUdiWkoqEsagUx63iEZTye4hFsevyDiCuY%2B%2B3FOZjfID2bqGT1xVbfo4Q6kYLnKo0ka99%2BHMhCJx7lf0IiNJAaoKtexmJ0zxZjrQkKcW9TpQf78jQs7fEDW6ncgLZ4ubUuRep3p7tDG2qKkPF%2F2Gugf1%2FB%2FkI9tE9NQgXt0CKzNVhxg852y7DsBz4FhDj%2FD8P8D5L0DcRh69r2NB3psNJaAOTJOHUmqkdyycqgYr2aexTx%2By0c3DB%2Btjp%2FnyJpH08R1AJxuxtHyr1YTMiWyrOYHnmuUpMe1jOVj8sJTmaLQnFk4Uk2dAbriRmmxnbukYKGhFNSyKFNL4fJnlRTjWdnnBfLJJgHkKXZ0%2BSziJlotOfd4WLkqJVgirPfCPYGbbRm2LNckhFiHLiYrdwGU3os8cj0%2FgY5YpsLR4xflaDZnKfoZ7UeMcsuhjWslRBa%2Fn4irmY1OPfd44oWLAIn85BnDM5SYuB6vMRZA6giWOCNwBUI6V287OfcBqJAb%2BIhwJYo4DLWak2TQJvAAI%2FhJFvv%2BW7130%2FCNupgGgevVsMxqo5OQTnUHdKBfSZqDJn6O0nNlOe0WX96hEDC4Uur5YWIkUnTKCIRk30xXEX17mUVtDKAePsscjdJUHBFEpb11mrk9aW94gppWGBP2G5Ajo3XtHvr5a3G%20agentid%3DEBSLIV_ebscorelv-liv.adcom.ucl.ac.uk_4444%20ver%3D1%20crmethod%3D2&amp;ECID-Context=1.005uwHee3H22vHt_wdK6yW000Faf0000hY%3BkXjE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l.ac.uk/human-resources/sites/human_resources/files/view_your_payslips.docx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www.ucl.ac.uk/human-resources/sites/human_resources/files/view_your_payslips.docx" TargetMode="External" Id="rId9" /><Relationship Type="http://schemas.microsoft.com/office/2016/09/relationships/commentsIds" Target="commentsIds.xml" Id="rId14" /><Relationship Type="http://schemas.openxmlformats.org/officeDocument/2006/relationships/hyperlink" Target="https://www.ucl.ac.uk/human-resources/pay-benefits/salary-scales" TargetMode="External" Id="Rf6d32f1a40d44b76" /><Relationship Type="http://schemas.openxmlformats.org/officeDocument/2006/relationships/image" Target="/media/image2.png" Id="Rb15fcf90c7624875" /><Relationship Type="http://schemas.openxmlformats.org/officeDocument/2006/relationships/image" Target="/media/image3.png" Id="R4eb5939f0f984c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5FA5C51D20F4586788B57515E50C1" ma:contentTypeVersion="4" ma:contentTypeDescription="Create a new document." ma:contentTypeScope="" ma:versionID="76469328a3481bfc1ba0e6fc259f89eb">
  <xsd:schema xmlns:xsd="http://www.w3.org/2001/XMLSchema" xmlns:xs="http://www.w3.org/2001/XMLSchema" xmlns:p="http://schemas.microsoft.com/office/2006/metadata/properties" xmlns:ns2="f5e24018-62b3-45b8-bc32-914ae7fd4c63" xmlns:ns3="54a7be17-42a7-4895-b396-7c3f2182627a" targetNamespace="http://schemas.microsoft.com/office/2006/metadata/properties" ma:root="true" ma:fieldsID="171f085ebed7e3007e2ba3c71e42645d" ns2:_="" ns3:_="">
    <xsd:import namespace="f5e24018-62b3-45b8-bc32-914ae7fd4c63"/>
    <xsd:import namespace="54a7be17-42a7-4895-b396-7c3f21826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24018-62b3-45b8-bc32-914ae7fd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be17-42a7-4895-b396-7c3f21826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96A9D-733E-4ED6-95C8-9155AC8E8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D4CD6-1EEA-4422-8351-80C8F28E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24018-62b3-45b8-bc32-914ae7fd4c63"/>
    <ds:schemaRef ds:uri="54a7be17-42a7-4895-b396-7c3f21826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B712C-E31B-4E82-9479-04D555EAA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Rea, Lorren</dc:creator>
  <keywords/>
  <dc:description/>
  <lastModifiedBy>Tomson, Laura</lastModifiedBy>
  <revision>45</revision>
  <dcterms:created xsi:type="dcterms:W3CDTF">2022-10-28T19:51:00.0000000Z</dcterms:created>
  <dcterms:modified xsi:type="dcterms:W3CDTF">2022-11-14T13:18:35.7106716Z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0x0101000555FA5C51D20F4586788B57515E50C1</vt:lpwstr>
  </property>
</Properties>
</file>