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CCDD2" w14:textId="77777777" w:rsidR="00FE2DCF" w:rsidRPr="001B4E80" w:rsidRDefault="00FE2DCF" w:rsidP="00FC1584">
      <w:pPr>
        <w:spacing w:line="276" w:lineRule="auto"/>
        <w:rPr>
          <w:rFonts w:cs="Arial"/>
          <w:b/>
          <w:bCs/>
          <w:szCs w:val="22"/>
        </w:rPr>
      </w:pPr>
    </w:p>
    <w:p w14:paraId="42D0B91C" w14:textId="77777777" w:rsidR="00A47F3A" w:rsidRPr="001B4E80" w:rsidRDefault="00A47F3A" w:rsidP="00FC1584">
      <w:pPr>
        <w:spacing w:line="276" w:lineRule="auto"/>
        <w:rPr>
          <w:rFonts w:cs="Arial"/>
          <w:b/>
          <w:bCs/>
          <w:szCs w:val="22"/>
        </w:rPr>
      </w:pPr>
    </w:p>
    <w:p w14:paraId="5C5A31CD" w14:textId="77777777" w:rsidR="00FE2DCF" w:rsidRPr="00730BBD" w:rsidRDefault="00FE2DCF" w:rsidP="00730BBD">
      <w:pPr>
        <w:pStyle w:val="Heading1"/>
      </w:pPr>
      <w:r w:rsidRPr="00730BBD">
        <w:t>Covid-19</w:t>
      </w:r>
      <w:r w:rsidR="004B5A33" w:rsidRPr="00730BBD">
        <w:t>s</w:t>
      </w:r>
      <w:r w:rsidRPr="00730BBD">
        <w:t xml:space="preserve"> </w:t>
      </w:r>
      <w:r w:rsidR="00E303DF" w:rsidRPr="00730BBD">
        <w:t>Individual Health Assessment Tool for Managers.</w:t>
      </w:r>
    </w:p>
    <w:p w14:paraId="0B355C05" w14:textId="667EAC45" w:rsidR="00937A4C" w:rsidRPr="001B4E80" w:rsidRDefault="00937A4C" w:rsidP="00FC1584">
      <w:pPr>
        <w:spacing w:line="276" w:lineRule="auto"/>
        <w:rPr>
          <w:rFonts w:cs="Arial"/>
          <w:szCs w:val="22"/>
        </w:rPr>
      </w:pPr>
      <w:r w:rsidRPr="001B4E80">
        <w:rPr>
          <w:rFonts w:cs="Arial"/>
          <w:szCs w:val="22"/>
        </w:rPr>
        <w:t xml:space="preserve">Managers are advised to </w:t>
      </w:r>
      <w:r w:rsidR="00585DA2" w:rsidRPr="001B4E80">
        <w:rPr>
          <w:rFonts w:cs="Arial"/>
          <w:szCs w:val="22"/>
        </w:rPr>
        <w:t>ask</w:t>
      </w:r>
      <w:r w:rsidRPr="001B4E80">
        <w:rPr>
          <w:rFonts w:cs="Arial"/>
          <w:szCs w:val="22"/>
        </w:rPr>
        <w:t xml:space="preserve"> all their direct reports whether </w:t>
      </w:r>
      <w:r w:rsidR="001808FB">
        <w:rPr>
          <w:rFonts w:ascii="Helvetica" w:hAnsi="Helvetica"/>
          <w:color w:val="000000"/>
          <w:bdr w:val="none" w:sz="0" w:space="0" w:color="auto" w:frame="1"/>
          <w:shd w:val="clear" w:color="auto" w:fill="FFFFFF"/>
        </w:rPr>
        <w:t>they consider themselves to</w:t>
      </w:r>
      <w:r w:rsidRPr="001B4E80">
        <w:rPr>
          <w:rFonts w:cs="Arial"/>
          <w:szCs w:val="22"/>
        </w:rPr>
        <w:t xml:space="preserve"> be at higher risk </w:t>
      </w:r>
      <w:r w:rsidR="001F6508" w:rsidRPr="001B4E80">
        <w:rPr>
          <w:rFonts w:cs="Arial"/>
          <w:szCs w:val="22"/>
        </w:rPr>
        <w:t xml:space="preserve">of suffering adversely from </w:t>
      </w:r>
      <w:r w:rsidR="005F7161" w:rsidRPr="001B4E80">
        <w:rPr>
          <w:rFonts w:cs="Arial"/>
          <w:szCs w:val="22"/>
        </w:rPr>
        <w:t>COVID</w:t>
      </w:r>
      <w:r w:rsidRPr="001B4E80">
        <w:rPr>
          <w:rFonts w:cs="Arial"/>
          <w:szCs w:val="22"/>
        </w:rPr>
        <w:t>-19 and to check-in about their general wellbeing.</w:t>
      </w:r>
    </w:p>
    <w:p w14:paraId="1917D76D" w14:textId="02199317" w:rsidR="00585DA2" w:rsidRPr="001B4E80" w:rsidRDefault="000D60B8" w:rsidP="00FC1584">
      <w:pPr>
        <w:spacing w:line="276" w:lineRule="auto"/>
        <w:rPr>
          <w:rFonts w:cs="Arial"/>
          <w:szCs w:val="22"/>
        </w:rPr>
      </w:pPr>
      <w:r>
        <w:rPr>
          <w:rFonts w:cs="Arial"/>
          <w:szCs w:val="22"/>
        </w:rPr>
        <w:t>If your</w:t>
      </w:r>
      <w:r w:rsidR="001B4E80" w:rsidRPr="001B4E80">
        <w:rPr>
          <w:rFonts w:cs="Arial"/>
          <w:szCs w:val="22"/>
        </w:rPr>
        <w:t xml:space="preserve"> staff member </w:t>
      </w:r>
      <w:r w:rsidR="001808FB">
        <w:rPr>
          <w:rFonts w:ascii="Helvetica" w:hAnsi="Helvetica"/>
          <w:color w:val="000000"/>
          <w:bdr w:val="none" w:sz="0" w:space="0" w:color="auto" w:frame="1"/>
          <w:shd w:val="clear" w:color="auto" w:fill="FFFFFF"/>
        </w:rPr>
        <w:t>does believe themselves to </w:t>
      </w:r>
      <w:r w:rsidR="001808FB">
        <w:rPr>
          <w:rFonts w:ascii="Helvetica" w:hAnsi="Helvetica"/>
          <w:color w:val="000000"/>
          <w:shd w:val="clear" w:color="auto" w:fill="FFFFFF"/>
        </w:rPr>
        <w:t xml:space="preserve">be </w:t>
      </w:r>
      <w:r w:rsidR="00937A4C" w:rsidRPr="001B4E80">
        <w:rPr>
          <w:rFonts w:cs="Arial"/>
          <w:szCs w:val="22"/>
        </w:rPr>
        <w:t>at greater risk</w:t>
      </w:r>
      <w:r w:rsidR="00296C40">
        <w:rPr>
          <w:rFonts w:cs="Arial"/>
          <w:szCs w:val="22"/>
        </w:rPr>
        <w:t xml:space="preserve">, we recommend that </w:t>
      </w:r>
      <w:r>
        <w:rPr>
          <w:rFonts w:cs="Arial"/>
          <w:szCs w:val="22"/>
        </w:rPr>
        <w:t>you</w:t>
      </w:r>
      <w:r w:rsidR="00585DA2" w:rsidRPr="001B4E80">
        <w:rPr>
          <w:rFonts w:cs="Arial"/>
          <w:szCs w:val="22"/>
        </w:rPr>
        <w:t xml:space="preserve"> work through this</w:t>
      </w:r>
      <w:r w:rsidR="000B79C9">
        <w:rPr>
          <w:rFonts w:cs="Arial"/>
          <w:szCs w:val="22"/>
        </w:rPr>
        <w:t xml:space="preserve"> health assessment</w:t>
      </w:r>
      <w:r w:rsidR="00585DA2" w:rsidRPr="001B4E80">
        <w:rPr>
          <w:rFonts w:cs="Arial"/>
          <w:szCs w:val="22"/>
        </w:rPr>
        <w:t xml:space="preserve"> tool </w:t>
      </w:r>
      <w:r w:rsidR="000B79C9">
        <w:rPr>
          <w:rFonts w:cs="Arial"/>
          <w:szCs w:val="22"/>
        </w:rPr>
        <w:t>and</w:t>
      </w:r>
      <w:r w:rsidR="00937A4C" w:rsidRPr="001B4E80">
        <w:rPr>
          <w:rFonts w:cs="Arial"/>
          <w:szCs w:val="22"/>
        </w:rPr>
        <w:t xml:space="preserve"> have a conversation </w:t>
      </w:r>
      <w:r w:rsidR="00296C40">
        <w:rPr>
          <w:rFonts w:cs="Arial"/>
          <w:szCs w:val="22"/>
        </w:rPr>
        <w:t xml:space="preserve">with them </w:t>
      </w:r>
      <w:r w:rsidR="00937A4C" w:rsidRPr="001B4E80">
        <w:rPr>
          <w:rFonts w:cs="Arial"/>
          <w:szCs w:val="22"/>
        </w:rPr>
        <w:t xml:space="preserve">around their possible risk factors. </w:t>
      </w:r>
      <w:r w:rsidR="001B4E80" w:rsidRPr="001B4E80">
        <w:rPr>
          <w:rFonts w:cs="Arial"/>
          <w:szCs w:val="22"/>
        </w:rPr>
        <w:t xml:space="preserve">Help is available from your HR Business Partner to support you with this assessment if required.  </w:t>
      </w:r>
      <w:r>
        <w:rPr>
          <w:rFonts w:cs="Arial"/>
          <w:szCs w:val="22"/>
        </w:rPr>
        <w:t xml:space="preserve">There is no requirement to complete this tool with all staff members. </w:t>
      </w:r>
    </w:p>
    <w:p w14:paraId="42B03F7F" w14:textId="3A329CBA" w:rsidR="00965954" w:rsidRDefault="00296C40" w:rsidP="00FC1584">
      <w:pPr>
        <w:spacing w:line="276" w:lineRule="auto"/>
        <w:rPr>
          <w:rFonts w:cs="Arial"/>
          <w:szCs w:val="22"/>
        </w:rPr>
      </w:pPr>
      <w:r>
        <w:rPr>
          <w:rFonts w:cs="Arial"/>
          <w:szCs w:val="22"/>
        </w:rPr>
        <w:t xml:space="preserve">Please </w:t>
      </w:r>
      <w:r w:rsidR="000B79C9">
        <w:rPr>
          <w:rFonts w:cs="Arial"/>
          <w:szCs w:val="22"/>
        </w:rPr>
        <w:t>consider the type of role and the level of risk the indiv</w:t>
      </w:r>
      <w:r w:rsidR="000D60B8">
        <w:rPr>
          <w:rFonts w:cs="Arial"/>
          <w:szCs w:val="22"/>
        </w:rPr>
        <w:t>id</w:t>
      </w:r>
      <w:r w:rsidR="000B79C9">
        <w:rPr>
          <w:rFonts w:cs="Arial"/>
          <w:szCs w:val="22"/>
        </w:rPr>
        <w:t>ual may have</w:t>
      </w:r>
      <w:r>
        <w:rPr>
          <w:rFonts w:cs="Arial"/>
          <w:szCs w:val="22"/>
        </w:rPr>
        <w:t>, using</w:t>
      </w:r>
      <w:r w:rsidR="000B79C9">
        <w:rPr>
          <w:rFonts w:cs="Arial"/>
          <w:szCs w:val="22"/>
        </w:rPr>
        <w:t xml:space="preserve"> the </w:t>
      </w:r>
      <w:r w:rsidR="006A78DE" w:rsidRPr="006A78DE">
        <w:rPr>
          <w:rFonts w:cs="Arial"/>
          <w:szCs w:val="22"/>
        </w:rPr>
        <w:t>return to on site working risk assessments you will have completed</w:t>
      </w:r>
      <w:r w:rsidR="006A78DE" w:rsidRPr="006A78DE" w:rsidDel="006A78DE">
        <w:rPr>
          <w:rFonts w:cs="Arial"/>
          <w:szCs w:val="22"/>
        </w:rPr>
        <w:t xml:space="preserve"> </w:t>
      </w:r>
      <w:r w:rsidR="000B79C9">
        <w:rPr>
          <w:rFonts w:cs="Arial"/>
          <w:szCs w:val="22"/>
        </w:rPr>
        <w:t xml:space="preserve">for your area. </w:t>
      </w:r>
      <w:r w:rsidR="000D60B8">
        <w:rPr>
          <w:rFonts w:cs="Arial"/>
          <w:szCs w:val="22"/>
        </w:rPr>
        <w:t xml:space="preserve">For example, a role that has higher face to face </w:t>
      </w:r>
      <w:r>
        <w:rPr>
          <w:rFonts w:cs="Arial"/>
          <w:szCs w:val="22"/>
        </w:rPr>
        <w:t>contact</w:t>
      </w:r>
      <w:r w:rsidR="000D60B8">
        <w:rPr>
          <w:rFonts w:cs="Arial"/>
          <w:szCs w:val="22"/>
        </w:rPr>
        <w:t xml:space="preserve"> with a large number of people i</w:t>
      </w:r>
      <w:r w:rsidR="00DD1376">
        <w:rPr>
          <w:rFonts w:cs="Arial"/>
          <w:szCs w:val="22"/>
        </w:rPr>
        <w:t>s</w:t>
      </w:r>
      <w:r w:rsidR="000D60B8">
        <w:rPr>
          <w:rFonts w:cs="Arial"/>
          <w:szCs w:val="22"/>
        </w:rPr>
        <w:t xml:space="preserve"> likely to be</w:t>
      </w:r>
      <w:r w:rsidR="00DD1376">
        <w:rPr>
          <w:rFonts w:cs="Arial"/>
          <w:szCs w:val="22"/>
        </w:rPr>
        <w:t xml:space="preserve"> at increased risk of exposure depending on the measures in place locally </w:t>
      </w:r>
    </w:p>
    <w:p w14:paraId="2E9B4AC7" w14:textId="355C3EAE" w:rsidR="00965954" w:rsidRDefault="000D60B8" w:rsidP="00FC1584">
      <w:pPr>
        <w:spacing w:line="276" w:lineRule="auto"/>
        <w:rPr>
          <w:rFonts w:cs="Arial"/>
          <w:szCs w:val="22"/>
        </w:rPr>
      </w:pPr>
      <w:r>
        <w:rPr>
          <w:rFonts w:cs="Arial"/>
          <w:szCs w:val="22"/>
        </w:rPr>
        <w:t xml:space="preserve">Staff </w:t>
      </w:r>
      <w:r w:rsidR="00296C40">
        <w:rPr>
          <w:rFonts w:cs="Arial"/>
          <w:szCs w:val="22"/>
        </w:rPr>
        <w:t>are advised to</w:t>
      </w:r>
      <w:r>
        <w:rPr>
          <w:rFonts w:cs="Arial"/>
          <w:szCs w:val="22"/>
        </w:rPr>
        <w:t xml:space="preserve"> read the information </w:t>
      </w:r>
      <w:hyperlink r:id="rId10" w:history="1">
        <w:r w:rsidRPr="000D60B8">
          <w:rPr>
            <w:rStyle w:val="Hyperlink"/>
            <w:rFonts w:cs="Arial"/>
            <w:szCs w:val="22"/>
          </w:rPr>
          <w:t>on getting to campus</w:t>
        </w:r>
      </w:hyperlink>
      <w:r w:rsidR="00756CB5">
        <w:rPr>
          <w:rFonts w:cs="Arial"/>
          <w:szCs w:val="22"/>
        </w:rPr>
        <w:t xml:space="preserve"> and g</w:t>
      </w:r>
      <w:r w:rsidR="00DD1376">
        <w:rPr>
          <w:rFonts w:cs="Arial"/>
          <w:szCs w:val="22"/>
        </w:rPr>
        <w:t>eneral</w:t>
      </w:r>
      <w:r w:rsidR="00965954">
        <w:rPr>
          <w:rFonts w:cs="Arial"/>
          <w:szCs w:val="22"/>
        </w:rPr>
        <w:t xml:space="preserve"> advice on </w:t>
      </w:r>
      <w:hyperlink r:id="rId11" w:history="1">
        <w:r w:rsidR="00965954" w:rsidRPr="00756CB5">
          <w:rPr>
            <w:rStyle w:val="Hyperlink"/>
            <w:rFonts w:cs="Arial"/>
            <w:szCs w:val="22"/>
          </w:rPr>
          <w:t>checking</w:t>
        </w:r>
        <w:r w:rsidR="00DD1376" w:rsidRPr="00756CB5">
          <w:rPr>
            <w:rStyle w:val="Hyperlink"/>
            <w:rFonts w:cs="Arial"/>
            <w:szCs w:val="22"/>
          </w:rPr>
          <w:t>-</w:t>
        </w:r>
        <w:r w:rsidR="00965954" w:rsidRPr="00756CB5">
          <w:rPr>
            <w:rStyle w:val="Hyperlink"/>
            <w:rFonts w:cs="Arial"/>
            <w:szCs w:val="22"/>
          </w:rPr>
          <w:t xml:space="preserve">in with your team’s </w:t>
        </w:r>
        <w:r w:rsidRPr="00756CB5">
          <w:rPr>
            <w:rStyle w:val="Hyperlink"/>
            <w:rFonts w:cs="Arial"/>
            <w:szCs w:val="22"/>
          </w:rPr>
          <w:t>wellbeing</w:t>
        </w:r>
      </w:hyperlink>
      <w:r w:rsidR="00756CB5">
        <w:rPr>
          <w:rFonts w:cs="Arial"/>
          <w:szCs w:val="22"/>
        </w:rPr>
        <w:t xml:space="preserve">. </w:t>
      </w:r>
      <w:r w:rsidR="00965954">
        <w:rPr>
          <w:rFonts w:cs="Arial"/>
          <w:szCs w:val="22"/>
        </w:rPr>
        <w:t xml:space="preserve"> </w:t>
      </w:r>
    </w:p>
    <w:p w14:paraId="2EDD7A9E" w14:textId="25599988" w:rsidR="00E75385" w:rsidRDefault="00E75385" w:rsidP="00FC1584">
      <w:pPr>
        <w:spacing w:line="276" w:lineRule="auto"/>
        <w:rPr>
          <w:rFonts w:cs="Arial"/>
          <w:szCs w:val="22"/>
        </w:rPr>
      </w:pPr>
      <w:r>
        <w:rPr>
          <w:rFonts w:cs="Arial"/>
          <w:szCs w:val="22"/>
        </w:rPr>
        <w:t xml:space="preserve">Face coverings should be worn on campus at all times when around others. Please see </w:t>
      </w:r>
      <w:hyperlink r:id="rId12" w:history="1">
        <w:r>
          <w:rPr>
            <w:rStyle w:val="Hyperlink"/>
          </w:rPr>
          <w:t>Keeping our community safe</w:t>
        </w:r>
      </w:hyperlink>
      <w:r>
        <w:rPr>
          <w:rFonts w:cs="Arial"/>
          <w:szCs w:val="22"/>
        </w:rPr>
        <w:t xml:space="preserve"> for further information. </w:t>
      </w:r>
    </w:p>
    <w:p w14:paraId="1D8A256F" w14:textId="77777777" w:rsidR="00E75385" w:rsidRDefault="00E75385" w:rsidP="00FC1584">
      <w:pPr>
        <w:spacing w:line="276" w:lineRule="auto"/>
        <w:rPr>
          <w:rFonts w:cs="Arial"/>
          <w:szCs w:val="22"/>
        </w:rPr>
      </w:pPr>
    </w:p>
    <w:p w14:paraId="3D4F603E" w14:textId="77777777" w:rsidR="001D03C2" w:rsidRPr="00730BBD" w:rsidRDefault="000B79C9" w:rsidP="00730BBD">
      <w:pPr>
        <w:pStyle w:val="Heading2"/>
      </w:pPr>
      <w:r w:rsidRPr="00730BBD">
        <w:t xml:space="preserve">Health </w:t>
      </w:r>
      <w:r w:rsidR="001D03C2" w:rsidRPr="00730BBD">
        <w:t xml:space="preserve">Risk Assessment </w:t>
      </w:r>
    </w:p>
    <w:p w14:paraId="292C06D6" w14:textId="77777777" w:rsidR="008D5114" w:rsidRPr="001B4E80" w:rsidRDefault="008D5114" w:rsidP="00FC1584">
      <w:pPr>
        <w:pStyle w:val="Default"/>
        <w:spacing w:line="276" w:lineRule="auto"/>
        <w:rPr>
          <w:rFonts w:ascii="Arial" w:hAnsi="Arial" w:cs="Arial"/>
          <w:sz w:val="22"/>
          <w:szCs w:val="22"/>
        </w:rPr>
      </w:pPr>
    </w:p>
    <w:p w14:paraId="190F1131" w14:textId="394A2A92" w:rsidR="001D03C2" w:rsidRPr="001B4E80" w:rsidRDefault="001D03C2" w:rsidP="00FC1584">
      <w:pPr>
        <w:pStyle w:val="Default"/>
        <w:spacing w:line="276" w:lineRule="auto"/>
        <w:rPr>
          <w:rFonts w:ascii="Arial" w:hAnsi="Arial" w:cs="Arial"/>
          <w:sz w:val="22"/>
          <w:szCs w:val="22"/>
        </w:rPr>
      </w:pPr>
      <w:r w:rsidRPr="001B4E80">
        <w:rPr>
          <w:rFonts w:ascii="Arial" w:hAnsi="Arial" w:cs="Arial"/>
          <w:sz w:val="22"/>
          <w:szCs w:val="22"/>
        </w:rPr>
        <w:t>The</w:t>
      </w:r>
      <w:r w:rsidR="000B79C9">
        <w:rPr>
          <w:rFonts w:ascii="Arial" w:hAnsi="Arial" w:cs="Arial"/>
          <w:sz w:val="22"/>
          <w:szCs w:val="22"/>
        </w:rPr>
        <w:t xml:space="preserve"> health</w:t>
      </w:r>
      <w:r w:rsidRPr="001B4E80">
        <w:rPr>
          <w:rFonts w:ascii="Arial" w:hAnsi="Arial" w:cs="Arial"/>
          <w:sz w:val="22"/>
          <w:szCs w:val="22"/>
        </w:rPr>
        <w:t xml:space="preserve"> risk assessment tool </w:t>
      </w:r>
      <w:r w:rsidR="0009604B">
        <w:rPr>
          <w:rFonts w:ascii="Arial" w:hAnsi="Arial" w:cs="Arial"/>
          <w:sz w:val="22"/>
          <w:szCs w:val="22"/>
        </w:rPr>
        <w:t xml:space="preserve">below </w:t>
      </w:r>
      <w:r w:rsidRPr="001B4E80">
        <w:rPr>
          <w:rFonts w:ascii="Arial" w:hAnsi="Arial" w:cs="Arial"/>
          <w:sz w:val="22"/>
          <w:szCs w:val="22"/>
        </w:rPr>
        <w:t xml:space="preserve">aims to assess individual </w:t>
      </w:r>
      <w:r w:rsidR="00296C40">
        <w:rPr>
          <w:rFonts w:ascii="Arial" w:hAnsi="Arial" w:cs="Arial"/>
          <w:sz w:val="22"/>
          <w:szCs w:val="22"/>
        </w:rPr>
        <w:t>medical</w:t>
      </w:r>
      <w:r w:rsidRPr="001B4E80">
        <w:rPr>
          <w:rFonts w:ascii="Arial" w:hAnsi="Arial" w:cs="Arial"/>
          <w:sz w:val="22"/>
          <w:szCs w:val="22"/>
        </w:rPr>
        <w:t xml:space="preserve"> risk to </w:t>
      </w:r>
      <w:r w:rsidR="0009604B">
        <w:rPr>
          <w:rFonts w:ascii="Arial" w:hAnsi="Arial" w:cs="Arial"/>
          <w:sz w:val="22"/>
          <w:szCs w:val="22"/>
        </w:rPr>
        <w:t>identify those</w:t>
      </w:r>
      <w:r w:rsidR="00296C40">
        <w:rPr>
          <w:rFonts w:ascii="Arial" w:hAnsi="Arial" w:cs="Arial"/>
          <w:sz w:val="22"/>
          <w:szCs w:val="22"/>
        </w:rPr>
        <w:t xml:space="preserve"> </w:t>
      </w:r>
      <w:r w:rsidRPr="001B4E80">
        <w:rPr>
          <w:rFonts w:ascii="Arial" w:hAnsi="Arial" w:cs="Arial"/>
          <w:sz w:val="22"/>
          <w:szCs w:val="22"/>
        </w:rPr>
        <w:t xml:space="preserve">employees </w:t>
      </w:r>
      <w:r w:rsidR="00296C40">
        <w:rPr>
          <w:rFonts w:ascii="Arial" w:hAnsi="Arial" w:cs="Arial"/>
          <w:sz w:val="22"/>
          <w:szCs w:val="22"/>
        </w:rPr>
        <w:t xml:space="preserve">who may be </w:t>
      </w:r>
      <w:r w:rsidRPr="001B4E80">
        <w:rPr>
          <w:rFonts w:ascii="Arial" w:hAnsi="Arial" w:cs="Arial"/>
          <w:sz w:val="22"/>
          <w:szCs w:val="22"/>
        </w:rPr>
        <w:t xml:space="preserve">at </w:t>
      </w:r>
      <w:r w:rsidR="00296C40">
        <w:rPr>
          <w:rFonts w:ascii="Arial" w:hAnsi="Arial" w:cs="Arial"/>
          <w:sz w:val="22"/>
          <w:szCs w:val="22"/>
        </w:rPr>
        <w:t>greater risk of a serious illness if they develop C</w:t>
      </w:r>
      <w:r w:rsidR="0009604B">
        <w:rPr>
          <w:rFonts w:ascii="Arial" w:hAnsi="Arial" w:cs="Arial"/>
          <w:sz w:val="22"/>
          <w:szCs w:val="22"/>
        </w:rPr>
        <w:t>OVID</w:t>
      </w:r>
      <w:r w:rsidR="00296C40">
        <w:rPr>
          <w:rFonts w:ascii="Arial" w:hAnsi="Arial" w:cs="Arial"/>
          <w:sz w:val="22"/>
          <w:szCs w:val="22"/>
        </w:rPr>
        <w:t xml:space="preserve">-19. It is </w:t>
      </w:r>
      <w:r w:rsidR="0009604B">
        <w:rPr>
          <w:rFonts w:ascii="Arial" w:hAnsi="Arial" w:cs="Arial"/>
          <w:sz w:val="22"/>
          <w:szCs w:val="22"/>
        </w:rPr>
        <w:t xml:space="preserve">based </w:t>
      </w:r>
      <w:r w:rsidR="0009604B" w:rsidRPr="001B4E80">
        <w:rPr>
          <w:rFonts w:ascii="Arial" w:hAnsi="Arial" w:cs="Arial"/>
          <w:sz w:val="22"/>
          <w:szCs w:val="22"/>
        </w:rPr>
        <w:t>on</w:t>
      </w:r>
      <w:r w:rsidRPr="001B4E80">
        <w:rPr>
          <w:rFonts w:ascii="Arial" w:hAnsi="Arial" w:cs="Arial"/>
          <w:sz w:val="22"/>
          <w:szCs w:val="22"/>
        </w:rPr>
        <w:t xml:space="preserve"> the emerging data and available evidence. </w:t>
      </w:r>
    </w:p>
    <w:p w14:paraId="72134948" w14:textId="77777777" w:rsidR="008D5114" w:rsidRPr="001B4E80" w:rsidRDefault="008D5114" w:rsidP="00FC1584">
      <w:pPr>
        <w:pStyle w:val="Default"/>
        <w:spacing w:line="276" w:lineRule="auto"/>
        <w:rPr>
          <w:rFonts w:ascii="Arial" w:hAnsi="Arial" w:cs="Arial"/>
          <w:sz w:val="22"/>
          <w:szCs w:val="22"/>
        </w:rPr>
      </w:pPr>
    </w:p>
    <w:p w14:paraId="3EC140C3" w14:textId="725754D2" w:rsidR="0009604B" w:rsidRDefault="001D03C2" w:rsidP="00FC1584">
      <w:pPr>
        <w:pStyle w:val="Default"/>
        <w:spacing w:line="276" w:lineRule="auto"/>
        <w:rPr>
          <w:rFonts w:ascii="Arial" w:hAnsi="Arial" w:cs="Arial"/>
          <w:sz w:val="22"/>
          <w:szCs w:val="22"/>
        </w:rPr>
      </w:pPr>
      <w:r w:rsidRPr="001B4E80">
        <w:rPr>
          <w:rFonts w:ascii="Arial" w:hAnsi="Arial" w:cs="Arial"/>
          <w:sz w:val="22"/>
          <w:szCs w:val="22"/>
        </w:rPr>
        <w:t xml:space="preserve">Managers </w:t>
      </w:r>
      <w:r w:rsidR="0009604B">
        <w:rPr>
          <w:rFonts w:ascii="Arial" w:hAnsi="Arial" w:cs="Arial"/>
          <w:sz w:val="22"/>
          <w:szCs w:val="22"/>
        </w:rPr>
        <w:t>are advised to</w:t>
      </w:r>
      <w:r w:rsidRPr="001B4E80">
        <w:rPr>
          <w:rFonts w:ascii="Arial" w:hAnsi="Arial" w:cs="Arial"/>
          <w:sz w:val="22"/>
          <w:szCs w:val="22"/>
        </w:rPr>
        <w:t xml:space="preserve"> listen carefully to staff concerns</w:t>
      </w:r>
      <w:r w:rsidR="00296C40">
        <w:rPr>
          <w:rFonts w:ascii="Arial" w:hAnsi="Arial" w:cs="Arial"/>
          <w:sz w:val="22"/>
          <w:szCs w:val="22"/>
        </w:rPr>
        <w:t xml:space="preserve">, </w:t>
      </w:r>
      <w:r w:rsidRPr="001B4E80">
        <w:rPr>
          <w:rFonts w:ascii="Arial" w:hAnsi="Arial" w:cs="Arial"/>
          <w:sz w:val="22"/>
          <w:szCs w:val="22"/>
        </w:rPr>
        <w:t>provide support and consider reasonable adjustments or redeployment for any staff who are identified as being at greater risk.</w:t>
      </w:r>
    </w:p>
    <w:p w14:paraId="122DB8D0" w14:textId="77777777" w:rsidR="0009604B" w:rsidRPr="001B4E80" w:rsidRDefault="0009604B" w:rsidP="00FC1584">
      <w:pPr>
        <w:pStyle w:val="Default"/>
        <w:spacing w:line="276" w:lineRule="auto"/>
        <w:rPr>
          <w:rFonts w:ascii="Arial" w:hAnsi="Arial" w:cs="Arial"/>
          <w:sz w:val="22"/>
          <w:szCs w:val="22"/>
        </w:rPr>
      </w:pPr>
    </w:p>
    <w:p w14:paraId="20EF3451" w14:textId="32A8C7F4" w:rsidR="00557E1E" w:rsidRPr="001B4E80" w:rsidRDefault="006A78DE" w:rsidP="00FC1584">
      <w:pPr>
        <w:pStyle w:val="ListParagraph"/>
        <w:numPr>
          <w:ilvl w:val="0"/>
          <w:numId w:val="35"/>
        </w:numPr>
        <w:spacing w:before="0" w:line="276" w:lineRule="auto"/>
        <w:rPr>
          <w:rFonts w:cs="Arial"/>
          <w:szCs w:val="22"/>
        </w:rPr>
      </w:pPr>
      <w:r w:rsidRPr="006A78DE">
        <w:rPr>
          <w:rFonts w:cs="Arial"/>
          <w:szCs w:val="22"/>
        </w:rPr>
        <w:t>This tool is intended to supplement your department’s the general</w:t>
      </w:r>
      <w:r w:rsidR="0009604B">
        <w:rPr>
          <w:rFonts w:cs="Arial"/>
          <w:szCs w:val="22"/>
        </w:rPr>
        <w:t xml:space="preserve"> </w:t>
      </w:r>
      <w:r w:rsidRPr="006A78DE">
        <w:rPr>
          <w:rFonts w:cs="Arial"/>
          <w:szCs w:val="22"/>
        </w:rPr>
        <w:t>return to on site working risk ass</w:t>
      </w:r>
      <w:r w:rsidR="0009604B">
        <w:rPr>
          <w:rFonts w:cs="Arial"/>
          <w:szCs w:val="22"/>
        </w:rPr>
        <w:t xml:space="preserve">essment(s) and to help you with </w:t>
      </w:r>
      <w:r w:rsidR="00557E1E" w:rsidRPr="001B4E80">
        <w:rPr>
          <w:rFonts w:cs="Arial"/>
          <w:szCs w:val="22"/>
        </w:rPr>
        <w:t>supporting your staff by being aware of any increased risks they have from exposure to COVID-19 and creating a plan to mitigate  those risks.</w:t>
      </w:r>
    </w:p>
    <w:p w14:paraId="13B6D6B4" w14:textId="4582131D" w:rsidR="00557E1E" w:rsidRPr="001B4E80" w:rsidRDefault="00557E1E" w:rsidP="00FC1584">
      <w:pPr>
        <w:pStyle w:val="ListParagraph"/>
        <w:numPr>
          <w:ilvl w:val="0"/>
          <w:numId w:val="35"/>
        </w:numPr>
        <w:spacing w:before="0" w:line="276" w:lineRule="auto"/>
        <w:rPr>
          <w:rFonts w:cs="Arial"/>
          <w:szCs w:val="22"/>
        </w:rPr>
      </w:pPr>
      <w:r w:rsidRPr="001B4E80">
        <w:rPr>
          <w:rFonts w:cs="Arial"/>
          <w:szCs w:val="22"/>
        </w:rPr>
        <w:t>reassuring concerned staff who are not at increased risk</w:t>
      </w:r>
      <w:r w:rsidR="00296C40">
        <w:rPr>
          <w:rFonts w:cs="Arial"/>
          <w:szCs w:val="22"/>
        </w:rPr>
        <w:t>.</w:t>
      </w:r>
    </w:p>
    <w:p w14:paraId="6857719C" w14:textId="2A24164E" w:rsidR="00557E1E" w:rsidRPr="001B4E80" w:rsidRDefault="00557E1E" w:rsidP="00FC1584">
      <w:pPr>
        <w:pStyle w:val="ListParagraph"/>
        <w:numPr>
          <w:ilvl w:val="0"/>
          <w:numId w:val="35"/>
        </w:numPr>
        <w:spacing w:before="0" w:line="276" w:lineRule="auto"/>
        <w:rPr>
          <w:rFonts w:cs="Arial"/>
          <w:szCs w:val="22"/>
        </w:rPr>
      </w:pPr>
      <w:r w:rsidRPr="001B4E80">
        <w:rPr>
          <w:rFonts w:cs="Arial"/>
          <w:szCs w:val="22"/>
        </w:rPr>
        <w:t>identifying those individuals who may require additional control measures to support a reduction in the risk of contracting COVID-19 when there is a higher risk of poor health outcomes</w:t>
      </w:r>
      <w:r w:rsidR="00296C40">
        <w:rPr>
          <w:rFonts w:cs="Arial"/>
          <w:szCs w:val="22"/>
        </w:rPr>
        <w:t>.</w:t>
      </w:r>
    </w:p>
    <w:p w14:paraId="7DAE4CAD" w14:textId="77777777" w:rsidR="00557E1E" w:rsidRPr="001B4E80" w:rsidRDefault="00557E1E" w:rsidP="00FC1584">
      <w:pPr>
        <w:pStyle w:val="Default"/>
        <w:spacing w:line="276" w:lineRule="auto"/>
        <w:rPr>
          <w:rFonts w:ascii="Arial" w:hAnsi="Arial" w:cs="Arial"/>
          <w:sz w:val="22"/>
          <w:szCs w:val="22"/>
        </w:rPr>
      </w:pPr>
      <w:r w:rsidRPr="001B4E80">
        <w:rPr>
          <w:rFonts w:ascii="Arial" w:hAnsi="Arial" w:cs="Arial"/>
          <w:sz w:val="22"/>
          <w:szCs w:val="22"/>
        </w:rPr>
        <w:t xml:space="preserve">Adjustments to mitigate any risks identified may include: </w:t>
      </w:r>
    </w:p>
    <w:p w14:paraId="22C09557" w14:textId="77777777" w:rsidR="00557E1E" w:rsidRPr="001B4E80" w:rsidRDefault="00557E1E" w:rsidP="00FC1584">
      <w:pPr>
        <w:pStyle w:val="Default"/>
        <w:spacing w:line="276" w:lineRule="auto"/>
        <w:rPr>
          <w:rFonts w:ascii="Arial" w:hAnsi="Arial" w:cs="Arial"/>
          <w:sz w:val="22"/>
          <w:szCs w:val="22"/>
        </w:rPr>
      </w:pPr>
    </w:p>
    <w:p w14:paraId="512DF442" w14:textId="77777777" w:rsidR="00557E1E" w:rsidRPr="001B4E80" w:rsidRDefault="00557E1E" w:rsidP="00FC1584">
      <w:pPr>
        <w:pStyle w:val="Default"/>
        <w:numPr>
          <w:ilvl w:val="0"/>
          <w:numId w:val="41"/>
        </w:numPr>
        <w:spacing w:after="58" w:line="276" w:lineRule="auto"/>
        <w:rPr>
          <w:rFonts w:ascii="Arial" w:hAnsi="Arial" w:cs="Arial"/>
          <w:sz w:val="22"/>
          <w:szCs w:val="22"/>
        </w:rPr>
      </w:pPr>
      <w:r w:rsidRPr="001B4E80">
        <w:rPr>
          <w:rFonts w:ascii="Arial" w:hAnsi="Arial" w:cs="Arial"/>
          <w:sz w:val="22"/>
          <w:szCs w:val="22"/>
        </w:rPr>
        <w:t xml:space="preserve">Remote working if possible. </w:t>
      </w:r>
    </w:p>
    <w:p w14:paraId="6B007705" w14:textId="77777777" w:rsidR="00557E1E" w:rsidRPr="001B4E80" w:rsidRDefault="00557E1E" w:rsidP="00FC1584">
      <w:pPr>
        <w:pStyle w:val="Default"/>
        <w:numPr>
          <w:ilvl w:val="0"/>
          <w:numId w:val="41"/>
        </w:numPr>
        <w:spacing w:after="58" w:line="276" w:lineRule="auto"/>
        <w:rPr>
          <w:rFonts w:ascii="Arial" w:hAnsi="Arial" w:cs="Arial"/>
          <w:sz w:val="22"/>
          <w:szCs w:val="22"/>
        </w:rPr>
      </w:pPr>
      <w:r w:rsidRPr="001B4E80">
        <w:rPr>
          <w:rFonts w:ascii="Arial" w:hAnsi="Arial" w:cs="Arial"/>
          <w:sz w:val="22"/>
          <w:szCs w:val="22"/>
        </w:rPr>
        <w:t>Moving to a lower-risk role (for example where social distancing can be easily maintained)</w:t>
      </w:r>
    </w:p>
    <w:p w14:paraId="0BE2DC00" w14:textId="77777777" w:rsidR="00557E1E" w:rsidRPr="001B4E80" w:rsidRDefault="00557E1E" w:rsidP="00FC1584">
      <w:pPr>
        <w:pStyle w:val="Default"/>
        <w:numPr>
          <w:ilvl w:val="0"/>
          <w:numId w:val="41"/>
        </w:numPr>
        <w:spacing w:after="58" w:line="276" w:lineRule="auto"/>
        <w:rPr>
          <w:rFonts w:ascii="Arial" w:hAnsi="Arial" w:cs="Arial"/>
          <w:sz w:val="22"/>
          <w:szCs w:val="22"/>
        </w:rPr>
      </w:pPr>
      <w:r w:rsidRPr="001B4E80">
        <w:rPr>
          <w:rFonts w:ascii="Arial" w:hAnsi="Arial" w:cs="Arial"/>
          <w:sz w:val="22"/>
          <w:szCs w:val="22"/>
        </w:rPr>
        <w:t>Avoiding public transport, especially at peak times.</w:t>
      </w:r>
    </w:p>
    <w:p w14:paraId="191EB61B" w14:textId="77777777" w:rsidR="00557E1E" w:rsidRPr="00FC1584" w:rsidRDefault="00557E1E" w:rsidP="00FC1584">
      <w:pPr>
        <w:pStyle w:val="Default"/>
        <w:numPr>
          <w:ilvl w:val="0"/>
          <w:numId w:val="41"/>
        </w:numPr>
        <w:spacing w:after="58" w:line="276" w:lineRule="auto"/>
        <w:rPr>
          <w:rFonts w:ascii="Arial" w:hAnsi="Arial" w:cs="Arial"/>
          <w:sz w:val="22"/>
          <w:szCs w:val="22"/>
        </w:rPr>
      </w:pPr>
      <w:r w:rsidRPr="001B4E80">
        <w:rPr>
          <w:rFonts w:ascii="Arial" w:hAnsi="Arial" w:cs="Arial"/>
          <w:sz w:val="22"/>
          <w:szCs w:val="22"/>
        </w:rPr>
        <w:lastRenderedPageBreak/>
        <w:t xml:space="preserve">Altering hours and workload </w:t>
      </w:r>
    </w:p>
    <w:p w14:paraId="4A3CF5EF" w14:textId="29C78D4B" w:rsidR="003E4923" w:rsidRPr="00FC1584" w:rsidRDefault="000A68F9" w:rsidP="00FC1584">
      <w:pPr>
        <w:spacing w:line="276" w:lineRule="auto"/>
        <w:rPr>
          <w:rFonts w:cs="Arial"/>
          <w:szCs w:val="22"/>
        </w:rPr>
      </w:pPr>
      <w:r w:rsidRPr="00FC1584">
        <w:rPr>
          <w:rFonts w:cs="Arial"/>
          <w:szCs w:val="22"/>
        </w:rPr>
        <w:t xml:space="preserve">Any referral to Workplace Health will be </w:t>
      </w:r>
      <w:r w:rsidR="00296C40">
        <w:rPr>
          <w:rFonts w:cs="Arial"/>
          <w:szCs w:val="22"/>
        </w:rPr>
        <w:t xml:space="preserve">assessed </w:t>
      </w:r>
      <w:r w:rsidRPr="00FC1584">
        <w:rPr>
          <w:rFonts w:cs="Arial"/>
          <w:szCs w:val="22"/>
        </w:rPr>
        <w:t xml:space="preserve">in confidence </w:t>
      </w:r>
      <w:r w:rsidR="003E4923" w:rsidRPr="00FC1584">
        <w:rPr>
          <w:rFonts w:cs="Arial"/>
          <w:szCs w:val="22"/>
        </w:rPr>
        <w:t xml:space="preserve">by </w:t>
      </w:r>
      <w:r w:rsidRPr="00FC1584">
        <w:rPr>
          <w:rFonts w:cs="Arial"/>
          <w:szCs w:val="22"/>
        </w:rPr>
        <w:t xml:space="preserve">an occupational health practitioner and will involve a </w:t>
      </w:r>
      <w:r w:rsidR="003E4923" w:rsidRPr="00FC1584">
        <w:rPr>
          <w:rFonts w:cs="Arial"/>
          <w:szCs w:val="22"/>
        </w:rPr>
        <w:t xml:space="preserve">detailed consultation </w:t>
      </w:r>
      <w:r w:rsidRPr="00FC1584">
        <w:rPr>
          <w:rFonts w:cs="Arial"/>
          <w:szCs w:val="22"/>
        </w:rPr>
        <w:t>using the bio</w:t>
      </w:r>
      <w:r w:rsidR="00557E1E" w:rsidRPr="00FC1584">
        <w:rPr>
          <w:rFonts w:cs="Arial"/>
          <w:szCs w:val="22"/>
        </w:rPr>
        <w:t>-</w:t>
      </w:r>
      <w:r w:rsidRPr="00FC1584">
        <w:rPr>
          <w:rFonts w:cs="Arial"/>
          <w:szCs w:val="22"/>
        </w:rPr>
        <w:t>pschy</w:t>
      </w:r>
      <w:r w:rsidR="00557E1E" w:rsidRPr="00FC1584">
        <w:rPr>
          <w:rFonts w:cs="Arial"/>
          <w:szCs w:val="22"/>
        </w:rPr>
        <w:t>o-s</w:t>
      </w:r>
      <w:r w:rsidRPr="00FC1584">
        <w:rPr>
          <w:rFonts w:cs="Arial"/>
          <w:szCs w:val="22"/>
        </w:rPr>
        <w:t xml:space="preserve">ocial model </w:t>
      </w:r>
      <w:r w:rsidR="00557E1E" w:rsidRPr="00FC1584">
        <w:rPr>
          <w:rFonts w:cs="Arial"/>
          <w:szCs w:val="22"/>
        </w:rPr>
        <w:t>of health assessment. We will then offer an opinion on the employee’s</w:t>
      </w:r>
      <w:r w:rsidR="003E4923" w:rsidRPr="00FC1584">
        <w:rPr>
          <w:rFonts w:cs="Arial"/>
          <w:szCs w:val="22"/>
        </w:rPr>
        <w:t xml:space="preserve"> fitness to retur</w:t>
      </w:r>
      <w:r w:rsidR="00557E1E" w:rsidRPr="00FC1584">
        <w:rPr>
          <w:rFonts w:cs="Arial"/>
          <w:szCs w:val="22"/>
        </w:rPr>
        <w:t xml:space="preserve">n to campus, and </w:t>
      </w:r>
      <w:r w:rsidR="00296C40">
        <w:rPr>
          <w:rFonts w:cs="Arial"/>
          <w:szCs w:val="22"/>
        </w:rPr>
        <w:t xml:space="preserve">make suggestions for </w:t>
      </w:r>
      <w:r w:rsidR="00557E1E" w:rsidRPr="00FC1584">
        <w:rPr>
          <w:rFonts w:cs="Arial"/>
          <w:szCs w:val="22"/>
        </w:rPr>
        <w:t>adjust</w:t>
      </w:r>
      <w:r w:rsidR="003E4923" w:rsidRPr="00FC1584">
        <w:rPr>
          <w:rFonts w:cs="Arial"/>
          <w:szCs w:val="22"/>
        </w:rPr>
        <w:t>ments</w:t>
      </w:r>
      <w:r w:rsidR="00296C40">
        <w:rPr>
          <w:rFonts w:cs="Arial"/>
          <w:szCs w:val="22"/>
        </w:rPr>
        <w:t xml:space="preserve">. </w:t>
      </w:r>
      <w:r w:rsidR="00557E1E" w:rsidRPr="00FC1584">
        <w:rPr>
          <w:rFonts w:cs="Arial"/>
          <w:szCs w:val="22"/>
        </w:rPr>
        <w:t xml:space="preserve"> </w:t>
      </w:r>
    </w:p>
    <w:p w14:paraId="1FB3C0A5" w14:textId="77777777" w:rsidR="001D03C2" w:rsidRPr="001B4E80" w:rsidRDefault="00731868" w:rsidP="00FC1584">
      <w:pPr>
        <w:pStyle w:val="Default"/>
        <w:spacing w:after="58" w:line="276" w:lineRule="auto"/>
        <w:rPr>
          <w:rFonts w:ascii="Arial" w:hAnsi="Arial" w:cs="Arial"/>
          <w:sz w:val="22"/>
          <w:szCs w:val="22"/>
        </w:rPr>
      </w:pPr>
      <w:r w:rsidRPr="001B4E80">
        <w:rPr>
          <w:rFonts w:ascii="Arial" w:hAnsi="Arial" w:cs="Arial"/>
          <w:bCs/>
          <w:sz w:val="22"/>
          <w:szCs w:val="22"/>
        </w:rPr>
        <w:t>T</w:t>
      </w:r>
      <w:r w:rsidR="00C435C6" w:rsidRPr="001B4E80">
        <w:rPr>
          <w:rFonts w:ascii="Arial" w:hAnsi="Arial" w:cs="Arial"/>
          <w:bCs/>
          <w:sz w:val="22"/>
          <w:szCs w:val="22"/>
        </w:rPr>
        <w:t xml:space="preserve">he questions below are directed at </w:t>
      </w:r>
      <w:r w:rsidR="00657AF9" w:rsidRPr="001B4E80">
        <w:rPr>
          <w:rFonts w:ascii="Arial" w:hAnsi="Arial" w:cs="Arial"/>
          <w:bCs/>
          <w:sz w:val="22"/>
          <w:szCs w:val="22"/>
        </w:rPr>
        <w:t>your staff member</w:t>
      </w:r>
      <w:r w:rsidR="00C435C6" w:rsidRPr="001B4E80">
        <w:rPr>
          <w:rFonts w:ascii="Arial" w:hAnsi="Arial" w:cs="Arial"/>
          <w:bCs/>
          <w:sz w:val="22"/>
          <w:szCs w:val="22"/>
        </w:rPr>
        <w:t xml:space="preserve">. They are designed so that </w:t>
      </w:r>
      <w:r w:rsidRPr="001B4E80">
        <w:rPr>
          <w:rFonts w:ascii="Arial" w:hAnsi="Arial" w:cs="Arial"/>
          <w:bCs/>
          <w:sz w:val="22"/>
          <w:szCs w:val="22"/>
        </w:rPr>
        <w:t xml:space="preserve">details </w:t>
      </w:r>
      <w:r w:rsidR="00657AF9" w:rsidRPr="001B4E80">
        <w:rPr>
          <w:rFonts w:ascii="Arial" w:hAnsi="Arial" w:cs="Arial"/>
          <w:bCs/>
          <w:sz w:val="22"/>
          <w:szCs w:val="22"/>
        </w:rPr>
        <w:t xml:space="preserve">about </w:t>
      </w:r>
      <w:r w:rsidR="00C435C6" w:rsidRPr="001B4E80">
        <w:rPr>
          <w:rFonts w:ascii="Arial" w:hAnsi="Arial" w:cs="Arial"/>
          <w:bCs/>
          <w:sz w:val="22"/>
          <w:szCs w:val="22"/>
        </w:rPr>
        <w:t>any medical condition they may have</w:t>
      </w:r>
      <w:r w:rsidR="00657AF9" w:rsidRPr="001B4E80">
        <w:rPr>
          <w:rFonts w:ascii="Arial" w:hAnsi="Arial" w:cs="Arial"/>
          <w:bCs/>
          <w:sz w:val="22"/>
          <w:szCs w:val="22"/>
        </w:rPr>
        <w:t xml:space="preserve"> </w:t>
      </w:r>
      <w:r w:rsidR="007901ED" w:rsidRPr="001B4E80">
        <w:rPr>
          <w:rFonts w:ascii="Arial" w:hAnsi="Arial" w:cs="Arial"/>
          <w:bCs/>
          <w:sz w:val="22"/>
          <w:szCs w:val="22"/>
        </w:rPr>
        <w:t xml:space="preserve">do not have to </w:t>
      </w:r>
      <w:r w:rsidR="003542BA">
        <w:rPr>
          <w:rFonts w:ascii="Arial" w:hAnsi="Arial" w:cs="Arial"/>
          <w:bCs/>
          <w:sz w:val="22"/>
          <w:szCs w:val="22"/>
        </w:rPr>
        <w:t xml:space="preserve">be </w:t>
      </w:r>
      <w:r w:rsidR="007901ED" w:rsidRPr="001B4E80">
        <w:rPr>
          <w:rFonts w:ascii="Arial" w:hAnsi="Arial" w:cs="Arial"/>
          <w:bCs/>
          <w:sz w:val="22"/>
          <w:szCs w:val="22"/>
        </w:rPr>
        <w:t>given if the staff member would prefer not to</w:t>
      </w:r>
      <w:r w:rsidR="00C435C6" w:rsidRPr="001B4E80">
        <w:rPr>
          <w:rFonts w:ascii="Arial" w:hAnsi="Arial" w:cs="Arial"/>
          <w:bCs/>
          <w:sz w:val="22"/>
          <w:szCs w:val="22"/>
        </w:rPr>
        <w:t xml:space="preserve">. </w:t>
      </w:r>
      <w:r w:rsidR="008D5114" w:rsidRPr="001B4E80">
        <w:rPr>
          <w:rFonts w:ascii="Arial" w:hAnsi="Arial" w:cs="Arial"/>
          <w:bCs/>
          <w:sz w:val="22"/>
          <w:szCs w:val="22"/>
        </w:rPr>
        <w:t xml:space="preserve"> </w:t>
      </w:r>
    </w:p>
    <w:p w14:paraId="4DF24638" w14:textId="77777777" w:rsidR="008D5114" w:rsidRPr="001B4E80" w:rsidRDefault="00C435C6" w:rsidP="00FC1584">
      <w:pPr>
        <w:spacing w:line="276" w:lineRule="auto"/>
        <w:rPr>
          <w:rFonts w:cs="Arial"/>
          <w:bCs/>
          <w:szCs w:val="22"/>
        </w:rPr>
      </w:pPr>
      <w:r w:rsidRPr="001B4E80">
        <w:rPr>
          <w:rFonts w:cs="Arial"/>
          <w:bCs/>
          <w:szCs w:val="22"/>
        </w:rPr>
        <w:t xml:space="preserve">If </w:t>
      </w:r>
      <w:r w:rsidR="00657AF9" w:rsidRPr="001B4E80">
        <w:rPr>
          <w:rFonts w:cs="Arial"/>
          <w:bCs/>
          <w:szCs w:val="22"/>
        </w:rPr>
        <w:t xml:space="preserve">your staff member </w:t>
      </w:r>
      <w:r w:rsidRPr="001B4E80">
        <w:rPr>
          <w:rFonts w:cs="Arial"/>
          <w:bCs/>
          <w:szCs w:val="22"/>
        </w:rPr>
        <w:t xml:space="preserve">would prefer to have the conversation confidentially </w:t>
      </w:r>
      <w:r w:rsidR="00A3021D" w:rsidRPr="001B4E80">
        <w:rPr>
          <w:rFonts w:cs="Arial"/>
          <w:bCs/>
          <w:szCs w:val="22"/>
        </w:rPr>
        <w:t xml:space="preserve">and not with their manager, </w:t>
      </w:r>
      <w:r w:rsidRPr="001B4E80">
        <w:rPr>
          <w:rFonts w:cs="Arial"/>
          <w:bCs/>
          <w:szCs w:val="22"/>
        </w:rPr>
        <w:t>then please contact Workplace Health for advice</w:t>
      </w:r>
      <w:r w:rsidR="0006408B" w:rsidRPr="001B4E80">
        <w:rPr>
          <w:rFonts w:cs="Arial"/>
          <w:bCs/>
          <w:szCs w:val="22"/>
        </w:rPr>
        <w:t>.</w:t>
      </w:r>
      <w:r w:rsidR="00731868" w:rsidRPr="001B4E80">
        <w:rPr>
          <w:rFonts w:cs="Arial"/>
          <w:bCs/>
          <w:szCs w:val="22"/>
        </w:rPr>
        <w:t xml:space="preserve"> </w:t>
      </w:r>
    </w:p>
    <w:p w14:paraId="627CA8BC" w14:textId="77777777" w:rsidR="00C435C6" w:rsidRPr="001B4E80" w:rsidRDefault="00731868" w:rsidP="00FC1584">
      <w:pPr>
        <w:spacing w:line="276" w:lineRule="auto"/>
        <w:rPr>
          <w:rFonts w:cs="Arial"/>
          <w:bCs/>
          <w:szCs w:val="22"/>
        </w:rPr>
      </w:pPr>
      <w:r w:rsidRPr="001B4E80">
        <w:rPr>
          <w:rFonts w:cs="Arial"/>
          <w:bCs/>
          <w:szCs w:val="22"/>
        </w:rPr>
        <w:t>We suggest you make a note of th</w:t>
      </w:r>
      <w:r w:rsidR="00045F85" w:rsidRPr="001B4E80">
        <w:rPr>
          <w:rFonts w:cs="Arial"/>
          <w:bCs/>
          <w:szCs w:val="22"/>
        </w:rPr>
        <w:t xml:space="preserve">eir responses for your records, considering UCL’s Legal Service’s </w:t>
      </w:r>
      <w:hyperlink r:id="rId13" w:history="1">
        <w:r w:rsidR="00045F85" w:rsidRPr="001B4E80">
          <w:rPr>
            <w:rStyle w:val="Hyperlink"/>
            <w:rFonts w:cs="Arial"/>
            <w:bCs/>
            <w:szCs w:val="22"/>
          </w:rPr>
          <w:t>Personal Data Overview</w:t>
        </w:r>
      </w:hyperlink>
      <w:r w:rsidR="00045F85" w:rsidRPr="001B4E80">
        <w:rPr>
          <w:rFonts w:cs="Arial"/>
          <w:bCs/>
          <w:szCs w:val="22"/>
        </w:rPr>
        <w:t xml:space="preserve"> when doing so.</w:t>
      </w:r>
      <w:r w:rsidR="00043253" w:rsidRPr="001B4E80">
        <w:rPr>
          <w:rFonts w:cs="Arial"/>
          <w:bCs/>
          <w:szCs w:val="22"/>
        </w:rPr>
        <w:t xml:space="preserve"> Please ensure that personal data is stored securely</w:t>
      </w:r>
      <w:r w:rsidR="00DD1376">
        <w:rPr>
          <w:rFonts w:cs="Arial"/>
          <w:bCs/>
          <w:szCs w:val="22"/>
        </w:rPr>
        <w:t xml:space="preserve"> and confidentially. </w:t>
      </w:r>
    </w:p>
    <w:p w14:paraId="63621EB1" w14:textId="77777777" w:rsidR="00043253" w:rsidRPr="001B4E80" w:rsidRDefault="00043253" w:rsidP="00FC1584">
      <w:pPr>
        <w:spacing w:line="276" w:lineRule="auto"/>
        <w:rPr>
          <w:rFonts w:cs="Arial"/>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
        <w:gridCol w:w="7224"/>
        <w:gridCol w:w="676"/>
        <w:gridCol w:w="695"/>
      </w:tblGrid>
      <w:tr w:rsidR="00FE2DCF" w:rsidRPr="001B4E80" w14:paraId="609681BB" w14:textId="77777777" w:rsidTr="00AB2BDE">
        <w:tc>
          <w:tcPr>
            <w:tcW w:w="421" w:type="dxa"/>
          </w:tcPr>
          <w:p w14:paraId="464069CE" w14:textId="77777777" w:rsidR="00FE2DCF" w:rsidRPr="001B4E80" w:rsidRDefault="00FE2DCF" w:rsidP="00FC1584">
            <w:pPr>
              <w:spacing w:line="276" w:lineRule="auto"/>
              <w:rPr>
                <w:rFonts w:cs="Arial"/>
                <w:szCs w:val="22"/>
              </w:rPr>
            </w:pPr>
            <w:bookmarkStart w:id="0" w:name="_Hlk42611937"/>
          </w:p>
        </w:tc>
        <w:tc>
          <w:tcPr>
            <w:tcW w:w="7224" w:type="dxa"/>
          </w:tcPr>
          <w:p w14:paraId="3027E731" w14:textId="77777777" w:rsidR="00FE2DCF" w:rsidRPr="001B4E80" w:rsidRDefault="00FE2DCF" w:rsidP="00FC1584">
            <w:pPr>
              <w:spacing w:line="276" w:lineRule="auto"/>
              <w:rPr>
                <w:rFonts w:cs="Arial"/>
                <w:b/>
                <w:bCs/>
                <w:szCs w:val="22"/>
              </w:rPr>
            </w:pPr>
          </w:p>
        </w:tc>
        <w:tc>
          <w:tcPr>
            <w:tcW w:w="676" w:type="dxa"/>
          </w:tcPr>
          <w:p w14:paraId="05DD1719" w14:textId="77777777" w:rsidR="00FE2DCF" w:rsidRPr="001B4E80" w:rsidRDefault="00FE2DCF" w:rsidP="00FC1584">
            <w:pPr>
              <w:spacing w:line="276" w:lineRule="auto"/>
              <w:rPr>
                <w:rFonts w:cs="Arial"/>
                <w:b/>
                <w:bCs/>
                <w:szCs w:val="22"/>
              </w:rPr>
            </w:pPr>
            <w:r w:rsidRPr="001B4E80">
              <w:rPr>
                <w:rFonts w:cs="Arial"/>
                <w:b/>
                <w:bCs/>
                <w:szCs w:val="22"/>
              </w:rPr>
              <w:t xml:space="preserve">Yes </w:t>
            </w:r>
          </w:p>
        </w:tc>
        <w:tc>
          <w:tcPr>
            <w:tcW w:w="695" w:type="dxa"/>
          </w:tcPr>
          <w:p w14:paraId="0DCBDAD3" w14:textId="77777777" w:rsidR="00FE2DCF" w:rsidRPr="001B4E80" w:rsidRDefault="00FE2DCF" w:rsidP="00FC1584">
            <w:pPr>
              <w:spacing w:line="276" w:lineRule="auto"/>
              <w:rPr>
                <w:rFonts w:cs="Arial"/>
                <w:b/>
                <w:bCs/>
                <w:szCs w:val="22"/>
              </w:rPr>
            </w:pPr>
            <w:r w:rsidRPr="001B4E80">
              <w:rPr>
                <w:rFonts w:cs="Arial"/>
                <w:b/>
                <w:bCs/>
                <w:szCs w:val="22"/>
              </w:rPr>
              <w:t>No</w:t>
            </w:r>
          </w:p>
        </w:tc>
      </w:tr>
      <w:tr w:rsidR="00FE2DCF" w:rsidRPr="001B4E80" w14:paraId="309995A6" w14:textId="77777777" w:rsidTr="00AB2BDE">
        <w:tc>
          <w:tcPr>
            <w:tcW w:w="421" w:type="dxa"/>
          </w:tcPr>
          <w:p w14:paraId="08FBBBCD" w14:textId="77777777" w:rsidR="00FE2DCF" w:rsidRPr="001B4E80" w:rsidRDefault="00FE2DCF" w:rsidP="00FC1584">
            <w:pPr>
              <w:spacing w:line="276" w:lineRule="auto"/>
              <w:rPr>
                <w:rFonts w:cs="Arial"/>
                <w:szCs w:val="22"/>
              </w:rPr>
            </w:pPr>
            <w:r w:rsidRPr="001B4E80">
              <w:rPr>
                <w:rFonts w:cs="Arial"/>
                <w:szCs w:val="22"/>
              </w:rPr>
              <w:t>1.</w:t>
            </w:r>
          </w:p>
        </w:tc>
        <w:tc>
          <w:tcPr>
            <w:tcW w:w="7224" w:type="dxa"/>
          </w:tcPr>
          <w:p w14:paraId="3C606B49" w14:textId="77777777" w:rsidR="00FE2DCF" w:rsidRPr="001B4E80" w:rsidRDefault="00FE2DCF" w:rsidP="00FC1584">
            <w:pPr>
              <w:spacing w:before="0" w:after="0" w:line="276" w:lineRule="auto"/>
              <w:rPr>
                <w:rFonts w:cs="Arial"/>
                <w:szCs w:val="22"/>
              </w:rPr>
            </w:pPr>
            <w:r w:rsidRPr="001B4E80">
              <w:rPr>
                <w:rFonts w:cs="Arial"/>
                <w:szCs w:val="22"/>
              </w:rPr>
              <w:t>Are you male?</w:t>
            </w:r>
          </w:p>
          <w:p w14:paraId="5A0091C1" w14:textId="77777777" w:rsidR="00184B3F" w:rsidRPr="001B4E80" w:rsidRDefault="00184B3F" w:rsidP="00FC1584">
            <w:pPr>
              <w:spacing w:before="0" w:after="0" w:line="276" w:lineRule="auto"/>
              <w:rPr>
                <w:rFonts w:cs="Arial"/>
                <w:szCs w:val="22"/>
              </w:rPr>
            </w:pPr>
          </w:p>
          <w:p w14:paraId="62E488D4" w14:textId="77777777" w:rsidR="00FE2DCF" w:rsidRPr="001B4E80" w:rsidRDefault="00FE2DCF" w:rsidP="00FC1584">
            <w:pPr>
              <w:spacing w:before="0" w:after="0" w:line="276" w:lineRule="auto"/>
              <w:rPr>
                <w:rFonts w:cs="Arial"/>
                <w:szCs w:val="22"/>
              </w:rPr>
            </w:pPr>
            <w:r w:rsidRPr="001B4E80">
              <w:rPr>
                <w:rFonts w:cs="Arial"/>
                <w:szCs w:val="22"/>
              </w:rPr>
              <w:t>We ask this question as men are at increased risk compared to women of a more severe disease if they develop C</w:t>
            </w:r>
            <w:r w:rsidR="005F7161" w:rsidRPr="001B4E80">
              <w:rPr>
                <w:rFonts w:cs="Arial"/>
                <w:szCs w:val="22"/>
              </w:rPr>
              <w:t>OVID</w:t>
            </w:r>
            <w:r w:rsidRPr="001B4E80">
              <w:rPr>
                <w:rFonts w:cs="Arial"/>
                <w:szCs w:val="22"/>
              </w:rPr>
              <w:t xml:space="preserve">-19. This risk is increased if there are other factors present such as age, ethnicity </w:t>
            </w:r>
            <w:r w:rsidR="00022D34" w:rsidRPr="001B4E80">
              <w:rPr>
                <w:rFonts w:cs="Arial"/>
                <w:szCs w:val="22"/>
              </w:rPr>
              <w:t xml:space="preserve">(BAME men are at greater risk) </w:t>
            </w:r>
            <w:r w:rsidRPr="001B4E80">
              <w:rPr>
                <w:rFonts w:cs="Arial"/>
                <w:szCs w:val="22"/>
              </w:rPr>
              <w:t>or relevant medical conditions.</w:t>
            </w:r>
          </w:p>
        </w:tc>
        <w:tc>
          <w:tcPr>
            <w:tcW w:w="676" w:type="dxa"/>
          </w:tcPr>
          <w:p w14:paraId="7462268C" w14:textId="77777777" w:rsidR="00FE2DCF" w:rsidRPr="001B4E80" w:rsidRDefault="00FE2DCF" w:rsidP="00FC1584">
            <w:pPr>
              <w:spacing w:line="276" w:lineRule="auto"/>
              <w:rPr>
                <w:rFonts w:cs="Arial"/>
                <w:szCs w:val="22"/>
              </w:rPr>
            </w:pPr>
          </w:p>
        </w:tc>
        <w:tc>
          <w:tcPr>
            <w:tcW w:w="695" w:type="dxa"/>
          </w:tcPr>
          <w:p w14:paraId="746DBA86" w14:textId="77777777" w:rsidR="00FE2DCF" w:rsidRPr="001B4E80" w:rsidRDefault="00FE2DCF" w:rsidP="00FC1584">
            <w:pPr>
              <w:spacing w:line="276" w:lineRule="auto"/>
              <w:rPr>
                <w:rFonts w:cs="Arial"/>
                <w:szCs w:val="22"/>
              </w:rPr>
            </w:pPr>
          </w:p>
        </w:tc>
      </w:tr>
      <w:tr w:rsidR="00FE2DCF" w:rsidRPr="001B4E80" w14:paraId="419D5370" w14:textId="77777777" w:rsidTr="00AB2BDE">
        <w:tc>
          <w:tcPr>
            <w:tcW w:w="421" w:type="dxa"/>
          </w:tcPr>
          <w:p w14:paraId="0F0EDB99" w14:textId="77777777" w:rsidR="00FE2DCF" w:rsidRPr="001B4E80" w:rsidRDefault="00FE2DCF" w:rsidP="00FC1584">
            <w:pPr>
              <w:spacing w:line="276" w:lineRule="auto"/>
              <w:rPr>
                <w:rFonts w:cs="Arial"/>
                <w:szCs w:val="22"/>
              </w:rPr>
            </w:pPr>
            <w:r w:rsidRPr="001B4E80">
              <w:rPr>
                <w:rFonts w:cs="Arial"/>
                <w:szCs w:val="22"/>
              </w:rPr>
              <w:t>2.</w:t>
            </w:r>
          </w:p>
        </w:tc>
        <w:tc>
          <w:tcPr>
            <w:tcW w:w="7224" w:type="dxa"/>
          </w:tcPr>
          <w:p w14:paraId="480B2B56" w14:textId="63A3EA7E" w:rsidR="0040655C" w:rsidRPr="001B4E80" w:rsidRDefault="00FE2DCF" w:rsidP="00FC1584">
            <w:pPr>
              <w:spacing w:line="276" w:lineRule="auto"/>
              <w:rPr>
                <w:rFonts w:cs="Arial"/>
                <w:szCs w:val="22"/>
              </w:rPr>
            </w:pPr>
            <w:r w:rsidRPr="001B4E80">
              <w:rPr>
                <w:rFonts w:cs="Arial"/>
                <w:szCs w:val="22"/>
              </w:rPr>
              <w:t xml:space="preserve">Are you over the age of </w:t>
            </w:r>
            <w:r w:rsidR="00982FF7">
              <w:rPr>
                <w:rFonts w:cs="Arial"/>
                <w:szCs w:val="22"/>
              </w:rPr>
              <w:t>5</w:t>
            </w:r>
            <w:r w:rsidRPr="001B4E80">
              <w:rPr>
                <w:rFonts w:cs="Arial"/>
                <w:szCs w:val="22"/>
              </w:rPr>
              <w:t>0?</w:t>
            </w:r>
          </w:p>
          <w:p w14:paraId="6F8A6944" w14:textId="46788B9F" w:rsidR="0040655C" w:rsidRPr="001B4E80" w:rsidRDefault="00982FF7" w:rsidP="00FC1584">
            <w:pPr>
              <w:spacing w:line="276" w:lineRule="auto"/>
              <w:rPr>
                <w:rFonts w:cs="Arial"/>
                <w:szCs w:val="22"/>
              </w:rPr>
            </w:pPr>
            <w:r>
              <w:rPr>
                <w:rFonts w:cs="Arial"/>
                <w:color w:val="000000" w:themeColor="text1"/>
                <w:szCs w:val="22"/>
                <w:shd w:val="clear" w:color="auto" w:fill="FFFFFF"/>
              </w:rPr>
              <w:t>People aged 50 years old or over, especially with comorbidities, are at increased risk of a serious illness with COVID-19. Consider referral to Workplace Health if there are specific concerns.</w:t>
            </w:r>
          </w:p>
        </w:tc>
        <w:tc>
          <w:tcPr>
            <w:tcW w:w="676" w:type="dxa"/>
          </w:tcPr>
          <w:p w14:paraId="2BF54C8A" w14:textId="77777777" w:rsidR="00FE2DCF" w:rsidRPr="001B4E80" w:rsidRDefault="00FE2DCF" w:rsidP="00FC1584">
            <w:pPr>
              <w:spacing w:line="276" w:lineRule="auto"/>
              <w:rPr>
                <w:rFonts w:cs="Arial"/>
                <w:szCs w:val="22"/>
              </w:rPr>
            </w:pPr>
          </w:p>
        </w:tc>
        <w:tc>
          <w:tcPr>
            <w:tcW w:w="695" w:type="dxa"/>
          </w:tcPr>
          <w:p w14:paraId="7C862744" w14:textId="77777777" w:rsidR="00FE2DCF" w:rsidRPr="001B4E80" w:rsidRDefault="00FE2DCF" w:rsidP="00FC1584">
            <w:pPr>
              <w:spacing w:line="276" w:lineRule="auto"/>
              <w:rPr>
                <w:rFonts w:cs="Arial"/>
                <w:szCs w:val="22"/>
              </w:rPr>
            </w:pPr>
          </w:p>
        </w:tc>
      </w:tr>
      <w:tr w:rsidR="00FE2DCF" w:rsidRPr="001B4E80" w14:paraId="7F396D84" w14:textId="77777777" w:rsidTr="00AB2BDE">
        <w:tc>
          <w:tcPr>
            <w:tcW w:w="421" w:type="dxa"/>
          </w:tcPr>
          <w:p w14:paraId="4B96D3B7" w14:textId="77777777" w:rsidR="00FE2DCF" w:rsidRPr="001B4E80" w:rsidRDefault="00FE2DCF" w:rsidP="00FC1584">
            <w:pPr>
              <w:spacing w:before="0" w:after="0" w:line="276" w:lineRule="auto"/>
              <w:rPr>
                <w:rFonts w:cs="Arial"/>
                <w:szCs w:val="22"/>
              </w:rPr>
            </w:pPr>
            <w:r w:rsidRPr="001B4E80">
              <w:rPr>
                <w:rFonts w:cs="Arial"/>
                <w:szCs w:val="22"/>
              </w:rPr>
              <w:t>3.</w:t>
            </w:r>
          </w:p>
        </w:tc>
        <w:tc>
          <w:tcPr>
            <w:tcW w:w="7224" w:type="dxa"/>
          </w:tcPr>
          <w:p w14:paraId="74D94179" w14:textId="7F4D7133" w:rsidR="00296C40" w:rsidRPr="001B4E80" w:rsidRDefault="001D03C2" w:rsidP="00296C40">
            <w:pPr>
              <w:spacing w:before="0" w:after="0" w:line="276" w:lineRule="auto"/>
              <w:rPr>
                <w:rFonts w:cs="Arial"/>
                <w:i/>
                <w:szCs w:val="22"/>
              </w:rPr>
            </w:pPr>
            <w:r w:rsidRPr="001B4E80">
              <w:rPr>
                <w:rFonts w:cs="Arial"/>
                <w:szCs w:val="22"/>
              </w:rPr>
              <w:t xml:space="preserve">The Government are advising those who are at increased risk of severe illness from COVID-19 to be particular stringent in following social distancing measures. This group includes those who are diagnosed with the following: </w:t>
            </w:r>
            <w:r w:rsidR="00296C40" w:rsidRPr="001B4E80">
              <w:rPr>
                <w:rFonts w:cs="Arial"/>
                <w:i/>
                <w:szCs w:val="22"/>
              </w:rPr>
              <w:t>(tick Yes if any apply - you do not have to specify which it is</w:t>
            </w:r>
            <w:r w:rsidR="00191523">
              <w:rPr>
                <w:rFonts w:cs="Arial"/>
                <w:i/>
                <w:szCs w:val="22"/>
              </w:rPr>
              <w:t xml:space="preserve"> to your manager</w:t>
            </w:r>
            <w:r w:rsidR="00296C40" w:rsidRPr="001B4E80">
              <w:rPr>
                <w:rFonts w:cs="Arial"/>
                <w:i/>
                <w:szCs w:val="22"/>
              </w:rPr>
              <w:t xml:space="preserve">) </w:t>
            </w:r>
          </w:p>
          <w:p w14:paraId="3EBFCBA3" w14:textId="77777777" w:rsidR="008D5114" w:rsidRPr="001B4E80" w:rsidRDefault="008D5114" w:rsidP="00FC1584">
            <w:pPr>
              <w:pStyle w:val="Default"/>
              <w:spacing w:line="276" w:lineRule="auto"/>
              <w:rPr>
                <w:rFonts w:ascii="Arial" w:hAnsi="Arial" w:cs="Arial"/>
                <w:sz w:val="22"/>
                <w:szCs w:val="22"/>
              </w:rPr>
            </w:pPr>
          </w:p>
          <w:p w14:paraId="5EF41364"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Chronic (long-term) respiratory diseases, such as asthma, chronic obstructive pulmonary disease (COPD), emphysema or bronchitis </w:t>
            </w:r>
          </w:p>
          <w:p w14:paraId="5498C1BD"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Chronic heart disease, such as heart failure </w:t>
            </w:r>
          </w:p>
          <w:p w14:paraId="034D4468"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Chronic kidney disease </w:t>
            </w:r>
          </w:p>
          <w:p w14:paraId="46460DF7"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Chronic liver disease, such as hepatitis </w:t>
            </w:r>
          </w:p>
          <w:p w14:paraId="0892A1D1"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Chronic Neurological conditions, such as Parkinson’s disease, motor neurone disease, multiple sclerosis (MS), a learning disability or cerebral palsy </w:t>
            </w:r>
          </w:p>
          <w:p w14:paraId="7C567450"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Diabetes </w:t>
            </w:r>
          </w:p>
          <w:p w14:paraId="1BB91368"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lastRenderedPageBreak/>
              <w:t xml:space="preserve">Spleen problems – for example, sickle cell disease or removed spleen </w:t>
            </w:r>
          </w:p>
          <w:p w14:paraId="262A3774" w14:textId="77777777" w:rsidR="001D03C2" w:rsidRPr="001B4E80"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A weakened immune system as a result of conditions such as HIV and AIDS, or medicines such as steroid tablets or chemotherapy </w:t>
            </w:r>
          </w:p>
          <w:p w14:paraId="183AE033" w14:textId="694F3111" w:rsidR="001D03C2" w:rsidRPr="00191523" w:rsidRDefault="001D03C2" w:rsidP="00FC1584">
            <w:pPr>
              <w:pStyle w:val="Default"/>
              <w:numPr>
                <w:ilvl w:val="0"/>
                <w:numId w:val="42"/>
              </w:numPr>
              <w:spacing w:after="49" w:line="276" w:lineRule="auto"/>
              <w:rPr>
                <w:rFonts w:ascii="Arial" w:hAnsi="Arial" w:cs="Arial"/>
                <w:sz w:val="22"/>
                <w:szCs w:val="22"/>
              </w:rPr>
            </w:pPr>
            <w:r w:rsidRPr="001B4E80">
              <w:rPr>
                <w:rFonts w:ascii="Arial" w:hAnsi="Arial" w:cs="Arial"/>
                <w:sz w:val="22"/>
                <w:szCs w:val="22"/>
              </w:rPr>
              <w:t xml:space="preserve">Being  overweight (a body mass index (BMI) </w:t>
            </w:r>
            <w:r w:rsidR="00DB681D">
              <w:rPr>
                <w:rFonts w:ascii="Arial" w:hAnsi="Arial" w:cs="Arial"/>
                <w:sz w:val="22"/>
                <w:szCs w:val="22"/>
              </w:rPr>
              <w:t>of 30</w:t>
            </w:r>
            <w:r w:rsidR="00191523">
              <w:rPr>
                <w:rFonts w:ascii="Arial" w:hAnsi="Arial" w:cs="Arial"/>
                <w:sz w:val="22"/>
                <w:szCs w:val="22"/>
              </w:rPr>
              <w:t xml:space="preserve"> or above)</w:t>
            </w:r>
          </w:p>
          <w:p w14:paraId="25B7D05B" w14:textId="77777777" w:rsidR="00FE2DCF" w:rsidRPr="001B4E80" w:rsidRDefault="00FE2DCF" w:rsidP="00FC1584">
            <w:pPr>
              <w:spacing w:before="0" w:after="0" w:line="276" w:lineRule="auto"/>
              <w:rPr>
                <w:rFonts w:cs="Arial"/>
                <w:szCs w:val="22"/>
              </w:rPr>
            </w:pPr>
          </w:p>
        </w:tc>
        <w:tc>
          <w:tcPr>
            <w:tcW w:w="676" w:type="dxa"/>
          </w:tcPr>
          <w:p w14:paraId="17C10602" w14:textId="77777777" w:rsidR="00FE2DCF" w:rsidRPr="001B4E80" w:rsidRDefault="00FE2DCF" w:rsidP="00FC1584">
            <w:pPr>
              <w:spacing w:line="276" w:lineRule="auto"/>
              <w:rPr>
                <w:rFonts w:cs="Arial"/>
                <w:szCs w:val="22"/>
              </w:rPr>
            </w:pPr>
          </w:p>
        </w:tc>
        <w:tc>
          <w:tcPr>
            <w:tcW w:w="695" w:type="dxa"/>
          </w:tcPr>
          <w:p w14:paraId="6310311F" w14:textId="77777777" w:rsidR="00FE2DCF" w:rsidRPr="001B4E80" w:rsidRDefault="00FE2DCF" w:rsidP="00FC1584">
            <w:pPr>
              <w:spacing w:line="276" w:lineRule="auto"/>
              <w:rPr>
                <w:rFonts w:cs="Arial"/>
                <w:szCs w:val="22"/>
              </w:rPr>
            </w:pPr>
          </w:p>
        </w:tc>
      </w:tr>
      <w:tr w:rsidR="00FE2DCF" w:rsidRPr="001B4E80" w14:paraId="636D9958" w14:textId="77777777" w:rsidTr="00AB2BDE">
        <w:tc>
          <w:tcPr>
            <w:tcW w:w="421" w:type="dxa"/>
          </w:tcPr>
          <w:p w14:paraId="592B5970" w14:textId="77777777" w:rsidR="00FE2DCF" w:rsidRPr="001B4E80" w:rsidRDefault="00FE2DCF" w:rsidP="00FC1584">
            <w:pPr>
              <w:spacing w:before="0" w:after="0" w:line="276" w:lineRule="auto"/>
              <w:rPr>
                <w:rFonts w:cs="Arial"/>
                <w:szCs w:val="22"/>
              </w:rPr>
            </w:pPr>
            <w:r w:rsidRPr="001B4E80">
              <w:rPr>
                <w:rFonts w:cs="Arial"/>
                <w:szCs w:val="22"/>
              </w:rPr>
              <w:t>4.</w:t>
            </w:r>
          </w:p>
        </w:tc>
        <w:tc>
          <w:tcPr>
            <w:tcW w:w="7224" w:type="dxa"/>
          </w:tcPr>
          <w:p w14:paraId="6F12FA85" w14:textId="77777777" w:rsidR="00FE2DCF" w:rsidRPr="001B4E80" w:rsidRDefault="00FE2DCF" w:rsidP="00FC1584">
            <w:pPr>
              <w:spacing w:before="0" w:after="0" w:line="276" w:lineRule="auto"/>
              <w:rPr>
                <w:rFonts w:cs="Arial"/>
                <w:szCs w:val="22"/>
              </w:rPr>
            </w:pPr>
            <w:r w:rsidRPr="001B4E80">
              <w:rPr>
                <w:rFonts w:cs="Arial"/>
                <w:szCs w:val="22"/>
              </w:rPr>
              <w:t xml:space="preserve">Do you consider yourself to be </w:t>
            </w:r>
            <w:r w:rsidR="00022D34" w:rsidRPr="001B4E80">
              <w:rPr>
                <w:rFonts w:cs="Arial"/>
                <w:szCs w:val="22"/>
              </w:rPr>
              <w:t>B</w:t>
            </w:r>
            <w:r w:rsidRPr="001B4E80">
              <w:rPr>
                <w:rFonts w:cs="Arial"/>
                <w:szCs w:val="22"/>
              </w:rPr>
              <w:t xml:space="preserve">lack, Asian or of minority ethnic origin (BAME)? </w:t>
            </w:r>
          </w:p>
          <w:p w14:paraId="4621C28B" w14:textId="77777777" w:rsidR="00032F6C" w:rsidRPr="001B4E80" w:rsidRDefault="00032F6C" w:rsidP="00FC1584">
            <w:pPr>
              <w:spacing w:before="0" w:after="0" w:line="276" w:lineRule="auto"/>
              <w:rPr>
                <w:rFonts w:cs="Arial"/>
                <w:szCs w:val="22"/>
              </w:rPr>
            </w:pPr>
          </w:p>
          <w:p w14:paraId="13447C4E" w14:textId="77777777" w:rsidR="00B342B7" w:rsidRDefault="001D03C2" w:rsidP="00B342B7">
            <w:pPr>
              <w:spacing w:line="276" w:lineRule="auto"/>
              <w:rPr>
                <w:rFonts w:cs="Arial"/>
                <w:szCs w:val="22"/>
              </w:rPr>
            </w:pPr>
            <w:r w:rsidRPr="001B4E80">
              <w:rPr>
                <w:rFonts w:cs="Arial"/>
                <w:szCs w:val="22"/>
              </w:rPr>
              <w:t xml:space="preserve">Emerging evidence suggests there are three key characteristics that can affect vulnerability and risk. These are Age, Gender and Ethnicity. Older people, men, and people from BAME communities seem to be at greater risk from COVID-19. </w:t>
            </w:r>
          </w:p>
          <w:p w14:paraId="5B1A5809" w14:textId="2E1FC139" w:rsidR="00B342B7" w:rsidRPr="001B4E80" w:rsidRDefault="00B342B7" w:rsidP="00B342B7">
            <w:pPr>
              <w:spacing w:line="276" w:lineRule="auto"/>
              <w:rPr>
                <w:rFonts w:cs="Arial"/>
                <w:i/>
                <w:szCs w:val="22"/>
              </w:rPr>
            </w:pPr>
            <w:r w:rsidRPr="001B4E80">
              <w:rPr>
                <w:rFonts w:cs="Arial"/>
                <w:szCs w:val="22"/>
              </w:rPr>
              <w:t xml:space="preserve">Public Health England (PHE) have now published their review of the disparities in the risk and outcomes of COVID-19. This shows that there is an association between belonging to some ethnic groups and the likelihood of testing positive and dying with COVID-19. </w:t>
            </w:r>
          </w:p>
          <w:p w14:paraId="1CB0494F" w14:textId="77777777" w:rsidR="00B342B7" w:rsidRPr="001B4E80" w:rsidRDefault="00D52D84" w:rsidP="00B342B7">
            <w:pPr>
              <w:spacing w:line="276" w:lineRule="auto"/>
              <w:rPr>
                <w:rFonts w:cs="Arial"/>
                <w:szCs w:val="22"/>
              </w:rPr>
            </w:pPr>
            <w:hyperlink r:id="rId14" w:history="1">
              <w:r w:rsidR="00B342B7" w:rsidRPr="00250D6F">
                <w:rPr>
                  <w:rStyle w:val="Hyperlink"/>
                  <w:rFonts w:cs="Arial"/>
                  <w:szCs w:val="22"/>
                </w:rPr>
                <w:t>Read the full report</w:t>
              </w:r>
            </w:hyperlink>
            <w:r w:rsidR="00B342B7">
              <w:rPr>
                <w:rFonts w:cs="Arial"/>
                <w:szCs w:val="22"/>
              </w:rPr>
              <w:t>.</w:t>
            </w:r>
          </w:p>
          <w:p w14:paraId="2F24D117" w14:textId="77777777" w:rsidR="001D03C2" w:rsidRPr="001B4E80" w:rsidRDefault="001D03C2" w:rsidP="00FC1584">
            <w:pPr>
              <w:pStyle w:val="Default"/>
              <w:spacing w:line="276" w:lineRule="auto"/>
              <w:rPr>
                <w:rFonts w:ascii="Arial" w:hAnsi="Arial" w:cs="Arial"/>
                <w:sz w:val="22"/>
                <w:szCs w:val="22"/>
              </w:rPr>
            </w:pPr>
          </w:p>
        </w:tc>
        <w:tc>
          <w:tcPr>
            <w:tcW w:w="676" w:type="dxa"/>
          </w:tcPr>
          <w:p w14:paraId="32762F74" w14:textId="77777777" w:rsidR="00FE2DCF" w:rsidRPr="001B4E80" w:rsidRDefault="00FE2DCF" w:rsidP="00FC1584">
            <w:pPr>
              <w:spacing w:line="276" w:lineRule="auto"/>
              <w:rPr>
                <w:rFonts w:cs="Arial"/>
                <w:szCs w:val="22"/>
              </w:rPr>
            </w:pPr>
          </w:p>
        </w:tc>
        <w:tc>
          <w:tcPr>
            <w:tcW w:w="695" w:type="dxa"/>
          </w:tcPr>
          <w:p w14:paraId="7B0755A5" w14:textId="77777777" w:rsidR="00FE2DCF" w:rsidRPr="001B4E80" w:rsidRDefault="00FE2DCF" w:rsidP="00FC1584">
            <w:pPr>
              <w:spacing w:line="276" w:lineRule="auto"/>
              <w:rPr>
                <w:rFonts w:cs="Arial"/>
                <w:szCs w:val="22"/>
              </w:rPr>
            </w:pPr>
          </w:p>
        </w:tc>
      </w:tr>
      <w:tr w:rsidR="00FE2DCF" w:rsidRPr="001B4E80" w14:paraId="5678DB61" w14:textId="77777777" w:rsidTr="00AB2BDE">
        <w:tc>
          <w:tcPr>
            <w:tcW w:w="421" w:type="dxa"/>
          </w:tcPr>
          <w:p w14:paraId="7EA0AF4A" w14:textId="77777777" w:rsidR="00FE2DCF" w:rsidRPr="001B4E80" w:rsidRDefault="003A4AB1" w:rsidP="00FC1584">
            <w:pPr>
              <w:spacing w:before="0" w:after="0" w:line="276" w:lineRule="auto"/>
              <w:rPr>
                <w:rFonts w:cs="Arial"/>
                <w:szCs w:val="22"/>
              </w:rPr>
            </w:pPr>
            <w:r w:rsidRPr="001B4E80">
              <w:rPr>
                <w:rFonts w:cs="Arial"/>
                <w:szCs w:val="22"/>
              </w:rPr>
              <w:t>5</w:t>
            </w:r>
            <w:r w:rsidR="00FE2DCF" w:rsidRPr="001B4E80">
              <w:rPr>
                <w:rFonts w:cs="Arial"/>
                <w:szCs w:val="22"/>
              </w:rPr>
              <w:t>.</w:t>
            </w:r>
          </w:p>
        </w:tc>
        <w:tc>
          <w:tcPr>
            <w:tcW w:w="7224" w:type="dxa"/>
          </w:tcPr>
          <w:p w14:paraId="7571A06B" w14:textId="77777777" w:rsidR="00FE2DCF" w:rsidRPr="001B4E80" w:rsidRDefault="003A4AB1" w:rsidP="00FC1584">
            <w:pPr>
              <w:spacing w:before="0" w:after="0" w:line="276" w:lineRule="auto"/>
              <w:rPr>
                <w:rFonts w:cs="Arial"/>
                <w:szCs w:val="22"/>
              </w:rPr>
            </w:pPr>
            <w:r w:rsidRPr="001B4E80">
              <w:rPr>
                <w:rFonts w:cs="Arial"/>
                <w:szCs w:val="22"/>
              </w:rPr>
              <w:t>Are you</w:t>
            </w:r>
            <w:r w:rsidR="00512F0E" w:rsidRPr="001B4E80">
              <w:rPr>
                <w:rFonts w:cs="Arial"/>
                <w:szCs w:val="22"/>
              </w:rPr>
              <w:t xml:space="preserve"> 28 weeks</w:t>
            </w:r>
            <w:r w:rsidRPr="001B4E80">
              <w:rPr>
                <w:rFonts w:cs="Arial"/>
                <w:szCs w:val="22"/>
              </w:rPr>
              <w:t xml:space="preserve"> pregnant</w:t>
            </w:r>
            <w:r w:rsidR="00512F0E" w:rsidRPr="001B4E80">
              <w:rPr>
                <w:rFonts w:cs="Arial"/>
                <w:szCs w:val="22"/>
              </w:rPr>
              <w:t xml:space="preserve"> or more; do you have any underlying health issues</w:t>
            </w:r>
            <w:r w:rsidRPr="001B4E80">
              <w:rPr>
                <w:rFonts w:cs="Arial"/>
                <w:szCs w:val="22"/>
              </w:rPr>
              <w:t>?</w:t>
            </w:r>
          </w:p>
          <w:p w14:paraId="23241080" w14:textId="77777777" w:rsidR="007946D7" w:rsidRPr="001B4E80" w:rsidRDefault="007946D7" w:rsidP="00FC1584">
            <w:pPr>
              <w:spacing w:before="0" w:after="0" w:line="276" w:lineRule="auto"/>
              <w:rPr>
                <w:rFonts w:cs="Arial"/>
                <w:szCs w:val="22"/>
              </w:rPr>
            </w:pPr>
          </w:p>
          <w:p w14:paraId="3999BA12" w14:textId="395B9F37" w:rsidR="00512F0E" w:rsidRPr="001B4E80" w:rsidRDefault="00512F0E" w:rsidP="00FC1584">
            <w:pPr>
              <w:spacing w:before="0" w:after="0" w:line="276" w:lineRule="auto"/>
              <w:rPr>
                <w:rFonts w:eastAsia="Times New Roman" w:cs="Arial"/>
                <w:color w:val="222222"/>
                <w:szCs w:val="22"/>
                <w:lang w:val="en-GB" w:eastAsia="en-GB"/>
              </w:rPr>
            </w:pPr>
            <w:r w:rsidRPr="001B4E80">
              <w:rPr>
                <w:rFonts w:eastAsia="Times New Roman" w:cs="Arial"/>
                <w:color w:val="222222"/>
                <w:szCs w:val="22"/>
                <w:lang w:val="en-GB" w:eastAsia="en-GB"/>
              </w:rPr>
              <w:t>The advice from the C</w:t>
            </w:r>
            <w:r w:rsidR="00296C40">
              <w:rPr>
                <w:rFonts w:eastAsia="Times New Roman" w:cs="Arial"/>
                <w:color w:val="222222"/>
                <w:szCs w:val="22"/>
                <w:lang w:val="en-GB" w:eastAsia="en-GB"/>
              </w:rPr>
              <w:t>hief Medical Officer</w:t>
            </w:r>
            <w:r w:rsidRPr="001B4E80">
              <w:rPr>
                <w:rFonts w:eastAsia="Times New Roman" w:cs="Arial"/>
                <w:color w:val="222222"/>
                <w:szCs w:val="22"/>
                <w:lang w:val="en-GB" w:eastAsia="en-GB"/>
              </w:rPr>
              <w:t xml:space="preserve">has changed </w:t>
            </w:r>
            <w:r w:rsidR="00296C40">
              <w:rPr>
                <w:rFonts w:eastAsia="Times New Roman" w:cs="Arial"/>
                <w:color w:val="222222"/>
                <w:szCs w:val="22"/>
                <w:lang w:val="en-GB" w:eastAsia="en-GB"/>
              </w:rPr>
              <w:t>recently</w:t>
            </w:r>
            <w:r w:rsidRPr="001B4E80">
              <w:rPr>
                <w:rFonts w:eastAsia="Times New Roman" w:cs="Arial"/>
                <w:color w:val="222222"/>
                <w:szCs w:val="22"/>
                <w:lang w:val="en-GB" w:eastAsia="en-GB"/>
              </w:rPr>
              <w:t xml:space="preserve"> I</w:t>
            </w:r>
            <w:r w:rsidR="00296C40">
              <w:rPr>
                <w:rFonts w:eastAsia="Times New Roman" w:cs="Arial"/>
                <w:color w:val="222222"/>
                <w:szCs w:val="22"/>
                <w:lang w:val="en-GB" w:eastAsia="en-GB"/>
              </w:rPr>
              <w:t xml:space="preserve">f </w:t>
            </w:r>
            <w:r w:rsidRPr="001B4E80">
              <w:rPr>
                <w:rFonts w:eastAsia="Times New Roman" w:cs="Arial"/>
                <w:color w:val="222222"/>
                <w:szCs w:val="22"/>
                <w:lang w:val="en-GB" w:eastAsia="en-GB"/>
              </w:rPr>
              <w:t xml:space="preserve"> you are in your first or second trimester (less than 28 weeks’ pregnant), with no underlying health conditions, you should practise </w:t>
            </w:r>
            <w:hyperlink r:id="rId15" w:tgtFrame="_blank" w:history="1">
              <w:r w:rsidRPr="001B4E80">
                <w:rPr>
                  <w:rFonts w:eastAsia="Times New Roman" w:cs="Arial"/>
                  <w:color w:val="006699"/>
                  <w:szCs w:val="22"/>
                  <w:u w:val="single"/>
                  <w:lang w:val="en-GB" w:eastAsia="en-GB"/>
                </w:rPr>
                <w:t>social distancing</w:t>
              </w:r>
            </w:hyperlink>
            <w:r w:rsidRPr="001B4E80">
              <w:rPr>
                <w:rFonts w:eastAsia="Times New Roman" w:cs="Arial"/>
                <w:color w:val="222222"/>
                <w:szCs w:val="22"/>
                <w:lang w:val="en-GB" w:eastAsia="en-GB"/>
              </w:rPr>
              <w:t> but can choose to continue to work even in a public-facing role, provided the necessary precautions are taken. If you are in your third trimester (more than 28 weeks’ pregnant), or have an underlying health condition – such as heart or lung disease – you should work from home where possible.</w:t>
            </w:r>
          </w:p>
        </w:tc>
        <w:tc>
          <w:tcPr>
            <w:tcW w:w="676" w:type="dxa"/>
          </w:tcPr>
          <w:p w14:paraId="59840786" w14:textId="77777777" w:rsidR="00FE2DCF" w:rsidRPr="001B4E80" w:rsidRDefault="00FE2DCF" w:rsidP="00FC1584">
            <w:pPr>
              <w:spacing w:line="276" w:lineRule="auto"/>
              <w:rPr>
                <w:rFonts w:cs="Arial"/>
                <w:szCs w:val="22"/>
              </w:rPr>
            </w:pPr>
          </w:p>
        </w:tc>
        <w:tc>
          <w:tcPr>
            <w:tcW w:w="695" w:type="dxa"/>
          </w:tcPr>
          <w:p w14:paraId="3921885B" w14:textId="77777777" w:rsidR="00FE2DCF" w:rsidRPr="001B4E80" w:rsidRDefault="00FE2DCF" w:rsidP="00FC1584">
            <w:pPr>
              <w:spacing w:line="276" w:lineRule="auto"/>
              <w:rPr>
                <w:rFonts w:cs="Arial"/>
                <w:szCs w:val="22"/>
              </w:rPr>
            </w:pPr>
          </w:p>
        </w:tc>
      </w:tr>
      <w:tr w:rsidR="00FE2DCF" w:rsidRPr="001B4E80" w14:paraId="138FCFEB" w14:textId="77777777" w:rsidTr="00AB2BDE">
        <w:tc>
          <w:tcPr>
            <w:tcW w:w="421" w:type="dxa"/>
          </w:tcPr>
          <w:p w14:paraId="75850DA6" w14:textId="77777777" w:rsidR="00FE2DCF" w:rsidRPr="001B4E80" w:rsidRDefault="003A4AB1" w:rsidP="00FC1584">
            <w:pPr>
              <w:spacing w:before="0" w:after="0" w:line="276" w:lineRule="auto"/>
              <w:rPr>
                <w:rFonts w:cs="Arial"/>
                <w:szCs w:val="22"/>
              </w:rPr>
            </w:pPr>
            <w:r w:rsidRPr="001B4E80">
              <w:rPr>
                <w:rFonts w:cs="Arial"/>
                <w:szCs w:val="22"/>
              </w:rPr>
              <w:t>6</w:t>
            </w:r>
            <w:r w:rsidR="00FE2DCF" w:rsidRPr="001B4E80">
              <w:rPr>
                <w:rFonts w:cs="Arial"/>
                <w:szCs w:val="22"/>
              </w:rPr>
              <w:t>.</w:t>
            </w:r>
          </w:p>
        </w:tc>
        <w:tc>
          <w:tcPr>
            <w:tcW w:w="7224" w:type="dxa"/>
          </w:tcPr>
          <w:p w14:paraId="0C698B59" w14:textId="77777777" w:rsidR="00512F0E" w:rsidRPr="001B4E80" w:rsidRDefault="00FE2DCF" w:rsidP="00FC1584">
            <w:pPr>
              <w:spacing w:before="0" w:after="0" w:line="276" w:lineRule="auto"/>
              <w:rPr>
                <w:rFonts w:cs="Arial"/>
                <w:szCs w:val="22"/>
              </w:rPr>
            </w:pPr>
            <w:r w:rsidRPr="001B4E80">
              <w:rPr>
                <w:rFonts w:cs="Arial"/>
                <w:szCs w:val="22"/>
              </w:rPr>
              <w:t xml:space="preserve">Have you been </w:t>
            </w:r>
            <w:r w:rsidR="00043253" w:rsidRPr="001B4E80">
              <w:rPr>
                <w:rFonts w:cs="Arial"/>
                <w:szCs w:val="22"/>
              </w:rPr>
              <w:t xml:space="preserve">previously </w:t>
            </w:r>
            <w:r w:rsidRPr="001B4E80">
              <w:rPr>
                <w:rFonts w:cs="Arial"/>
                <w:szCs w:val="22"/>
              </w:rPr>
              <w:t>advised to shield either by letter or by your treating doctors</w:t>
            </w:r>
            <w:r w:rsidR="00512F0E" w:rsidRPr="001B4E80">
              <w:rPr>
                <w:rFonts w:cs="Arial"/>
                <w:szCs w:val="22"/>
              </w:rPr>
              <w:t xml:space="preserve"> because you are extremely</w:t>
            </w:r>
            <w:r w:rsidR="00D15091">
              <w:rPr>
                <w:rFonts w:cs="Arial"/>
                <w:szCs w:val="22"/>
              </w:rPr>
              <w:t xml:space="preserve"> clinically</w:t>
            </w:r>
            <w:r w:rsidR="00512F0E" w:rsidRPr="001B4E80">
              <w:rPr>
                <w:rFonts w:cs="Arial"/>
                <w:szCs w:val="22"/>
              </w:rPr>
              <w:t xml:space="preserve"> vulnerable</w:t>
            </w:r>
            <w:r w:rsidRPr="001B4E80">
              <w:rPr>
                <w:rFonts w:cs="Arial"/>
                <w:szCs w:val="22"/>
              </w:rPr>
              <w:t>?</w:t>
            </w:r>
          </w:p>
          <w:p w14:paraId="48139A7E" w14:textId="77777777" w:rsidR="00FE2DCF" w:rsidRPr="001B4E80" w:rsidRDefault="00FE2DCF" w:rsidP="00FC1584">
            <w:pPr>
              <w:spacing w:before="0" w:after="0" w:line="276" w:lineRule="auto"/>
              <w:rPr>
                <w:rFonts w:cs="Arial"/>
                <w:szCs w:val="22"/>
              </w:rPr>
            </w:pPr>
          </w:p>
          <w:p w14:paraId="331AA05A" w14:textId="77777777" w:rsidR="00512F0E" w:rsidRPr="001B4E80" w:rsidRDefault="00512F0E" w:rsidP="00FC1584">
            <w:pPr>
              <w:spacing w:before="0" w:after="0" w:line="276" w:lineRule="auto"/>
              <w:rPr>
                <w:rFonts w:cs="Arial"/>
                <w:szCs w:val="22"/>
              </w:rPr>
            </w:pPr>
          </w:p>
          <w:p w14:paraId="02678F80" w14:textId="5F4798A1" w:rsidR="00FE2DCF" w:rsidRPr="001B4E80" w:rsidRDefault="00512F0E" w:rsidP="00FC1584">
            <w:pPr>
              <w:spacing w:before="0" w:after="0" w:line="276" w:lineRule="auto"/>
              <w:rPr>
                <w:rFonts w:cs="Arial"/>
                <w:szCs w:val="22"/>
              </w:rPr>
            </w:pPr>
            <w:r w:rsidRPr="001B4E80">
              <w:rPr>
                <w:rFonts w:cs="Arial"/>
                <w:szCs w:val="22"/>
              </w:rPr>
              <w:t>This</w:t>
            </w:r>
            <w:r w:rsidR="00FE2DCF" w:rsidRPr="001B4E80">
              <w:rPr>
                <w:rFonts w:cs="Arial"/>
                <w:szCs w:val="22"/>
              </w:rPr>
              <w:t xml:space="preserve"> will include individuals with cancer or recent/current cancer treatments, organ or stem cell recipients, severe heart or lung disease</w:t>
            </w:r>
            <w:r w:rsidR="00C435C6" w:rsidRPr="001B4E80">
              <w:rPr>
                <w:rFonts w:cs="Arial"/>
                <w:szCs w:val="22"/>
              </w:rPr>
              <w:t xml:space="preserve"> and </w:t>
            </w:r>
            <w:r w:rsidR="00FE2DCF" w:rsidRPr="001B4E80">
              <w:rPr>
                <w:rFonts w:cs="Arial"/>
                <w:szCs w:val="22"/>
              </w:rPr>
              <w:t xml:space="preserve">conditions or medications that make them </w:t>
            </w:r>
            <w:r w:rsidR="00557E1E">
              <w:rPr>
                <w:rFonts w:cs="Arial"/>
                <w:szCs w:val="22"/>
              </w:rPr>
              <w:t>extremely</w:t>
            </w:r>
            <w:r w:rsidR="00FE2DCF" w:rsidRPr="001B4E80">
              <w:rPr>
                <w:rFonts w:cs="Arial"/>
                <w:szCs w:val="22"/>
              </w:rPr>
              <w:t xml:space="preserve"> vulnerable to catching infections. </w:t>
            </w:r>
            <w:hyperlink r:id="rId16" w:history="1">
              <w:r w:rsidR="00250D6F" w:rsidRPr="00250D6F">
                <w:rPr>
                  <w:rStyle w:val="Hyperlink"/>
                  <w:rFonts w:cs="Arial"/>
                  <w:szCs w:val="22"/>
                </w:rPr>
                <w:t xml:space="preserve">View </w:t>
              </w:r>
              <w:r w:rsidRPr="00250D6F">
                <w:rPr>
                  <w:rStyle w:val="Hyperlink"/>
                  <w:rFonts w:cs="Arial"/>
                  <w:szCs w:val="22"/>
                </w:rPr>
                <w:t>PHE guidance</w:t>
              </w:r>
            </w:hyperlink>
            <w:r w:rsidR="00250D6F">
              <w:rPr>
                <w:rFonts w:cs="Arial"/>
                <w:szCs w:val="22"/>
              </w:rPr>
              <w:t>.</w:t>
            </w:r>
          </w:p>
        </w:tc>
        <w:tc>
          <w:tcPr>
            <w:tcW w:w="676" w:type="dxa"/>
          </w:tcPr>
          <w:p w14:paraId="59F8D3C7" w14:textId="77777777" w:rsidR="00FE2DCF" w:rsidRPr="001B4E80" w:rsidRDefault="00FE2DCF" w:rsidP="00FC1584">
            <w:pPr>
              <w:spacing w:line="276" w:lineRule="auto"/>
              <w:rPr>
                <w:rFonts w:cs="Arial"/>
                <w:szCs w:val="22"/>
              </w:rPr>
            </w:pPr>
          </w:p>
        </w:tc>
        <w:tc>
          <w:tcPr>
            <w:tcW w:w="695" w:type="dxa"/>
          </w:tcPr>
          <w:p w14:paraId="39E14E90" w14:textId="77777777" w:rsidR="00FE2DCF" w:rsidRPr="001B4E80" w:rsidRDefault="00FE2DCF" w:rsidP="00FC1584">
            <w:pPr>
              <w:spacing w:line="276" w:lineRule="auto"/>
              <w:rPr>
                <w:rFonts w:cs="Arial"/>
                <w:szCs w:val="22"/>
              </w:rPr>
            </w:pPr>
          </w:p>
        </w:tc>
      </w:tr>
      <w:tr w:rsidR="001E6048" w:rsidRPr="001B4E80" w14:paraId="2DBA396C" w14:textId="77777777" w:rsidTr="00AB2BDE">
        <w:tc>
          <w:tcPr>
            <w:tcW w:w="421" w:type="dxa"/>
          </w:tcPr>
          <w:p w14:paraId="0F28298A" w14:textId="77777777" w:rsidR="001E6048" w:rsidRPr="001B4E80" w:rsidRDefault="001E6048" w:rsidP="00FC1584">
            <w:pPr>
              <w:spacing w:before="0" w:after="0" w:line="276" w:lineRule="auto"/>
              <w:rPr>
                <w:rFonts w:cs="Arial"/>
                <w:szCs w:val="22"/>
              </w:rPr>
            </w:pPr>
            <w:r w:rsidRPr="001B4E80">
              <w:rPr>
                <w:rFonts w:cs="Arial"/>
                <w:szCs w:val="22"/>
              </w:rPr>
              <w:t>7.</w:t>
            </w:r>
          </w:p>
        </w:tc>
        <w:tc>
          <w:tcPr>
            <w:tcW w:w="7224" w:type="dxa"/>
          </w:tcPr>
          <w:p w14:paraId="12CE4B55" w14:textId="77777777" w:rsidR="001E6048" w:rsidRPr="001B4E80" w:rsidRDefault="001E6048" w:rsidP="00FC1584">
            <w:pPr>
              <w:spacing w:before="0" w:after="0" w:line="276" w:lineRule="auto"/>
              <w:rPr>
                <w:rFonts w:cs="Arial"/>
                <w:szCs w:val="22"/>
              </w:rPr>
            </w:pPr>
            <w:r w:rsidRPr="001B4E80">
              <w:rPr>
                <w:rFonts w:cs="Arial"/>
                <w:szCs w:val="22"/>
              </w:rPr>
              <w:t xml:space="preserve">Are you living with or </w:t>
            </w:r>
            <w:r w:rsidR="00E176D6" w:rsidRPr="001B4E80">
              <w:rPr>
                <w:rFonts w:cs="Arial"/>
                <w:szCs w:val="22"/>
              </w:rPr>
              <w:t>have specific caring responsibilities</w:t>
            </w:r>
            <w:r w:rsidRPr="001B4E80">
              <w:rPr>
                <w:rFonts w:cs="Arial"/>
                <w:szCs w:val="22"/>
              </w:rPr>
              <w:t xml:space="preserve"> for someone who has bee</w:t>
            </w:r>
            <w:r w:rsidR="0040655C" w:rsidRPr="001B4E80">
              <w:rPr>
                <w:rFonts w:cs="Arial"/>
                <w:szCs w:val="22"/>
              </w:rPr>
              <w:t>n</w:t>
            </w:r>
            <w:r w:rsidRPr="001B4E80">
              <w:rPr>
                <w:rFonts w:cs="Arial"/>
                <w:szCs w:val="22"/>
              </w:rPr>
              <w:t xml:space="preserve"> advised to shield</w:t>
            </w:r>
            <w:r w:rsidR="00D15091">
              <w:rPr>
                <w:rFonts w:cs="Arial"/>
                <w:szCs w:val="22"/>
              </w:rPr>
              <w:t xml:space="preserve"> because they are extremely clinically vulnerable</w:t>
            </w:r>
            <w:r w:rsidRPr="001B4E80">
              <w:rPr>
                <w:rFonts w:cs="Arial"/>
                <w:szCs w:val="22"/>
              </w:rPr>
              <w:t>?</w:t>
            </w:r>
            <w:r w:rsidR="00043253" w:rsidRPr="001B4E80">
              <w:rPr>
                <w:rFonts w:cs="Arial"/>
                <w:szCs w:val="22"/>
              </w:rPr>
              <w:t xml:space="preserve"> </w:t>
            </w:r>
          </w:p>
        </w:tc>
        <w:tc>
          <w:tcPr>
            <w:tcW w:w="676" w:type="dxa"/>
          </w:tcPr>
          <w:p w14:paraId="0F2CB833" w14:textId="77777777" w:rsidR="001E6048" w:rsidRPr="001B4E80" w:rsidRDefault="001E6048" w:rsidP="00FC1584">
            <w:pPr>
              <w:spacing w:line="276" w:lineRule="auto"/>
              <w:rPr>
                <w:rFonts w:cs="Arial"/>
                <w:szCs w:val="22"/>
              </w:rPr>
            </w:pPr>
          </w:p>
        </w:tc>
        <w:tc>
          <w:tcPr>
            <w:tcW w:w="695" w:type="dxa"/>
          </w:tcPr>
          <w:p w14:paraId="41A33878" w14:textId="77777777" w:rsidR="001E6048" w:rsidRPr="001B4E80" w:rsidRDefault="001E6048" w:rsidP="00FC1584">
            <w:pPr>
              <w:spacing w:line="276" w:lineRule="auto"/>
              <w:rPr>
                <w:rFonts w:cs="Arial"/>
                <w:szCs w:val="22"/>
              </w:rPr>
            </w:pPr>
          </w:p>
        </w:tc>
      </w:tr>
      <w:bookmarkEnd w:id="0"/>
    </w:tbl>
    <w:p w14:paraId="652AD236" w14:textId="77777777" w:rsidR="0009604B" w:rsidRDefault="0009604B" w:rsidP="00FC1584">
      <w:pPr>
        <w:spacing w:before="100" w:beforeAutospacing="1" w:after="120" w:line="276" w:lineRule="auto"/>
        <w:rPr>
          <w:rFonts w:eastAsia="Times New Roman" w:cs="Arial"/>
          <w:b/>
          <w:szCs w:val="22"/>
          <w:lang w:eastAsia="en-GB"/>
        </w:rPr>
      </w:pPr>
    </w:p>
    <w:p w14:paraId="5A328700" w14:textId="77777777" w:rsidR="00730BBD" w:rsidRDefault="00730BBD" w:rsidP="00FC1584">
      <w:pPr>
        <w:spacing w:before="100" w:beforeAutospacing="1" w:after="120" w:line="276" w:lineRule="auto"/>
        <w:rPr>
          <w:rFonts w:eastAsia="Times New Roman" w:cs="Arial"/>
          <w:b/>
          <w:szCs w:val="22"/>
          <w:lang w:eastAsia="en-GB"/>
        </w:rPr>
      </w:pPr>
    </w:p>
    <w:p w14:paraId="5C39B84D" w14:textId="6FC45660" w:rsidR="00FE2DCF" w:rsidRPr="001B4E80" w:rsidRDefault="0040655C" w:rsidP="00730BBD">
      <w:pPr>
        <w:pStyle w:val="Heading2"/>
        <w:rPr>
          <w:lang w:eastAsia="en-GB"/>
        </w:rPr>
      </w:pPr>
      <w:r w:rsidRPr="001B4E80">
        <w:rPr>
          <w:lang w:eastAsia="en-GB"/>
        </w:rPr>
        <w:lastRenderedPageBreak/>
        <w:t>Risk</w:t>
      </w:r>
      <w:r w:rsidR="00FE2DCF" w:rsidRPr="001B4E80">
        <w:rPr>
          <w:lang w:eastAsia="en-GB"/>
        </w:rPr>
        <w:t xml:space="preserve"> assessment outcome:</w:t>
      </w:r>
    </w:p>
    <w:p w14:paraId="2D605A89" w14:textId="241F0C5B" w:rsidR="00FE2DCF" w:rsidRPr="001B4E80" w:rsidRDefault="00FE2DCF" w:rsidP="00FC1584">
      <w:pPr>
        <w:spacing w:before="100" w:beforeAutospacing="1" w:after="120" w:line="276" w:lineRule="auto"/>
        <w:rPr>
          <w:rFonts w:eastAsia="Times New Roman" w:cs="Arial"/>
          <w:szCs w:val="22"/>
          <w:lang w:eastAsia="en-GB"/>
        </w:rPr>
      </w:pPr>
      <w:r w:rsidRPr="001B4E80">
        <w:rPr>
          <w:rFonts w:eastAsia="Times New Roman" w:cs="Arial"/>
          <w:b/>
          <w:szCs w:val="22"/>
          <w:lang w:eastAsia="en-GB"/>
        </w:rPr>
        <w:t>Tier 1:</w:t>
      </w:r>
      <w:r w:rsidRPr="001B4E80">
        <w:rPr>
          <w:rFonts w:eastAsia="Times New Roman" w:cs="Arial"/>
          <w:szCs w:val="22"/>
          <w:lang w:eastAsia="en-GB"/>
        </w:rPr>
        <w:t xml:space="preserve"> If the answer is “No” to all questions or “Yes” to question 1 only: this indicates standard/low risk and routine workplace risk management measures as identified in the </w:t>
      </w:r>
      <w:r w:rsidR="00C435C6" w:rsidRPr="001B4E80">
        <w:rPr>
          <w:rFonts w:eastAsia="Times New Roman" w:cs="Arial"/>
          <w:szCs w:val="22"/>
          <w:lang w:eastAsia="en-GB"/>
        </w:rPr>
        <w:t xml:space="preserve">general </w:t>
      </w:r>
      <w:r w:rsidR="0009604B">
        <w:rPr>
          <w:rFonts w:eastAsia="Times New Roman" w:cs="Arial"/>
          <w:szCs w:val="22"/>
          <w:lang w:eastAsia="en-GB"/>
        </w:rPr>
        <w:t>COVID</w:t>
      </w:r>
      <w:r w:rsidR="00C435C6" w:rsidRPr="001B4E80">
        <w:rPr>
          <w:rFonts w:eastAsia="Times New Roman" w:cs="Arial"/>
          <w:szCs w:val="22"/>
          <w:lang w:eastAsia="en-GB"/>
        </w:rPr>
        <w:t xml:space="preserve">-19 workplace </w:t>
      </w:r>
      <w:r w:rsidRPr="001B4E80">
        <w:rPr>
          <w:rFonts w:eastAsia="Times New Roman" w:cs="Arial"/>
          <w:szCs w:val="22"/>
          <w:lang w:eastAsia="en-GB"/>
        </w:rPr>
        <w:t>risk assessment would be sufficient.</w:t>
      </w:r>
    </w:p>
    <w:p w14:paraId="647DF735" w14:textId="44DA2778" w:rsidR="00FE2DCF" w:rsidRPr="001B4E80" w:rsidRDefault="00FE2DCF" w:rsidP="00FC1584">
      <w:pPr>
        <w:spacing w:before="100" w:beforeAutospacing="1" w:after="120" w:line="276" w:lineRule="auto"/>
        <w:rPr>
          <w:rFonts w:eastAsia="Times New Roman" w:cs="Arial"/>
          <w:szCs w:val="22"/>
          <w:lang w:eastAsia="en-GB"/>
        </w:rPr>
      </w:pPr>
      <w:r w:rsidRPr="001B4E80">
        <w:rPr>
          <w:rFonts w:eastAsia="Times New Roman" w:cs="Arial"/>
          <w:b/>
          <w:szCs w:val="22"/>
          <w:lang w:eastAsia="en-GB"/>
        </w:rPr>
        <w:t>Tier 2:</w:t>
      </w:r>
      <w:r w:rsidRPr="001B4E80">
        <w:rPr>
          <w:rFonts w:eastAsia="Times New Roman" w:cs="Arial"/>
          <w:szCs w:val="22"/>
          <w:lang w:eastAsia="en-GB"/>
        </w:rPr>
        <w:t xml:space="preserve"> If the answer is “Yes” to </w:t>
      </w:r>
      <w:r w:rsidR="0040655C" w:rsidRPr="001B4E80">
        <w:rPr>
          <w:rFonts w:eastAsia="Times New Roman" w:cs="Arial"/>
          <w:szCs w:val="22"/>
          <w:lang w:eastAsia="en-GB"/>
        </w:rPr>
        <w:t>any one</w:t>
      </w:r>
      <w:r w:rsidR="00296C40">
        <w:rPr>
          <w:rFonts w:eastAsia="Times New Roman" w:cs="Arial"/>
          <w:szCs w:val="22"/>
          <w:lang w:eastAsia="en-GB"/>
        </w:rPr>
        <w:t xml:space="preserve"> or more</w:t>
      </w:r>
      <w:r w:rsidR="0040655C" w:rsidRPr="001B4E80">
        <w:rPr>
          <w:rFonts w:eastAsia="Times New Roman" w:cs="Arial"/>
          <w:szCs w:val="22"/>
          <w:lang w:eastAsia="en-GB"/>
        </w:rPr>
        <w:t xml:space="preserve"> of </w:t>
      </w:r>
      <w:r w:rsidR="005410BA" w:rsidRPr="001B4E80">
        <w:rPr>
          <w:rFonts w:eastAsia="Times New Roman" w:cs="Arial"/>
          <w:szCs w:val="22"/>
          <w:lang w:eastAsia="en-GB"/>
        </w:rPr>
        <w:t>questions 2-5</w:t>
      </w:r>
      <w:r w:rsidRPr="001B4E80">
        <w:rPr>
          <w:rFonts w:eastAsia="Times New Roman" w:cs="Arial"/>
          <w:szCs w:val="22"/>
          <w:lang w:eastAsia="en-GB"/>
        </w:rPr>
        <w:t>: there is a potentially increased risk of significant illness with C</w:t>
      </w:r>
      <w:r w:rsidR="005F7161" w:rsidRPr="001B4E80">
        <w:rPr>
          <w:rFonts w:eastAsia="Times New Roman" w:cs="Arial"/>
          <w:szCs w:val="22"/>
          <w:lang w:eastAsia="en-GB"/>
        </w:rPr>
        <w:t>OVID</w:t>
      </w:r>
      <w:r w:rsidRPr="001B4E80">
        <w:rPr>
          <w:rFonts w:eastAsia="Times New Roman" w:cs="Arial"/>
          <w:szCs w:val="22"/>
          <w:lang w:eastAsia="en-GB"/>
        </w:rPr>
        <w:t>-19</w:t>
      </w:r>
      <w:r w:rsidR="00296C40">
        <w:rPr>
          <w:rFonts w:eastAsia="Times New Roman" w:cs="Arial"/>
          <w:szCs w:val="22"/>
          <w:lang w:eastAsia="en-GB"/>
        </w:rPr>
        <w:t>.</w:t>
      </w:r>
      <w:r w:rsidRPr="001B4E80">
        <w:rPr>
          <w:rFonts w:eastAsia="Times New Roman" w:cs="Arial"/>
          <w:szCs w:val="22"/>
          <w:lang w:eastAsia="en-GB"/>
        </w:rPr>
        <w:t xml:space="preserve"> </w:t>
      </w:r>
      <w:r w:rsidR="007A7D44" w:rsidRPr="001B4E80">
        <w:rPr>
          <w:rFonts w:eastAsia="Times New Roman" w:cs="Arial"/>
          <w:szCs w:val="22"/>
          <w:lang w:eastAsia="en-GB"/>
        </w:rPr>
        <w:t>Please discuss this with your staff member</w:t>
      </w:r>
      <w:r w:rsidRPr="001B4E80">
        <w:rPr>
          <w:rFonts w:eastAsia="Times New Roman" w:cs="Arial"/>
          <w:szCs w:val="22"/>
          <w:lang w:eastAsia="en-GB"/>
        </w:rPr>
        <w:t xml:space="preserve"> </w:t>
      </w:r>
      <w:r w:rsidR="007A7D44" w:rsidRPr="001B4E80">
        <w:rPr>
          <w:rFonts w:eastAsia="Times New Roman" w:cs="Arial"/>
          <w:szCs w:val="22"/>
          <w:lang w:eastAsia="en-GB"/>
        </w:rPr>
        <w:t xml:space="preserve">and see what you can agree locally to manage the risks that have been identified. This could </w:t>
      </w:r>
      <w:r w:rsidR="00296C40">
        <w:rPr>
          <w:rFonts w:eastAsia="Times New Roman" w:cs="Arial"/>
          <w:szCs w:val="22"/>
          <w:lang w:eastAsia="en-GB"/>
        </w:rPr>
        <w:t>include</w:t>
      </w:r>
      <w:r w:rsidR="007A7D44" w:rsidRPr="001B4E80">
        <w:rPr>
          <w:rFonts w:eastAsia="Times New Roman" w:cs="Arial"/>
          <w:szCs w:val="22"/>
          <w:lang w:eastAsia="en-GB"/>
        </w:rPr>
        <w:t xml:space="preserve"> making adjustments to where the work i</w:t>
      </w:r>
      <w:r w:rsidR="00296C40">
        <w:rPr>
          <w:rFonts w:eastAsia="Times New Roman" w:cs="Arial"/>
          <w:szCs w:val="22"/>
          <w:lang w:eastAsia="en-GB"/>
        </w:rPr>
        <w:t>s</w:t>
      </w:r>
      <w:r w:rsidR="007A7D44" w:rsidRPr="001B4E80">
        <w:rPr>
          <w:rFonts w:eastAsia="Times New Roman" w:cs="Arial"/>
          <w:szCs w:val="22"/>
          <w:lang w:eastAsia="en-GB"/>
        </w:rPr>
        <w:t xml:space="preserve"> undertaken, the hours worked, or the tasks they are required to undertake as part of their role</w:t>
      </w:r>
      <w:r w:rsidR="00296C40">
        <w:rPr>
          <w:rFonts w:eastAsia="Times New Roman" w:cs="Arial"/>
          <w:szCs w:val="22"/>
          <w:lang w:eastAsia="en-GB"/>
        </w:rPr>
        <w:t>.</w:t>
      </w:r>
      <w:r w:rsidR="007A7D44" w:rsidRPr="001B4E80">
        <w:rPr>
          <w:rFonts w:eastAsia="Times New Roman" w:cs="Arial"/>
          <w:szCs w:val="22"/>
          <w:lang w:eastAsia="en-GB"/>
        </w:rPr>
        <w:t xml:space="preserve"> </w:t>
      </w:r>
      <w:r w:rsidR="004B75BE" w:rsidRPr="001B4E80">
        <w:rPr>
          <w:rFonts w:eastAsia="Times New Roman" w:cs="Arial"/>
          <w:szCs w:val="22"/>
          <w:lang w:eastAsia="en-GB"/>
        </w:rPr>
        <w:t xml:space="preserve"> </w:t>
      </w:r>
      <w:r w:rsidR="007A7D44" w:rsidRPr="001B4E80">
        <w:rPr>
          <w:rFonts w:eastAsia="Times New Roman" w:cs="Arial"/>
          <w:szCs w:val="22"/>
          <w:lang w:eastAsia="en-GB"/>
        </w:rPr>
        <w:t xml:space="preserve">If you feel that </w:t>
      </w:r>
      <w:r w:rsidR="004B75BE" w:rsidRPr="001B4E80">
        <w:rPr>
          <w:rFonts w:eastAsia="Times New Roman" w:cs="Arial"/>
          <w:szCs w:val="22"/>
          <w:lang w:eastAsia="en-GB"/>
        </w:rPr>
        <w:t xml:space="preserve">you would like advice on mitigating risks </w:t>
      </w:r>
      <w:r w:rsidR="007A7D44" w:rsidRPr="001B4E80">
        <w:rPr>
          <w:rFonts w:eastAsia="Times New Roman" w:cs="Arial"/>
          <w:szCs w:val="22"/>
          <w:lang w:eastAsia="en-GB"/>
        </w:rPr>
        <w:t xml:space="preserve">because the </w:t>
      </w:r>
      <w:r w:rsidR="0009604B">
        <w:rPr>
          <w:rFonts w:eastAsia="Times New Roman" w:cs="Arial"/>
          <w:szCs w:val="22"/>
          <w:lang w:eastAsia="en-GB"/>
        </w:rPr>
        <w:t>medical situation is complex</w:t>
      </w:r>
      <w:r w:rsidR="004B75BE" w:rsidRPr="001B4E80">
        <w:rPr>
          <w:rFonts w:eastAsia="Times New Roman" w:cs="Arial"/>
          <w:szCs w:val="22"/>
          <w:lang w:eastAsia="en-GB"/>
        </w:rPr>
        <w:t>, or your employee would prefer to discuss their health concerns in co</w:t>
      </w:r>
      <w:r w:rsidR="0009604B">
        <w:rPr>
          <w:rFonts w:eastAsia="Times New Roman" w:cs="Arial"/>
          <w:szCs w:val="22"/>
          <w:lang w:eastAsia="en-GB"/>
        </w:rPr>
        <w:t xml:space="preserve">nfidence with Workplace Health, </w:t>
      </w:r>
      <w:r w:rsidR="004B75BE" w:rsidRPr="001B4E80">
        <w:rPr>
          <w:rFonts w:eastAsia="Times New Roman" w:cs="Arial"/>
          <w:szCs w:val="22"/>
          <w:lang w:eastAsia="en-GB"/>
        </w:rPr>
        <w:t>p</w:t>
      </w:r>
      <w:r w:rsidR="00C435C6" w:rsidRPr="001B4E80">
        <w:rPr>
          <w:rFonts w:eastAsia="Times New Roman" w:cs="Arial"/>
          <w:szCs w:val="22"/>
          <w:lang w:eastAsia="en-GB"/>
        </w:rPr>
        <w:t xml:space="preserve">lease refer </w:t>
      </w:r>
      <w:r w:rsidR="00296C40">
        <w:rPr>
          <w:rFonts w:eastAsia="Times New Roman" w:cs="Arial"/>
          <w:szCs w:val="22"/>
          <w:lang w:eastAsia="en-GB"/>
        </w:rPr>
        <w:t xml:space="preserve">them </w:t>
      </w:r>
      <w:r w:rsidR="00936E72" w:rsidRPr="001B4E80">
        <w:rPr>
          <w:rFonts w:eastAsia="Times New Roman" w:cs="Arial"/>
          <w:szCs w:val="22"/>
          <w:lang w:eastAsia="en-GB"/>
        </w:rPr>
        <w:t xml:space="preserve">following </w:t>
      </w:r>
      <w:r w:rsidR="00AB2BDE" w:rsidRPr="001B4E80">
        <w:rPr>
          <w:rFonts w:eastAsia="Times New Roman" w:cs="Arial"/>
          <w:szCs w:val="22"/>
          <w:lang w:eastAsia="en-GB"/>
        </w:rPr>
        <w:t xml:space="preserve">the </w:t>
      </w:r>
      <w:hyperlink r:id="rId17" w:history="1">
        <w:r w:rsidR="00032F6C" w:rsidRPr="001B4E80">
          <w:rPr>
            <w:rStyle w:val="Hyperlink"/>
            <w:rFonts w:eastAsia="Times New Roman" w:cs="Arial"/>
            <w:szCs w:val="22"/>
            <w:lang w:eastAsia="en-GB"/>
          </w:rPr>
          <w:t>management referral process</w:t>
        </w:r>
      </w:hyperlink>
      <w:r w:rsidR="00032F6C" w:rsidRPr="001B4E80">
        <w:rPr>
          <w:rFonts w:eastAsia="Times New Roman" w:cs="Arial"/>
          <w:szCs w:val="22"/>
          <w:lang w:eastAsia="en-GB"/>
        </w:rPr>
        <w:t xml:space="preserve">. </w:t>
      </w:r>
    </w:p>
    <w:p w14:paraId="4F81AA5C" w14:textId="6A3D1996" w:rsidR="00FC1584" w:rsidRDefault="00FE2DCF" w:rsidP="00FC1584">
      <w:pPr>
        <w:spacing w:before="100" w:beforeAutospacing="1" w:after="120" w:line="276" w:lineRule="auto"/>
        <w:rPr>
          <w:rFonts w:eastAsia="Times New Roman" w:cs="Arial"/>
          <w:szCs w:val="22"/>
          <w:lang w:eastAsia="en-GB"/>
        </w:rPr>
      </w:pPr>
      <w:r w:rsidRPr="00FC1584">
        <w:rPr>
          <w:rFonts w:eastAsia="Times New Roman" w:cs="Arial"/>
          <w:b/>
          <w:szCs w:val="22"/>
          <w:lang w:eastAsia="en-GB"/>
        </w:rPr>
        <w:t>Tier 3</w:t>
      </w:r>
      <w:r w:rsidRPr="00FC1584">
        <w:rPr>
          <w:rFonts w:eastAsia="Times New Roman" w:cs="Arial"/>
          <w:szCs w:val="22"/>
          <w:lang w:eastAsia="en-GB"/>
        </w:rPr>
        <w:t xml:space="preserve">: If the answer is “Yes” to questions </w:t>
      </w:r>
      <w:r w:rsidR="003A4AB1" w:rsidRPr="00FC1584">
        <w:rPr>
          <w:rFonts w:eastAsia="Times New Roman" w:cs="Arial"/>
          <w:szCs w:val="22"/>
          <w:lang w:eastAsia="en-GB"/>
        </w:rPr>
        <w:t>6</w:t>
      </w:r>
      <w:r w:rsidR="00D15091" w:rsidRPr="00FC1584">
        <w:rPr>
          <w:rFonts w:eastAsia="Times New Roman" w:cs="Arial"/>
          <w:szCs w:val="22"/>
          <w:lang w:eastAsia="en-GB"/>
        </w:rPr>
        <w:t xml:space="preserve"> or 7</w:t>
      </w:r>
      <w:r w:rsidRPr="00FC1584">
        <w:rPr>
          <w:rFonts w:eastAsia="Times New Roman" w:cs="Arial"/>
          <w:szCs w:val="22"/>
          <w:lang w:eastAsia="en-GB"/>
        </w:rPr>
        <w:t xml:space="preserve">: </w:t>
      </w:r>
      <w:r w:rsidR="00D15091" w:rsidRPr="00FC1584">
        <w:rPr>
          <w:rFonts w:eastAsia="Times New Roman" w:cs="Arial"/>
          <w:szCs w:val="22"/>
          <w:lang w:eastAsia="en-GB"/>
        </w:rPr>
        <w:t xml:space="preserve">Although government guidance is </w:t>
      </w:r>
      <w:r w:rsidR="00B342B7">
        <w:rPr>
          <w:rFonts w:eastAsia="Times New Roman" w:cs="Arial"/>
          <w:szCs w:val="22"/>
          <w:lang w:eastAsia="en-GB"/>
        </w:rPr>
        <w:t>those who were previously advised to shield can now return to work,  with</w:t>
      </w:r>
      <w:r w:rsidR="00D15091" w:rsidRPr="00FC1584">
        <w:rPr>
          <w:rFonts w:eastAsia="Times New Roman" w:cs="Arial"/>
          <w:szCs w:val="22"/>
          <w:lang w:eastAsia="en-GB"/>
        </w:rPr>
        <w:t xml:space="preserve"> suitable </w:t>
      </w:r>
      <w:r w:rsidR="003B79DF" w:rsidRPr="00FC1584">
        <w:rPr>
          <w:rFonts w:eastAsia="Times New Roman" w:cs="Arial"/>
          <w:szCs w:val="22"/>
          <w:lang w:eastAsia="en-GB"/>
        </w:rPr>
        <w:t>control</w:t>
      </w:r>
      <w:r w:rsidR="00D15091" w:rsidRPr="00FC1584">
        <w:rPr>
          <w:rFonts w:eastAsia="Times New Roman" w:cs="Arial"/>
          <w:szCs w:val="22"/>
          <w:lang w:eastAsia="en-GB"/>
        </w:rPr>
        <w:t xml:space="preserve"> measures</w:t>
      </w:r>
      <w:r w:rsidR="00B342B7">
        <w:rPr>
          <w:rFonts w:eastAsia="Times New Roman" w:cs="Arial"/>
          <w:szCs w:val="22"/>
          <w:lang w:eastAsia="en-GB"/>
        </w:rPr>
        <w:t xml:space="preserve">, </w:t>
      </w:r>
      <w:r w:rsidR="00D15091" w:rsidRPr="00FC1584">
        <w:rPr>
          <w:rFonts w:eastAsia="Times New Roman" w:cs="Arial"/>
          <w:szCs w:val="22"/>
          <w:lang w:eastAsia="en-GB"/>
        </w:rPr>
        <w:t xml:space="preserve"> UCL’s position is that </w:t>
      </w:r>
      <w:r w:rsidR="00B342B7">
        <w:rPr>
          <w:rFonts w:eastAsia="Times New Roman" w:cs="Arial"/>
          <w:szCs w:val="22"/>
          <w:lang w:eastAsia="en-GB"/>
        </w:rPr>
        <w:t>they</w:t>
      </w:r>
      <w:r w:rsidR="00D15091" w:rsidRPr="00FC1584">
        <w:rPr>
          <w:rFonts w:eastAsia="Times New Roman" w:cs="Arial"/>
          <w:szCs w:val="22"/>
          <w:lang w:eastAsia="en-GB"/>
        </w:rPr>
        <w:t xml:space="preserve"> should continue to work from home. UCL </w:t>
      </w:r>
      <w:r w:rsidR="00B342B7">
        <w:rPr>
          <w:rFonts w:eastAsia="Times New Roman" w:cs="Arial"/>
          <w:szCs w:val="22"/>
          <w:lang w:eastAsia="en-GB"/>
        </w:rPr>
        <w:t>is</w:t>
      </w:r>
      <w:r w:rsidR="00D15091" w:rsidRPr="00FC1584">
        <w:rPr>
          <w:rFonts w:eastAsia="Times New Roman" w:cs="Arial"/>
          <w:szCs w:val="22"/>
          <w:lang w:eastAsia="en-GB"/>
        </w:rPr>
        <w:t xml:space="preserve"> monitoring the situation and will keep this policy under review. Therefore tier 3 employees should not be asked to come back to campus at this time.</w:t>
      </w:r>
    </w:p>
    <w:p w14:paraId="3C7159CC" w14:textId="73A825E1" w:rsidR="00D15091" w:rsidRDefault="00D15091" w:rsidP="00FC1584">
      <w:pPr>
        <w:spacing w:before="100" w:beforeAutospacing="1" w:after="120" w:line="276" w:lineRule="auto"/>
        <w:rPr>
          <w:rFonts w:eastAsia="Times New Roman" w:cs="Arial"/>
          <w:szCs w:val="22"/>
          <w:lang w:eastAsia="en-GB"/>
        </w:rPr>
      </w:pPr>
      <w:r>
        <w:rPr>
          <w:rFonts w:eastAsia="Times New Roman" w:cs="Arial"/>
          <w:szCs w:val="22"/>
          <w:lang w:eastAsia="en-GB"/>
        </w:rPr>
        <w:t>Note – previously this tool had four tiers, tier</w:t>
      </w:r>
      <w:r w:rsidR="003B79DF">
        <w:rPr>
          <w:rFonts w:eastAsia="Times New Roman" w:cs="Arial"/>
          <w:szCs w:val="22"/>
          <w:lang w:eastAsia="en-GB"/>
        </w:rPr>
        <w:t>s</w:t>
      </w:r>
      <w:r>
        <w:rPr>
          <w:rFonts w:eastAsia="Times New Roman" w:cs="Arial"/>
          <w:szCs w:val="22"/>
          <w:lang w:eastAsia="en-GB"/>
        </w:rPr>
        <w:t xml:space="preserve"> three and four have now been merged. </w:t>
      </w:r>
    </w:p>
    <w:p w14:paraId="3DB57C40" w14:textId="77777777" w:rsidR="00D52D84" w:rsidRPr="004242F5" w:rsidRDefault="00D52D84" w:rsidP="00D52D84">
      <w:pPr>
        <w:rPr>
          <w:b/>
          <w:bCs/>
        </w:rPr>
      </w:pPr>
      <w:r w:rsidRPr="004242F5">
        <w:rPr>
          <w:b/>
          <w:bCs/>
        </w:rPr>
        <w:t>Consideration of Exposure Factors</w:t>
      </w:r>
    </w:p>
    <w:p w14:paraId="766C74C5" w14:textId="77777777" w:rsidR="00D52D84" w:rsidRPr="004242F5" w:rsidRDefault="00D52D84" w:rsidP="00D52D84">
      <w:r w:rsidRPr="004242F5">
        <w:t xml:space="preserve">Once you have established the health risk assessment outcome e.g tier 1, 2 or 3 you should then consider the level of potential exposure to the individual from their travel to/from work and from the numbers of people they come into contact with because of the type of job they do. Potential increase in exposure to the COVID 19 virus should be considered for the following factors; </w:t>
      </w:r>
    </w:p>
    <w:p w14:paraId="39C89B62" w14:textId="77777777" w:rsidR="00D52D84" w:rsidRPr="004242F5" w:rsidRDefault="00D52D84" w:rsidP="00D52D84">
      <w:pPr>
        <w:pStyle w:val="ListParagraph"/>
        <w:numPr>
          <w:ilvl w:val="0"/>
          <w:numId w:val="43"/>
        </w:numPr>
      </w:pPr>
      <w:r w:rsidRPr="004242F5">
        <w:t>Mode of Transport</w:t>
      </w:r>
    </w:p>
    <w:p w14:paraId="5FFDD524" w14:textId="77777777" w:rsidR="00D52D84" w:rsidRPr="004242F5" w:rsidRDefault="00D52D84" w:rsidP="00D52D84">
      <w:pPr>
        <w:pStyle w:val="ListParagraph"/>
        <w:numPr>
          <w:ilvl w:val="0"/>
          <w:numId w:val="43"/>
        </w:numPr>
      </w:pPr>
      <w:r w:rsidRPr="004242F5">
        <w:t>People Contact</w:t>
      </w:r>
    </w:p>
    <w:p w14:paraId="27E6BE6A" w14:textId="77777777" w:rsidR="00D52D84" w:rsidRPr="004242F5" w:rsidRDefault="00D52D84" w:rsidP="00D52D84">
      <w:r w:rsidRPr="004242F5">
        <w:t>(Note:- All buildings are Covid secure and therefore there is no further impact on risk from the work environment. Tier 3 individuals are already deemed as high risk therefore this is the only consideration required)</w:t>
      </w:r>
      <w:bookmarkStart w:id="1" w:name="_GoBack"/>
      <w:bookmarkEnd w:id="1"/>
    </w:p>
    <w:p w14:paraId="5A23B768" w14:textId="77777777" w:rsidR="00D52D84" w:rsidRPr="004242F5" w:rsidRDefault="00D52D84" w:rsidP="00D52D84">
      <w:pPr>
        <w:rPr>
          <w:b/>
          <w:bCs/>
        </w:rPr>
      </w:pPr>
      <w:bookmarkStart w:id="2" w:name="_Hlk54194725"/>
      <w:bookmarkStart w:id="3" w:name="_Hlk54181625"/>
      <w:r w:rsidRPr="004242F5">
        <w:rPr>
          <w:b/>
          <w:bCs/>
        </w:rPr>
        <w:t>Transport Exposure</w:t>
      </w:r>
    </w:p>
    <w:p w14:paraId="273FF4E3" w14:textId="77777777" w:rsidR="00D52D84" w:rsidRDefault="00D52D84" w:rsidP="00D52D84">
      <w:pPr>
        <w:rPr>
          <w:i/>
          <w:iCs/>
          <w:highlight w:val="yellow"/>
        </w:rPr>
      </w:pPr>
      <w:r w:rsidRPr="004242F5">
        <w:t>Table 1 considers for each Tier the potential impact on risk caused by the individual’s method of transport into work. There are many alternative ways to travel to and from work but essentially it is only where public transport is used that there is a higher risk of coming into</w:t>
      </w:r>
      <w:r w:rsidRPr="004242F5">
        <w:rPr>
          <w:i/>
          <w:iCs/>
        </w:rPr>
        <w:t xml:space="preserve"> </w:t>
      </w:r>
      <w:r w:rsidRPr="000164B3">
        <w:t>prolonged contact  (more than 15 mins)</w:t>
      </w:r>
      <w:r w:rsidRPr="000164B3">
        <w:rPr>
          <w:i/>
          <w:iCs/>
        </w:rPr>
        <w:t xml:space="preserve"> </w:t>
      </w:r>
      <w:r w:rsidRPr="004242F5">
        <w:t>with an infected person. Other methods such as cycling, walking, motorcycling etc should not change the risk of the individual risk.</w:t>
      </w:r>
    </w:p>
    <w:p w14:paraId="5BA275B7" w14:textId="77777777" w:rsidR="00D52D84" w:rsidRPr="00312C7D" w:rsidRDefault="00D52D84" w:rsidP="00D52D84">
      <w:pPr>
        <w:rPr>
          <w:i/>
          <w:iCs/>
          <w:highlight w:val="yellow"/>
        </w:rPr>
      </w:pPr>
      <w:r w:rsidRPr="004242F5">
        <w:t>To mitigate the transport risks managers should discuss options for the individual of changing their method of transport. If this is not viable then consideration should be given to arranging for them to travel at less busy times</w:t>
      </w:r>
      <w:r>
        <w:t xml:space="preserve"> </w:t>
      </w:r>
      <w:r w:rsidRPr="000164B3">
        <w:t xml:space="preserve">and/or </w:t>
      </w:r>
      <w:r w:rsidRPr="004242F5">
        <w:t>reducing the journey time on public transport for example by walking/cycling from mainline stations instead of using the underground/bus or working at home for part of the week etc.</w:t>
      </w:r>
      <w:r w:rsidRPr="004242F5">
        <w:rPr>
          <w:i/>
          <w:iCs/>
        </w:rPr>
        <w:t xml:space="preserve"> </w:t>
      </w:r>
      <w:r w:rsidRPr="000164B3">
        <w:t>Journeys longer than 15 mins could potentially present an increasing risk which becomes proportionally greater with the length of the journey time if spent in the vicinity of an infected person. This risk is minimized, even on longer journey times, by the individual travelling at less busy times, keeping to the social distancing guidelines, wearing of face covering and frequent hand washing.</w:t>
      </w:r>
    </w:p>
    <w:bookmarkEnd w:id="2"/>
    <w:p w14:paraId="028AD1BD" w14:textId="77777777" w:rsidR="00D52D84" w:rsidRDefault="00D52D84" w:rsidP="00D52D84">
      <w:pPr>
        <w:spacing w:before="0" w:after="0"/>
        <w:rPr>
          <w:b/>
          <w:bCs/>
          <w:i/>
          <w:iCs/>
          <w:highlight w:val="yellow"/>
        </w:rPr>
      </w:pPr>
      <w:r>
        <w:rPr>
          <w:b/>
          <w:bCs/>
          <w:i/>
          <w:iCs/>
          <w:highlight w:val="yellow"/>
        </w:rPr>
        <w:br w:type="page"/>
      </w:r>
    </w:p>
    <w:p w14:paraId="229CF47D" w14:textId="77777777" w:rsidR="00D52D84" w:rsidRPr="00113C33" w:rsidRDefault="00D52D84" w:rsidP="00D52D84">
      <w:pPr>
        <w:rPr>
          <w:b/>
          <w:bCs/>
        </w:rPr>
      </w:pPr>
      <w:r w:rsidRPr="00113C33">
        <w:rPr>
          <w:b/>
          <w:bCs/>
        </w:rPr>
        <w:lastRenderedPageBreak/>
        <w:t>Table 1: risk level including transport exposure</w:t>
      </w:r>
    </w:p>
    <w:tbl>
      <w:tblPr>
        <w:tblStyle w:val="TableGrid"/>
        <w:tblW w:w="0" w:type="auto"/>
        <w:tblLayout w:type="fixed"/>
        <w:tblLook w:val="04A0" w:firstRow="1" w:lastRow="0" w:firstColumn="1" w:lastColumn="0" w:noHBand="0" w:noVBand="1"/>
      </w:tblPr>
      <w:tblGrid>
        <w:gridCol w:w="1413"/>
        <w:gridCol w:w="2126"/>
        <w:gridCol w:w="2693"/>
        <w:gridCol w:w="2977"/>
      </w:tblGrid>
      <w:tr w:rsidR="00D52D84" w14:paraId="39A0D364" w14:textId="77777777" w:rsidTr="004A7961">
        <w:tc>
          <w:tcPr>
            <w:tcW w:w="9209" w:type="dxa"/>
            <w:gridSpan w:val="4"/>
            <w:vAlign w:val="center"/>
          </w:tcPr>
          <w:p w14:paraId="7A5C150F" w14:textId="77777777" w:rsidR="00D52D84" w:rsidRDefault="00D52D84" w:rsidP="004A7961">
            <w:pPr>
              <w:jc w:val="center"/>
              <w:rPr>
                <w:b/>
                <w:bCs/>
                <w:i/>
                <w:iCs/>
              </w:rPr>
            </w:pPr>
            <w:r>
              <w:rPr>
                <w:b/>
                <w:bCs/>
                <w:i/>
                <w:iCs/>
              </w:rPr>
              <w:t>Risk</w:t>
            </w:r>
          </w:p>
        </w:tc>
      </w:tr>
      <w:tr w:rsidR="00D52D84" w14:paraId="384276C1" w14:textId="77777777" w:rsidTr="004A7961">
        <w:tc>
          <w:tcPr>
            <w:tcW w:w="3539" w:type="dxa"/>
            <w:gridSpan w:val="2"/>
            <w:vMerge w:val="restart"/>
            <w:vAlign w:val="center"/>
          </w:tcPr>
          <w:p w14:paraId="69DA6F61" w14:textId="77777777" w:rsidR="00D52D84" w:rsidRDefault="00D52D84" w:rsidP="004A7961">
            <w:pPr>
              <w:jc w:val="center"/>
              <w:rPr>
                <w:b/>
                <w:bCs/>
                <w:i/>
                <w:iCs/>
              </w:rPr>
            </w:pPr>
            <w:r>
              <w:rPr>
                <w:b/>
                <w:bCs/>
                <w:i/>
                <w:iCs/>
              </w:rPr>
              <w:t>Personal Health</w:t>
            </w:r>
          </w:p>
        </w:tc>
        <w:tc>
          <w:tcPr>
            <w:tcW w:w="5670" w:type="dxa"/>
            <w:gridSpan w:val="2"/>
          </w:tcPr>
          <w:p w14:paraId="7BEFC416" w14:textId="77777777" w:rsidR="00D52D84" w:rsidRDefault="00D52D84" w:rsidP="004A7961">
            <w:pPr>
              <w:jc w:val="center"/>
              <w:rPr>
                <w:b/>
                <w:bCs/>
                <w:i/>
                <w:iCs/>
              </w:rPr>
            </w:pPr>
            <w:r>
              <w:rPr>
                <w:b/>
                <w:bCs/>
                <w:i/>
                <w:iCs/>
              </w:rPr>
              <w:t>Mode of Transport</w:t>
            </w:r>
          </w:p>
        </w:tc>
      </w:tr>
      <w:tr w:rsidR="00D52D84" w14:paraId="46EA4677" w14:textId="77777777" w:rsidTr="004A7961">
        <w:tc>
          <w:tcPr>
            <w:tcW w:w="3539" w:type="dxa"/>
            <w:gridSpan w:val="2"/>
            <w:vMerge/>
            <w:vAlign w:val="center"/>
          </w:tcPr>
          <w:p w14:paraId="68D2A034" w14:textId="77777777" w:rsidR="00D52D84" w:rsidRDefault="00D52D84" w:rsidP="004A7961">
            <w:pPr>
              <w:jc w:val="center"/>
              <w:rPr>
                <w:b/>
                <w:bCs/>
                <w:i/>
                <w:iCs/>
              </w:rPr>
            </w:pPr>
          </w:p>
        </w:tc>
        <w:tc>
          <w:tcPr>
            <w:tcW w:w="2693" w:type="dxa"/>
            <w:vAlign w:val="center"/>
          </w:tcPr>
          <w:p w14:paraId="7358DFC7" w14:textId="77777777" w:rsidR="00D52D84" w:rsidRPr="001C2E56" w:rsidRDefault="00D52D84" w:rsidP="004A7961">
            <w:pPr>
              <w:jc w:val="center"/>
              <w:rPr>
                <w:b/>
                <w:bCs/>
                <w:i/>
                <w:iCs/>
              </w:rPr>
            </w:pPr>
            <w:r w:rsidRPr="001C2E56">
              <w:rPr>
                <w:b/>
                <w:bCs/>
                <w:i/>
                <w:iCs/>
              </w:rPr>
              <w:t>Other</w:t>
            </w:r>
          </w:p>
          <w:p w14:paraId="338DBCEB" w14:textId="77777777" w:rsidR="00D52D84" w:rsidRPr="001C2E56" w:rsidRDefault="00D52D84" w:rsidP="004A7961">
            <w:pPr>
              <w:jc w:val="center"/>
              <w:rPr>
                <w:i/>
                <w:iCs/>
              </w:rPr>
            </w:pPr>
            <w:r w:rsidRPr="001C2E56">
              <w:rPr>
                <w:i/>
                <w:iCs/>
              </w:rPr>
              <w:t>eg bicycle, walking</w:t>
            </w:r>
          </w:p>
        </w:tc>
        <w:tc>
          <w:tcPr>
            <w:tcW w:w="2977" w:type="dxa"/>
            <w:vAlign w:val="center"/>
          </w:tcPr>
          <w:p w14:paraId="5F95654D" w14:textId="77777777" w:rsidR="00D52D84" w:rsidRDefault="00D52D84" w:rsidP="004A7961">
            <w:pPr>
              <w:jc w:val="center"/>
              <w:rPr>
                <w:b/>
                <w:bCs/>
                <w:i/>
                <w:iCs/>
              </w:rPr>
            </w:pPr>
            <w:r>
              <w:rPr>
                <w:b/>
                <w:bCs/>
                <w:i/>
                <w:iCs/>
              </w:rPr>
              <w:t>Public</w:t>
            </w:r>
          </w:p>
          <w:p w14:paraId="015C2453" w14:textId="77777777" w:rsidR="00D52D84" w:rsidRPr="001C2E56" w:rsidRDefault="00D52D84" w:rsidP="004A7961">
            <w:pPr>
              <w:jc w:val="center"/>
              <w:rPr>
                <w:i/>
                <w:iCs/>
              </w:rPr>
            </w:pPr>
            <w:r w:rsidRPr="001C2E56">
              <w:rPr>
                <w:i/>
                <w:iCs/>
              </w:rPr>
              <w:t>eg train, bus</w:t>
            </w:r>
          </w:p>
        </w:tc>
      </w:tr>
      <w:tr w:rsidR="00D52D84" w14:paraId="2D2D5F8E" w14:textId="77777777" w:rsidTr="004A7961">
        <w:tc>
          <w:tcPr>
            <w:tcW w:w="1413" w:type="dxa"/>
          </w:tcPr>
          <w:p w14:paraId="249E138F" w14:textId="77777777" w:rsidR="00D52D84" w:rsidRDefault="00D52D84" w:rsidP="004A7961">
            <w:pPr>
              <w:rPr>
                <w:b/>
                <w:bCs/>
                <w:i/>
                <w:iCs/>
              </w:rPr>
            </w:pPr>
            <w:r>
              <w:rPr>
                <w:b/>
                <w:bCs/>
                <w:i/>
                <w:iCs/>
              </w:rPr>
              <w:t>Tier 1</w:t>
            </w:r>
          </w:p>
        </w:tc>
        <w:tc>
          <w:tcPr>
            <w:tcW w:w="2126" w:type="dxa"/>
            <w:shd w:val="clear" w:color="auto" w:fill="92D050"/>
          </w:tcPr>
          <w:p w14:paraId="5F610919" w14:textId="77777777" w:rsidR="00D52D84" w:rsidRDefault="00D52D84" w:rsidP="004A7961">
            <w:pPr>
              <w:rPr>
                <w:b/>
                <w:bCs/>
                <w:i/>
                <w:iCs/>
              </w:rPr>
            </w:pPr>
            <w:r>
              <w:rPr>
                <w:b/>
                <w:bCs/>
                <w:i/>
                <w:iCs/>
              </w:rPr>
              <w:t>Low</w:t>
            </w:r>
          </w:p>
        </w:tc>
        <w:tc>
          <w:tcPr>
            <w:tcW w:w="2693" w:type="dxa"/>
            <w:shd w:val="clear" w:color="auto" w:fill="92D050"/>
          </w:tcPr>
          <w:p w14:paraId="28A6EE1B" w14:textId="77777777" w:rsidR="00D52D84" w:rsidRDefault="00D52D84" w:rsidP="004A7961">
            <w:pPr>
              <w:rPr>
                <w:b/>
                <w:bCs/>
                <w:i/>
                <w:iCs/>
              </w:rPr>
            </w:pPr>
            <w:r>
              <w:rPr>
                <w:b/>
                <w:bCs/>
                <w:i/>
                <w:iCs/>
              </w:rPr>
              <w:t>No change</w:t>
            </w:r>
          </w:p>
        </w:tc>
        <w:tc>
          <w:tcPr>
            <w:tcW w:w="2977" w:type="dxa"/>
            <w:shd w:val="clear" w:color="auto" w:fill="FFC000"/>
          </w:tcPr>
          <w:p w14:paraId="27095C79" w14:textId="77777777" w:rsidR="00D52D84" w:rsidRDefault="00D52D84" w:rsidP="004A7961">
            <w:pPr>
              <w:rPr>
                <w:b/>
                <w:bCs/>
                <w:i/>
                <w:iCs/>
              </w:rPr>
            </w:pPr>
            <w:r>
              <w:rPr>
                <w:b/>
                <w:bCs/>
                <w:i/>
                <w:iCs/>
              </w:rPr>
              <w:t>Potential increase</w:t>
            </w:r>
          </w:p>
        </w:tc>
      </w:tr>
      <w:tr w:rsidR="00D52D84" w14:paraId="45561D28" w14:textId="77777777" w:rsidTr="004A7961">
        <w:tc>
          <w:tcPr>
            <w:tcW w:w="1413" w:type="dxa"/>
          </w:tcPr>
          <w:p w14:paraId="40B79D02" w14:textId="77777777" w:rsidR="00D52D84" w:rsidRDefault="00D52D84" w:rsidP="004A7961">
            <w:pPr>
              <w:rPr>
                <w:b/>
                <w:bCs/>
                <w:i/>
                <w:iCs/>
              </w:rPr>
            </w:pPr>
            <w:r>
              <w:rPr>
                <w:b/>
                <w:bCs/>
                <w:i/>
                <w:iCs/>
              </w:rPr>
              <w:t>Tier 2</w:t>
            </w:r>
          </w:p>
        </w:tc>
        <w:tc>
          <w:tcPr>
            <w:tcW w:w="2126" w:type="dxa"/>
            <w:shd w:val="clear" w:color="auto" w:fill="FFC000"/>
          </w:tcPr>
          <w:p w14:paraId="5F0F2812" w14:textId="77777777" w:rsidR="00D52D84" w:rsidRDefault="00D52D84" w:rsidP="004A7961">
            <w:pPr>
              <w:rPr>
                <w:b/>
                <w:bCs/>
                <w:i/>
                <w:iCs/>
              </w:rPr>
            </w:pPr>
            <w:r>
              <w:rPr>
                <w:b/>
                <w:bCs/>
                <w:i/>
                <w:iCs/>
              </w:rPr>
              <w:t>Potential increase</w:t>
            </w:r>
          </w:p>
        </w:tc>
        <w:tc>
          <w:tcPr>
            <w:tcW w:w="2693" w:type="dxa"/>
            <w:shd w:val="clear" w:color="auto" w:fill="FFC000"/>
          </w:tcPr>
          <w:p w14:paraId="63812C47" w14:textId="77777777" w:rsidR="00D52D84" w:rsidRDefault="00D52D84" w:rsidP="004A7961">
            <w:pPr>
              <w:rPr>
                <w:b/>
                <w:bCs/>
                <w:i/>
                <w:iCs/>
              </w:rPr>
            </w:pPr>
            <w:r>
              <w:rPr>
                <w:b/>
                <w:bCs/>
                <w:i/>
                <w:iCs/>
              </w:rPr>
              <w:t>No change</w:t>
            </w:r>
          </w:p>
        </w:tc>
        <w:tc>
          <w:tcPr>
            <w:tcW w:w="2977" w:type="dxa"/>
            <w:shd w:val="clear" w:color="auto" w:fill="FF8989"/>
          </w:tcPr>
          <w:p w14:paraId="6D8C95A7" w14:textId="77777777" w:rsidR="00D52D84" w:rsidRDefault="00D52D84" w:rsidP="004A7961">
            <w:pPr>
              <w:rPr>
                <w:b/>
                <w:bCs/>
                <w:i/>
                <w:iCs/>
              </w:rPr>
            </w:pPr>
            <w:r>
              <w:rPr>
                <w:b/>
                <w:bCs/>
                <w:i/>
                <w:iCs/>
              </w:rPr>
              <w:t>Additional increase</w:t>
            </w:r>
          </w:p>
        </w:tc>
      </w:tr>
      <w:tr w:rsidR="00D52D84" w14:paraId="1AD942D6" w14:textId="77777777" w:rsidTr="004A7961">
        <w:tc>
          <w:tcPr>
            <w:tcW w:w="1413" w:type="dxa"/>
          </w:tcPr>
          <w:p w14:paraId="13A95A2E" w14:textId="77777777" w:rsidR="00D52D84" w:rsidRDefault="00D52D84" w:rsidP="004A7961">
            <w:pPr>
              <w:rPr>
                <w:b/>
                <w:bCs/>
                <w:i/>
                <w:iCs/>
              </w:rPr>
            </w:pPr>
            <w:r>
              <w:rPr>
                <w:b/>
                <w:bCs/>
                <w:i/>
                <w:iCs/>
              </w:rPr>
              <w:t>Tier 3</w:t>
            </w:r>
          </w:p>
        </w:tc>
        <w:tc>
          <w:tcPr>
            <w:tcW w:w="2126" w:type="dxa"/>
            <w:shd w:val="clear" w:color="auto" w:fill="FF0000"/>
          </w:tcPr>
          <w:p w14:paraId="62F55799" w14:textId="77777777" w:rsidR="00D52D84" w:rsidRDefault="00D52D84" w:rsidP="004A7961">
            <w:pPr>
              <w:rPr>
                <w:b/>
                <w:bCs/>
                <w:i/>
                <w:iCs/>
              </w:rPr>
            </w:pPr>
            <w:r>
              <w:rPr>
                <w:b/>
                <w:bCs/>
                <w:i/>
                <w:iCs/>
              </w:rPr>
              <w:t>High</w:t>
            </w:r>
          </w:p>
        </w:tc>
        <w:tc>
          <w:tcPr>
            <w:tcW w:w="2693" w:type="dxa"/>
            <w:shd w:val="clear" w:color="auto" w:fill="FF0000"/>
          </w:tcPr>
          <w:p w14:paraId="792E6DF5" w14:textId="77777777" w:rsidR="00D52D84" w:rsidRDefault="00D52D84" w:rsidP="004A7961">
            <w:pPr>
              <w:rPr>
                <w:b/>
                <w:bCs/>
                <w:i/>
                <w:iCs/>
              </w:rPr>
            </w:pPr>
            <w:r>
              <w:rPr>
                <w:b/>
                <w:bCs/>
                <w:i/>
                <w:iCs/>
              </w:rPr>
              <w:t>No change</w:t>
            </w:r>
          </w:p>
        </w:tc>
        <w:tc>
          <w:tcPr>
            <w:tcW w:w="2977" w:type="dxa"/>
            <w:shd w:val="clear" w:color="auto" w:fill="FF0000"/>
          </w:tcPr>
          <w:p w14:paraId="053D46FE" w14:textId="77777777" w:rsidR="00D52D84" w:rsidRDefault="00D52D84" w:rsidP="004A7961">
            <w:pPr>
              <w:rPr>
                <w:b/>
                <w:bCs/>
                <w:i/>
                <w:iCs/>
              </w:rPr>
            </w:pPr>
            <w:r>
              <w:rPr>
                <w:b/>
                <w:bCs/>
                <w:i/>
                <w:iCs/>
              </w:rPr>
              <w:t>No change</w:t>
            </w:r>
          </w:p>
        </w:tc>
      </w:tr>
    </w:tbl>
    <w:p w14:paraId="1BE5C6F0" w14:textId="77777777" w:rsidR="00D52D84" w:rsidRDefault="00D52D84" w:rsidP="00D52D84">
      <w:pPr>
        <w:rPr>
          <w:b/>
          <w:bCs/>
          <w:i/>
          <w:iCs/>
        </w:rPr>
      </w:pPr>
    </w:p>
    <w:p w14:paraId="590DABB2" w14:textId="77777777" w:rsidR="00D52D84" w:rsidRPr="004C451F" w:rsidRDefault="00D52D84" w:rsidP="00D52D84">
      <w:pPr>
        <w:rPr>
          <w:b/>
          <w:bCs/>
        </w:rPr>
      </w:pPr>
      <w:bookmarkStart w:id="4" w:name="_Hlk54194901"/>
      <w:r w:rsidRPr="004C451F">
        <w:rPr>
          <w:b/>
          <w:bCs/>
        </w:rPr>
        <w:t>People Exposure</w:t>
      </w:r>
    </w:p>
    <w:p w14:paraId="7C80A294" w14:textId="77777777" w:rsidR="00D52D84" w:rsidRPr="004C451F" w:rsidRDefault="00D52D84" w:rsidP="00D52D84">
      <w:pPr>
        <w:rPr>
          <w:i/>
          <w:iCs/>
        </w:rPr>
      </w:pPr>
      <w:r w:rsidRPr="004C451F">
        <w:t>Table 2 considers for each Tier the potential impact on risk caused by the number of people the individual may come into</w:t>
      </w:r>
      <w:r w:rsidRPr="004C451F">
        <w:rPr>
          <w:i/>
          <w:iCs/>
        </w:rPr>
        <w:t xml:space="preserve"> </w:t>
      </w:r>
      <w:r w:rsidRPr="004C451F">
        <w:t>contact as a result of their work.  Where the individual is in contact with low numbers there should not be any change to the individual risk. Where the individual’s work activities expose them to high numbers of people, either because of frequent</w:t>
      </w:r>
      <w:r w:rsidRPr="000164B3">
        <w:t xml:space="preserve"> prolonged </w:t>
      </w:r>
      <w:r w:rsidRPr="004C451F">
        <w:t>contact with many individuals throughout the day</w:t>
      </w:r>
      <w:r>
        <w:t>,</w:t>
      </w:r>
      <w:r w:rsidRPr="004C451F">
        <w:t xml:space="preserve"> or because of prolonged contact with large groups, then there is a</w:t>
      </w:r>
      <w:r w:rsidRPr="000164B3">
        <w:t xml:space="preserve"> potential </w:t>
      </w:r>
      <w:r w:rsidRPr="004C451F">
        <w:t>increased risk of coming into contact with an infected person.</w:t>
      </w:r>
      <w:r w:rsidRPr="000164B3">
        <w:t xml:space="preserve"> In Covid secure buildings the risk of prolonged contact is mitigated through social distancing, face coverings, reduction in building capacity and increased ventilation.</w:t>
      </w:r>
    </w:p>
    <w:p w14:paraId="6DE9FC94" w14:textId="77777777" w:rsidR="00D52D84" w:rsidRPr="004C451F" w:rsidRDefault="00D52D84" w:rsidP="00D52D84">
      <w:pPr>
        <w:rPr>
          <w:rFonts w:cs="Arial"/>
          <w:szCs w:val="22"/>
        </w:rPr>
      </w:pPr>
      <w:r w:rsidRPr="004C451F">
        <w:t>To</w:t>
      </w:r>
      <w:r w:rsidRPr="000164B3">
        <w:t xml:space="preserve"> further</w:t>
      </w:r>
      <w:r w:rsidRPr="000164B3">
        <w:rPr>
          <w:i/>
          <w:iCs/>
        </w:rPr>
        <w:t xml:space="preserve"> </w:t>
      </w:r>
      <w:r w:rsidRPr="004C451F">
        <w:t>mitigate the risks of people exposure managers should discuss options for the individual of remote working if possible, altering hours and workload or moving to a lower-risk role (for example where social distancing can be easily maintained).</w:t>
      </w:r>
      <w:r w:rsidRPr="004C451F">
        <w:rPr>
          <w:rFonts w:cs="Arial"/>
          <w:szCs w:val="22"/>
        </w:rPr>
        <w:t xml:space="preserve"> </w:t>
      </w:r>
    </w:p>
    <w:bookmarkEnd w:id="3"/>
    <w:bookmarkEnd w:id="4"/>
    <w:p w14:paraId="448B9A80" w14:textId="77777777" w:rsidR="00D52D84" w:rsidRPr="00113C33" w:rsidRDefault="00D52D84" w:rsidP="00D52D84">
      <w:pPr>
        <w:rPr>
          <w:b/>
          <w:bCs/>
        </w:rPr>
      </w:pPr>
      <w:r w:rsidRPr="00113C33">
        <w:rPr>
          <w:b/>
          <w:bCs/>
        </w:rPr>
        <w:t>Table 2: risk level including people exposure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413"/>
        <w:gridCol w:w="2126"/>
        <w:gridCol w:w="2410"/>
        <w:gridCol w:w="3260"/>
      </w:tblGrid>
      <w:tr w:rsidR="00D52D84" w14:paraId="7C5ACE62" w14:textId="77777777" w:rsidTr="004A7961">
        <w:tc>
          <w:tcPr>
            <w:tcW w:w="9209" w:type="dxa"/>
            <w:gridSpan w:val="4"/>
            <w:vAlign w:val="center"/>
          </w:tcPr>
          <w:p w14:paraId="3AB2E728" w14:textId="77777777" w:rsidR="00D52D84" w:rsidRDefault="00D52D84" w:rsidP="004A7961">
            <w:pPr>
              <w:jc w:val="center"/>
              <w:rPr>
                <w:b/>
                <w:bCs/>
                <w:i/>
                <w:iCs/>
              </w:rPr>
            </w:pPr>
            <w:r>
              <w:rPr>
                <w:b/>
                <w:bCs/>
                <w:i/>
                <w:iCs/>
              </w:rPr>
              <w:t>Risk</w:t>
            </w:r>
          </w:p>
        </w:tc>
      </w:tr>
      <w:tr w:rsidR="00D52D84" w14:paraId="0CB73223" w14:textId="77777777" w:rsidTr="004A7961">
        <w:tc>
          <w:tcPr>
            <w:tcW w:w="3539" w:type="dxa"/>
            <w:gridSpan w:val="2"/>
            <w:vMerge w:val="restart"/>
            <w:vAlign w:val="center"/>
          </w:tcPr>
          <w:p w14:paraId="42AC722C" w14:textId="77777777" w:rsidR="00D52D84" w:rsidRDefault="00D52D84" w:rsidP="004A7961">
            <w:pPr>
              <w:jc w:val="center"/>
              <w:rPr>
                <w:b/>
                <w:bCs/>
                <w:i/>
                <w:iCs/>
              </w:rPr>
            </w:pPr>
            <w:r>
              <w:rPr>
                <w:b/>
                <w:bCs/>
                <w:i/>
                <w:iCs/>
              </w:rPr>
              <w:t>Personal Health</w:t>
            </w:r>
          </w:p>
        </w:tc>
        <w:tc>
          <w:tcPr>
            <w:tcW w:w="5670" w:type="dxa"/>
            <w:gridSpan w:val="2"/>
          </w:tcPr>
          <w:p w14:paraId="6CA4E377" w14:textId="77777777" w:rsidR="00D52D84" w:rsidRDefault="00D52D84" w:rsidP="004A7961">
            <w:pPr>
              <w:jc w:val="center"/>
              <w:rPr>
                <w:b/>
                <w:bCs/>
                <w:i/>
                <w:iCs/>
              </w:rPr>
            </w:pPr>
            <w:r>
              <w:rPr>
                <w:b/>
                <w:bCs/>
                <w:i/>
                <w:iCs/>
              </w:rPr>
              <w:t>People Contact</w:t>
            </w:r>
          </w:p>
        </w:tc>
      </w:tr>
      <w:tr w:rsidR="00D52D84" w14:paraId="46A99905" w14:textId="77777777" w:rsidTr="004A7961">
        <w:tc>
          <w:tcPr>
            <w:tcW w:w="3539" w:type="dxa"/>
            <w:gridSpan w:val="2"/>
            <w:vMerge/>
            <w:vAlign w:val="center"/>
          </w:tcPr>
          <w:p w14:paraId="6B0B1D63" w14:textId="77777777" w:rsidR="00D52D84" w:rsidRDefault="00D52D84" w:rsidP="004A7961">
            <w:pPr>
              <w:jc w:val="center"/>
              <w:rPr>
                <w:b/>
                <w:bCs/>
                <w:i/>
                <w:iCs/>
              </w:rPr>
            </w:pPr>
          </w:p>
        </w:tc>
        <w:tc>
          <w:tcPr>
            <w:tcW w:w="2410" w:type="dxa"/>
            <w:vAlign w:val="center"/>
          </w:tcPr>
          <w:p w14:paraId="24735368" w14:textId="77777777" w:rsidR="00D52D84" w:rsidRPr="00135B3F" w:rsidRDefault="00D52D84" w:rsidP="004A7961">
            <w:pPr>
              <w:jc w:val="center"/>
              <w:rPr>
                <w:b/>
                <w:bCs/>
                <w:i/>
                <w:iCs/>
              </w:rPr>
            </w:pPr>
            <w:r>
              <w:rPr>
                <w:b/>
                <w:bCs/>
                <w:i/>
                <w:iCs/>
              </w:rPr>
              <w:t>Low numbers</w:t>
            </w:r>
          </w:p>
        </w:tc>
        <w:tc>
          <w:tcPr>
            <w:tcW w:w="3260" w:type="dxa"/>
            <w:vAlign w:val="center"/>
          </w:tcPr>
          <w:p w14:paraId="77537ABE" w14:textId="77777777" w:rsidR="00D52D84" w:rsidRDefault="00D52D84" w:rsidP="004A7961">
            <w:pPr>
              <w:jc w:val="center"/>
              <w:rPr>
                <w:b/>
                <w:bCs/>
                <w:i/>
                <w:iCs/>
              </w:rPr>
            </w:pPr>
            <w:r>
              <w:rPr>
                <w:b/>
                <w:bCs/>
                <w:i/>
                <w:iCs/>
              </w:rPr>
              <w:t>High numbers</w:t>
            </w:r>
          </w:p>
          <w:p w14:paraId="5898D38B" w14:textId="77777777" w:rsidR="00D52D84" w:rsidRDefault="00D52D84" w:rsidP="00D52D84">
            <w:pPr>
              <w:pStyle w:val="ListParagraph"/>
              <w:numPr>
                <w:ilvl w:val="0"/>
                <w:numId w:val="44"/>
              </w:numPr>
              <w:ind w:left="319" w:hanging="283"/>
              <w:rPr>
                <w:i/>
                <w:iCs/>
              </w:rPr>
            </w:pPr>
            <w:r w:rsidRPr="00135B3F">
              <w:rPr>
                <w:i/>
                <w:iCs/>
              </w:rPr>
              <w:t>frequent contact with individuals across the day</w:t>
            </w:r>
          </w:p>
          <w:p w14:paraId="79F85389" w14:textId="77777777" w:rsidR="00D52D84" w:rsidRPr="00135B3F" w:rsidRDefault="00D52D84" w:rsidP="00D52D84">
            <w:pPr>
              <w:pStyle w:val="ListParagraph"/>
              <w:numPr>
                <w:ilvl w:val="0"/>
                <w:numId w:val="44"/>
              </w:numPr>
              <w:ind w:left="319" w:hanging="283"/>
              <w:rPr>
                <w:i/>
                <w:iCs/>
              </w:rPr>
            </w:pPr>
            <w:r w:rsidRPr="00135B3F">
              <w:rPr>
                <w:i/>
                <w:iCs/>
              </w:rPr>
              <w:t>prolonged contact with a large group</w:t>
            </w:r>
          </w:p>
        </w:tc>
      </w:tr>
      <w:tr w:rsidR="00D52D84" w14:paraId="17F3BC76" w14:textId="77777777" w:rsidTr="004A7961">
        <w:tc>
          <w:tcPr>
            <w:tcW w:w="1413" w:type="dxa"/>
          </w:tcPr>
          <w:p w14:paraId="73601E2B" w14:textId="77777777" w:rsidR="00D52D84" w:rsidRDefault="00D52D84" w:rsidP="004A7961">
            <w:pPr>
              <w:rPr>
                <w:b/>
                <w:bCs/>
                <w:i/>
                <w:iCs/>
              </w:rPr>
            </w:pPr>
            <w:r>
              <w:rPr>
                <w:b/>
                <w:bCs/>
                <w:i/>
                <w:iCs/>
              </w:rPr>
              <w:t>Tier 1</w:t>
            </w:r>
          </w:p>
        </w:tc>
        <w:tc>
          <w:tcPr>
            <w:tcW w:w="2126" w:type="dxa"/>
            <w:shd w:val="clear" w:color="auto" w:fill="92D050"/>
          </w:tcPr>
          <w:p w14:paraId="49725128" w14:textId="77777777" w:rsidR="00D52D84" w:rsidRDefault="00D52D84" w:rsidP="004A7961">
            <w:pPr>
              <w:rPr>
                <w:b/>
                <w:bCs/>
                <w:i/>
                <w:iCs/>
              </w:rPr>
            </w:pPr>
            <w:r>
              <w:rPr>
                <w:b/>
                <w:bCs/>
                <w:i/>
                <w:iCs/>
              </w:rPr>
              <w:t>Low</w:t>
            </w:r>
          </w:p>
        </w:tc>
        <w:tc>
          <w:tcPr>
            <w:tcW w:w="2410" w:type="dxa"/>
            <w:shd w:val="clear" w:color="auto" w:fill="92D050"/>
          </w:tcPr>
          <w:p w14:paraId="41A036FC" w14:textId="77777777" w:rsidR="00D52D84" w:rsidRDefault="00D52D84" w:rsidP="004A7961">
            <w:pPr>
              <w:rPr>
                <w:b/>
                <w:bCs/>
                <w:i/>
                <w:iCs/>
              </w:rPr>
            </w:pPr>
            <w:r>
              <w:rPr>
                <w:b/>
                <w:bCs/>
                <w:i/>
                <w:iCs/>
              </w:rPr>
              <w:t>No change</w:t>
            </w:r>
          </w:p>
        </w:tc>
        <w:tc>
          <w:tcPr>
            <w:tcW w:w="3260" w:type="dxa"/>
            <w:shd w:val="clear" w:color="auto" w:fill="FFC000"/>
          </w:tcPr>
          <w:p w14:paraId="3A6A3804" w14:textId="77777777" w:rsidR="00D52D84" w:rsidRDefault="00D52D84" w:rsidP="004A7961">
            <w:pPr>
              <w:rPr>
                <w:b/>
                <w:bCs/>
                <w:i/>
                <w:iCs/>
              </w:rPr>
            </w:pPr>
            <w:r>
              <w:rPr>
                <w:b/>
                <w:bCs/>
                <w:i/>
                <w:iCs/>
              </w:rPr>
              <w:t>Potential increase</w:t>
            </w:r>
          </w:p>
        </w:tc>
      </w:tr>
      <w:tr w:rsidR="00D52D84" w14:paraId="3A85C7BA" w14:textId="77777777" w:rsidTr="004A7961">
        <w:tc>
          <w:tcPr>
            <w:tcW w:w="1413" w:type="dxa"/>
          </w:tcPr>
          <w:p w14:paraId="7C91A785" w14:textId="77777777" w:rsidR="00D52D84" w:rsidRDefault="00D52D84" w:rsidP="004A7961">
            <w:pPr>
              <w:rPr>
                <w:b/>
                <w:bCs/>
                <w:i/>
                <w:iCs/>
              </w:rPr>
            </w:pPr>
            <w:r>
              <w:rPr>
                <w:b/>
                <w:bCs/>
                <w:i/>
                <w:iCs/>
              </w:rPr>
              <w:t>Tier 2</w:t>
            </w:r>
          </w:p>
        </w:tc>
        <w:tc>
          <w:tcPr>
            <w:tcW w:w="2126" w:type="dxa"/>
            <w:shd w:val="clear" w:color="auto" w:fill="FFC000"/>
          </w:tcPr>
          <w:p w14:paraId="7AD4A368" w14:textId="77777777" w:rsidR="00D52D84" w:rsidRDefault="00D52D84" w:rsidP="004A7961">
            <w:pPr>
              <w:rPr>
                <w:b/>
                <w:bCs/>
                <w:i/>
                <w:iCs/>
              </w:rPr>
            </w:pPr>
            <w:r>
              <w:rPr>
                <w:b/>
                <w:bCs/>
                <w:i/>
                <w:iCs/>
              </w:rPr>
              <w:t>Potential increase</w:t>
            </w:r>
          </w:p>
        </w:tc>
        <w:tc>
          <w:tcPr>
            <w:tcW w:w="2410" w:type="dxa"/>
            <w:shd w:val="clear" w:color="auto" w:fill="FFC000"/>
          </w:tcPr>
          <w:p w14:paraId="4A8DC3FE" w14:textId="77777777" w:rsidR="00D52D84" w:rsidRDefault="00D52D84" w:rsidP="004A7961">
            <w:pPr>
              <w:rPr>
                <w:b/>
                <w:bCs/>
                <w:i/>
                <w:iCs/>
              </w:rPr>
            </w:pPr>
            <w:r>
              <w:rPr>
                <w:b/>
                <w:bCs/>
                <w:i/>
                <w:iCs/>
              </w:rPr>
              <w:t>No change</w:t>
            </w:r>
          </w:p>
        </w:tc>
        <w:tc>
          <w:tcPr>
            <w:tcW w:w="3260" w:type="dxa"/>
            <w:shd w:val="clear" w:color="auto" w:fill="FF8989"/>
          </w:tcPr>
          <w:p w14:paraId="3BA4C0D0" w14:textId="77777777" w:rsidR="00D52D84" w:rsidRDefault="00D52D84" w:rsidP="004A7961">
            <w:pPr>
              <w:rPr>
                <w:b/>
                <w:bCs/>
                <w:i/>
                <w:iCs/>
              </w:rPr>
            </w:pPr>
            <w:r>
              <w:rPr>
                <w:b/>
                <w:bCs/>
                <w:i/>
                <w:iCs/>
              </w:rPr>
              <w:t>Additional increase</w:t>
            </w:r>
          </w:p>
        </w:tc>
      </w:tr>
      <w:tr w:rsidR="00D52D84" w14:paraId="5F8F739C" w14:textId="77777777" w:rsidTr="004A7961">
        <w:tc>
          <w:tcPr>
            <w:tcW w:w="1413" w:type="dxa"/>
          </w:tcPr>
          <w:p w14:paraId="394BEE15" w14:textId="77777777" w:rsidR="00D52D84" w:rsidRDefault="00D52D84" w:rsidP="004A7961">
            <w:pPr>
              <w:rPr>
                <w:b/>
                <w:bCs/>
                <w:i/>
                <w:iCs/>
              </w:rPr>
            </w:pPr>
            <w:r>
              <w:rPr>
                <w:b/>
                <w:bCs/>
                <w:i/>
                <w:iCs/>
              </w:rPr>
              <w:t>Tier 3</w:t>
            </w:r>
          </w:p>
        </w:tc>
        <w:tc>
          <w:tcPr>
            <w:tcW w:w="2126" w:type="dxa"/>
            <w:shd w:val="clear" w:color="auto" w:fill="FF0000"/>
          </w:tcPr>
          <w:p w14:paraId="30F9685B" w14:textId="77777777" w:rsidR="00D52D84" w:rsidRDefault="00D52D84" w:rsidP="004A7961">
            <w:pPr>
              <w:rPr>
                <w:b/>
                <w:bCs/>
                <w:i/>
                <w:iCs/>
              </w:rPr>
            </w:pPr>
            <w:r>
              <w:rPr>
                <w:b/>
                <w:bCs/>
                <w:i/>
                <w:iCs/>
              </w:rPr>
              <w:t>High</w:t>
            </w:r>
          </w:p>
        </w:tc>
        <w:tc>
          <w:tcPr>
            <w:tcW w:w="2410" w:type="dxa"/>
            <w:shd w:val="clear" w:color="auto" w:fill="FF0000"/>
          </w:tcPr>
          <w:p w14:paraId="6B2544E5" w14:textId="77777777" w:rsidR="00D52D84" w:rsidRDefault="00D52D84" w:rsidP="004A7961">
            <w:pPr>
              <w:rPr>
                <w:b/>
                <w:bCs/>
                <w:i/>
                <w:iCs/>
              </w:rPr>
            </w:pPr>
            <w:r>
              <w:rPr>
                <w:b/>
                <w:bCs/>
                <w:i/>
                <w:iCs/>
              </w:rPr>
              <w:t>No change</w:t>
            </w:r>
          </w:p>
        </w:tc>
        <w:tc>
          <w:tcPr>
            <w:tcW w:w="3260" w:type="dxa"/>
            <w:shd w:val="clear" w:color="auto" w:fill="FF0000"/>
          </w:tcPr>
          <w:p w14:paraId="0FD0FD3B" w14:textId="77777777" w:rsidR="00D52D84" w:rsidRDefault="00D52D84" w:rsidP="004A7961">
            <w:pPr>
              <w:rPr>
                <w:b/>
                <w:bCs/>
                <w:i/>
                <w:iCs/>
              </w:rPr>
            </w:pPr>
            <w:r>
              <w:rPr>
                <w:b/>
                <w:bCs/>
                <w:i/>
                <w:iCs/>
              </w:rPr>
              <w:t>No change</w:t>
            </w:r>
          </w:p>
        </w:tc>
      </w:tr>
    </w:tbl>
    <w:p w14:paraId="79413E0C" w14:textId="4FC3C0C7" w:rsidR="00D52D84" w:rsidRPr="00D52D84" w:rsidRDefault="00D52D84" w:rsidP="00D52D84">
      <w:pPr>
        <w:rPr>
          <w:rFonts w:ascii="Calibri" w:hAnsi="Calibri"/>
        </w:rPr>
      </w:pPr>
      <w:r>
        <w:rPr>
          <w:b/>
          <w:bCs/>
          <w:i/>
          <w:iCs/>
        </w:rPr>
        <w:br w:type="textWrapping" w:clear="all"/>
      </w:r>
      <w:r w:rsidRPr="00113C33">
        <w:t xml:space="preserve">The tables should assist management in considering the risk of their staff with a potential return to </w:t>
      </w:r>
      <w:r w:rsidRPr="00113C33">
        <w:lastRenderedPageBreak/>
        <w:t xml:space="preserve">work by considering both their individual health risk in conjunction with their level of potential exposure. Whilst the tables are not definitive, they are a quick guide to help managers decide if more considerations are needed. </w:t>
      </w:r>
    </w:p>
    <w:p w14:paraId="638EC0CC" w14:textId="77777777" w:rsidR="00FE2DCF" w:rsidRPr="001B4E80" w:rsidRDefault="00FE2DCF" w:rsidP="00FC1584">
      <w:pPr>
        <w:spacing w:before="100" w:beforeAutospacing="1" w:after="120" w:line="276" w:lineRule="auto"/>
        <w:rPr>
          <w:rFonts w:eastAsia="Times New Roman" w:cs="Arial"/>
          <w:b/>
          <w:bCs/>
          <w:szCs w:val="22"/>
          <w:lang w:eastAsia="en-GB"/>
        </w:rPr>
      </w:pPr>
      <w:r w:rsidRPr="001B4E80">
        <w:rPr>
          <w:rFonts w:eastAsia="Times New Roman" w:cs="Arial"/>
          <w:b/>
          <w:bCs/>
          <w:szCs w:val="22"/>
          <w:lang w:eastAsia="en-GB"/>
        </w:rPr>
        <w:t xml:space="preserve">If an individual in </w:t>
      </w:r>
      <w:r w:rsidR="00936E72" w:rsidRPr="001B4E80">
        <w:rPr>
          <w:rFonts w:eastAsia="Times New Roman" w:cs="Arial"/>
          <w:b/>
          <w:bCs/>
          <w:szCs w:val="22"/>
          <w:lang w:eastAsia="en-GB"/>
        </w:rPr>
        <w:t xml:space="preserve">the </w:t>
      </w:r>
      <w:r w:rsidR="00FE1829" w:rsidRPr="001B4E80">
        <w:rPr>
          <w:rFonts w:eastAsia="Times New Roman" w:cs="Arial"/>
          <w:b/>
          <w:bCs/>
          <w:szCs w:val="22"/>
          <w:lang w:eastAsia="en-GB"/>
        </w:rPr>
        <w:t>Tier 3</w:t>
      </w:r>
      <w:r w:rsidRPr="001B4E80">
        <w:rPr>
          <w:rFonts w:eastAsia="Times New Roman" w:cs="Arial"/>
          <w:b/>
          <w:bCs/>
          <w:szCs w:val="22"/>
          <w:lang w:eastAsia="en-GB"/>
        </w:rPr>
        <w:t xml:space="preserve"> category believes they are fit to work or wishes to work, please refer them to Workplace Health as for Tier 2.</w:t>
      </w:r>
    </w:p>
    <w:p w14:paraId="76873C34" w14:textId="20524FE2" w:rsidR="00FE2DCF" w:rsidRDefault="00731868" w:rsidP="00FC1584">
      <w:pPr>
        <w:spacing w:before="100" w:beforeAutospacing="1" w:after="120" w:line="276" w:lineRule="auto"/>
        <w:rPr>
          <w:rFonts w:cs="Arial"/>
          <w:szCs w:val="22"/>
        </w:rPr>
      </w:pPr>
      <w:r w:rsidRPr="001B4E80">
        <w:rPr>
          <w:rFonts w:eastAsia="Times New Roman" w:cs="Arial"/>
          <w:szCs w:val="22"/>
          <w:lang w:eastAsia="en-GB"/>
        </w:rPr>
        <w:t xml:space="preserve">To make a management referral </w:t>
      </w:r>
      <w:r w:rsidR="00936E72" w:rsidRPr="001B4E80">
        <w:rPr>
          <w:rFonts w:cs="Arial"/>
          <w:szCs w:val="22"/>
        </w:rPr>
        <w:t xml:space="preserve">follow the </w:t>
      </w:r>
      <w:r w:rsidR="00567BD1" w:rsidRPr="001B4E80">
        <w:rPr>
          <w:rFonts w:cs="Arial"/>
          <w:szCs w:val="22"/>
        </w:rPr>
        <w:t xml:space="preserve">UCL </w:t>
      </w:r>
      <w:r w:rsidR="004B5A33" w:rsidRPr="001B4E80">
        <w:rPr>
          <w:rFonts w:cs="Arial"/>
          <w:szCs w:val="22"/>
        </w:rPr>
        <w:t xml:space="preserve">manager </w:t>
      </w:r>
      <w:hyperlink r:id="rId18" w:history="1">
        <w:r w:rsidRPr="001B4E80">
          <w:rPr>
            <w:rStyle w:val="Hyperlink"/>
            <w:rFonts w:cs="Arial"/>
            <w:szCs w:val="22"/>
          </w:rPr>
          <w:t xml:space="preserve">referral </w:t>
        </w:r>
        <w:r w:rsidR="004B5A33" w:rsidRPr="001B4E80">
          <w:rPr>
            <w:rStyle w:val="Hyperlink"/>
            <w:rFonts w:cs="Arial"/>
            <w:szCs w:val="22"/>
          </w:rPr>
          <w:t>to Workplace Health</w:t>
        </w:r>
      </w:hyperlink>
      <w:r w:rsidR="004B5A33" w:rsidRPr="001B4E80">
        <w:rPr>
          <w:rFonts w:cs="Arial"/>
          <w:szCs w:val="22"/>
        </w:rPr>
        <w:t xml:space="preserve"> </w:t>
      </w:r>
      <w:r w:rsidRPr="001B4E80">
        <w:rPr>
          <w:rFonts w:cs="Arial"/>
          <w:szCs w:val="22"/>
        </w:rPr>
        <w:t xml:space="preserve">process. </w:t>
      </w:r>
      <w:r w:rsidR="004B5A33" w:rsidRPr="001B4E80" w:rsidDel="004B5A33">
        <w:rPr>
          <w:rFonts w:cs="Arial"/>
          <w:szCs w:val="22"/>
        </w:rPr>
        <w:t xml:space="preserve"> </w:t>
      </w:r>
      <w:r w:rsidR="00022A6D" w:rsidRPr="001B4E80">
        <w:rPr>
          <w:rFonts w:cs="Arial"/>
          <w:szCs w:val="22"/>
        </w:rPr>
        <w:t xml:space="preserve">Managers may also seek support in having difficult conversations from </w:t>
      </w:r>
      <w:r w:rsidR="00585DA2" w:rsidRPr="001B4E80">
        <w:rPr>
          <w:rFonts w:cs="Arial"/>
          <w:szCs w:val="22"/>
        </w:rPr>
        <w:t>C</w:t>
      </w:r>
      <w:r w:rsidR="00022A6D" w:rsidRPr="001B4E80">
        <w:rPr>
          <w:rFonts w:cs="Arial"/>
          <w:szCs w:val="22"/>
        </w:rPr>
        <w:t xml:space="preserve">are </w:t>
      </w:r>
      <w:r w:rsidR="00B342B7">
        <w:rPr>
          <w:rFonts w:cs="Arial"/>
          <w:szCs w:val="22"/>
        </w:rPr>
        <w:t>F</w:t>
      </w:r>
      <w:r w:rsidR="00022A6D" w:rsidRPr="001B4E80">
        <w:rPr>
          <w:rFonts w:cs="Arial"/>
          <w:szCs w:val="22"/>
        </w:rPr>
        <w:t xml:space="preserve">irst, our Employee Assistance provider or </w:t>
      </w:r>
      <w:r w:rsidR="00585DA2" w:rsidRPr="001B4E80">
        <w:rPr>
          <w:rFonts w:cs="Arial"/>
          <w:szCs w:val="22"/>
        </w:rPr>
        <w:t>your HR Business Partner.</w:t>
      </w:r>
    </w:p>
    <w:p w14:paraId="3D1D9EE3" w14:textId="2DDDEAC7" w:rsidR="000A68F9" w:rsidRDefault="00FC1584" w:rsidP="00FC1584">
      <w:pPr>
        <w:pStyle w:val="Default"/>
        <w:spacing w:line="276" w:lineRule="auto"/>
        <w:rPr>
          <w:rFonts w:ascii="Arial" w:eastAsiaTheme="minorEastAsia" w:hAnsi="Arial" w:cs="Arial"/>
          <w:color w:val="auto"/>
          <w:sz w:val="22"/>
          <w:szCs w:val="22"/>
          <w:lang w:val="en-US"/>
        </w:rPr>
      </w:pPr>
      <w:r>
        <w:rPr>
          <w:rFonts w:ascii="Arial" w:eastAsiaTheme="minorEastAsia" w:hAnsi="Arial" w:cs="Arial"/>
          <w:color w:val="auto"/>
          <w:sz w:val="22"/>
          <w:szCs w:val="22"/>
          <w:lang w:val="en-US"/>
        </w:rPr>
        <w:t>You may still decide to refer to Workplace Health for reasons that are not identified above</w:t>
      </w:r>
      <w:r w:rsidR="00DD1376">
        <w:rPr>
          <w:rFonts w:ascii="Arial" w:eastAsiaTheme="minorEastAsia" w:hAnsi="Arial" w:cs="Arial"/>
          <w:color w:val="auto"/>
          <w:sz w:val="22"/>
          <w:szCs w:val="22"/>
          <w:lang w:val="en-US"/>
        </w:rPr>
        <w:t>. F</w:t>
      </w:r>
      <w:r>
        <w:rPr>
          <w:rFonts w:ascii="Arial" w:eastAsiaTheme="minorEastAsia" w:hAnsi="Arial" w:cs="Arial"/>
          <w:color w:val="auto"/>
          <w:sz w:val="22"/>
          <w:szCs w:val="22"/>
          <w:lang w:val="en-US"/>
        </w:rPr>
        <w:t xml:space="preserve">or example, </w:t>
      </w:r>
      <w:r w:rsidR="00B342B7">
        <w:rPr>
          <w:rFonts w:ascii="Arial" w:eastAsiaTheme="minorEastAsia" w:hAnsi="Arial" w:cs="Arial"/>
          <w:color w:val="auto"/>
          <w:sz w:val="22"/>
          <w:szCs w:val="22"/>
          <w:lang w:val="en-US"/>
        </w:rPr>
        <w:t xml:space="preserve">if </w:t>
      </w:r>
      <w:r>
        <w:rPr>
          <w:rFonts w:ascii="Arial" w:eastAsiaTheme="minorEastAsia" w:hAnsi="Arial" w:cs="Arial"/>
          <w:color w:val="auto"/>
          <w:sz w:val="22"/>
          <w:szCs w:val="22"/>
          <w:lang w:val="en-US"/>
        </w:rPr>
        <w:t>yo</w:t>
      </w:r>
      <w:r w:rsidR="00DD1376">
        <w:rPr>
          <w:rFonts w:ascii="Arial" w:eastAsiaTheme="minorEastAsia" w:hAnsi="Arial" w:cs="Arial"/>
          <w:color w:val="auto"/>
          <w:sz w:val="22"/>
          <w:szCs w:val="22"/>
          <w:lang w:val="en-US"/>
        </w:rPr>
        <w:t>ur</w:t>
      </w:r>
      <w:r>
        <w:rPr>
          <w:rFonts w:ascii="Arial" w:eastAsiaTheme="minorEastAsia" w:hAnsi="Arial" w:cs="Arial"/>
          <w:color w:val="auto"/>
          <w:sz w:val="22"/>
          <w:szCs w:val="22"/>
          <w:lang w:val="en-US"/>
        </w:rPr>
        <w:t xml:space="preserve"> staff </w:t>
      </w:r>
      <w:r w:rsidR="00DD1376">
        <w:rPr>
          <w:rFonts w:ascii="Arial" w:eastAsiaTheme="minorEastAsia" w:hAnsi="Arial" w:cs="Arial"/>
          <w:color w:val="auto"/>
          <w:sz w:val="22"/>
          <w:szCs w:val="22"/>
          <w:lang w:val="en-US"/>
        </w:rPr>
        <w:t>member has</w:t>
      </w:r>
      <w:r>
        <w:rPr>
          <w:rFonts w:ascii="Arial" w:eastAsiaTheme="minorEastAsia" w:hAnsi="Arial" w:cs="Arial"/>
          <w:color w:val="auto"/>
          <w:sz w:val="22"/>
          <w:szCs w:val="22"/>
          <w:lang w:val="en-US"/>
        </w:rPr>
        <w:t xml:space="preserve"> a high level of anxiety which is having a detrimental impact on their </w:t>
      </w:r>
      <w:r w:rsidR="00DD1376">
        <w:rPr>
          <w:rFonts w:ascii="Arial" w:eastAsiaTheme="minorEastAsia" w:hAnsi="Arial" w:cs="Arial"/>
          <w:color w:val="auto"/>
          <w:sz w:val="22"/>
          <w:szCs w:val="22"/>
          <w:lang w:val="en-US"/>
        </w:rPr>
        <w:t>wellbeing</w:t>
      </w:r>
      <w:r>
        <w:rPr>
          <w:rFonts w:ascii="Arial" w:eastAsiaTheme="minorEastAsia" w:hAnsi="Arial" w:cs="Arial"/>
          <w:color w:val="auto"/>
          <w:sz w:val="22"/>
          <w:szCs w:val="22"/>
          <w:lang w:val="en-US"/>
        </w:rPr>
        <w:t>. P</w:t>
      </w:r>
      <w:r w:rsidRPr="00FC1584">
        <w:rPr>
          <w:rFonts w:ascii="Arial" w:eastAsiaTheme="minorEastAsia" w:hAnsi="Arial" w:cs="Arial"/>
          <w:color w:val="auto"/>
          <w:sz w:val="22"/>
          <w:szCs w:val="22"/>
          <w:lang w:val="en-US"/>
        </w:rPr>
        <w:t>lease make</w:t>
      </w:r>
      <w:r w:rsidR="00DD1376">
        <w:rPr>
          <w:rFonts w:ascii="Arial" w:eastAsiaTheme="minorEastAsia" w:hAnsi="Arial" w:cs="Arial"/>
          <w:color w:val="auto"/>
          <w:sz w:val="22"/>
          <w:szCs w:val="22"/>
          <w:lang w:val="en-US"/>
        </w:rPr>
        <w:t xml:space="preserve"> the reason for referral</w:t>
      </w:r>
      <w:r w:rsidRPr="00FC1584">
        <w:rPr>
          <w:rFonts w:ascii="Arial" w:eastAsiaTheme="minorEastAsia" w:hAnsi="Arial" w:cs="Arial"/>
          <w:color w:val="auto"/>
          <w:sz w:val="22"/>
          <w:szCs w:val="22"/>
          <w:lang w:val="en-US"/>
        </w:rPr>
        <w:t xml:space="preserve"> clear in your </w:t>
      </w:r>
      <w:r w:rsidR="00B342B7">
        <w:rPr>
          <w:rFonts w:ascii="Arial" w:eastAsiaTheme="minorEastAsia" w:hAnsi="Arial" w:cs="Arial"/>
          <w:color w:val="auto"/>
          <w:sz w:val="22"/>
          <w:szCs w:val="22"/>
          <w:lang w:val="en-US"/>
        </w:rPr>
        <w:t xml:space="preserve">submission. </w:t>
      </w:r>
      <w:r w:rsidRPr="00FC1584">
        <w:rPr>
          <w:rFonts w:ascii="Arial" w:eastAsiaTheme="minorEastAsia" w:hAnsi="Arial" w:cs="Arial"/>
          <w:color w:val="auto"/>
          <w:sz w:val="22"/>
          <w:szCs w:val="22"/>
          <w:lang w:val="en-US"/>
        </w:rPr>
        <w:t xml:space="preserve">  </w:t>
      </w:r>
    </w:p>
    <w:p w14:paraId="35849C26" w14:textId="77777777" w:rsidR="0065322D" w:rsidRDefault="0065322D" w:rsidP="00FC1584">
      <w:pPr>
        <w:pStyle w:val="Default"/>
        <w:spacing w:line="276" w:lineRule="auto"/>
        <w:rPr>
          <w:rFonts w:ascii="Arial" w:hAnsi="Arial" w:cs="Arial"/>
          <w:b/>
          <w:sz w:val="22"/>
          <w:szCs w:val="22"/>
        </w:rPr>
      </w:pPr>
    </w:p>
    <w:p w14:paraId="13DAEE0D" w14:textId="77777777" w:rsidR="000B79C9" w:rsidRPr="001B4E80" w:rsidRDefault="000B79C9" w:rsidP="00FC1584">
      <w:pPr>
        <w:pStyle w:val="Default"/>
        <w:spacing w:line="276" w:lineRule="auto"/>
        <w:rPr>
          <w:rFonts w:ascii="Arial" w:hAnsi="Arial" w:cs="Arial"/>
          <w:b/>
          <w:sz w:val="22"/>
          <w:szCs w:val="22"/>
        </w:rPr>
      </w:pPr>
      <w:r w:rsidRPr="001B4E80">
        <w:rPr>
          <w:rFonts w:ascii="Arial" w:hAnsi="Arial" w:cs="Arial"/>
          <w:b/>
          <w:sz w:val="22"/>
          <w:szCs w:val="22"/>
        </w:rPr>
        <w:t xml:space="preserve">Maintaining confidentiality and seeking permission for onward referral </w:t>
      </w:r>
    </w:p>
    <w:p w14:paraId="50EB1FDF" w14:textId="4B5C0432" w:rsidR="000B79C9" w:rsidRPr="001B4E80" w:rsidRDefault="000B79C9" w:rsidP="00FC1584">
      <w:pPr>
        <w:autoSpaceDE w:val="0"/>
        <w:autoSpaceDN w:val="0"/>
        <w:adjustRightInd w:val="0"/>
        <w:spacing w:after="0" w:line="276" w:lineRule="auto"/>
        <w:rPr>
          <w:rFonts w:cs="Arial"/>
          <w:szCs w:val="22"/>
        </w:rPr>
      </w:pPr>
      <w:r w:rsidRPr="001B4E80">
        <w:rPr>
          <w:rFonts w:cs="Arial"/>
          <w:szCs w:val="22"/>
        </w:rPr>
        <w:t>If i</w:t>
      </w:r>
      <w:r w:rsidR="00B342B7">
        <w:rPr>
          <w:rFonts w:cs="Arial"/>
          <w:szCs w:val="22"/>
        </w:rPr>
        <w:t xml:space="preserve">t is </w:t>
      </w:r>
      <w:r w:rsidRPr="001B4E80">
        <w:rPr>
          <w:rFonts w:cs="Arial"/>
          <w:szCs w:val="22"/>
        </w:rPr>
        <w:t>apparent through your discussions that further su</w:t>
      </w:r>
      <w:r w:rsidR="0065322D">
        <w:rPr>
          <w:rFonts w:cs="Arial"/>
          <w:szCs w:val="22"/>
        </w:rPr>
        <w:t xml:space="preserve">pport from UCL Workplace Health or </w:t>
      </w:r>
      <w:r w:rsidRPr="001B4E80">
        <w:rPr>
          <w:rFonts w:cs="Arial"/>
          <w:szCs w:val="22"/>
        </w:rPr>
        <w:t xml:space="preserve">Care </w:t>
      </w:r>
      <w:r w:rsidR="00B342B7">
        <w:rPr>
          <w:rFonts w:cs="Arial"/>
          <w:szCs w:val="22"/>
        </w:rPr>
        <w:t>F</w:t>
      </w:r>
      <w:r w:rsidRPr="001B4E80">
        <w:rPr>
          <w:rFonts w:cs="Arial"/>
          <w:szCs w:val="22"/>
        </w:rPr>
        <w:t xml:space="preserve">irst (our Employee Assistance Programme partner) </w:t>
      </w:r>
      <w:r w:rsidR="0065322D">
        <w:rPr>
          <w:rFonts w:cs="Arial"/>
          <w:szCs w:val="22"/>
        </w:rPr>
        <w:t>y</w:t>
      </w:r>
      <w:r w:rsidRPr="001B4E80">
        <w:rPr>
          <w:rFonts w:cs="Arial"/>
          <w:szCs w:val="22"/>
        </w:rPr>
        <w:t>ou must discuss with your employee what information you wish to</w:t>
      </w:r>
      <w:r w:rsidR="0065322D">
        <w:rPr>
          <w:rFonts w:cs="Arial"/>
          <w:szCs w:val="22"/>
        </w:rPr>
        <w:t xml:space="preserve"> share and obtain their consent</w:t>
      </w:r>
      <w:r w:rsidRPr="001B4E80">
        <w:rPr>
          <w:rFonts w:cs="Arial"/>
          <w:szCs w:val="22"/>
        </w:rPr>
        <w:t xml:space="preserve"> to do so. If the employee does not wish to be referred</w:t>
      </w:r>
      <w:r w:rsidR="00B342B7">
        <w:rPr>
          <w:rFonts w:cs="Arial"/>
          <w:szCs w:val="22"/>
        </w:rPr>
        <w:t xml:space="preserve">, please </w:t>
      </w:r>
      <w:r w:rsidRPr="001B4E80">
        <w:rPr>
          <w:rFonts w:cs="Arial"/>
          <w:szCs w:val="22"/>
        </w:rPr>
        <w:t xml:space="preserve">contact you HR Business Partner for further advice. </w:t>
      </w:r>
    </w:p>
    <w:p w14:paraId="67327BDC" w14:textId="39ADBCEC" w:rsidR="000B79C9" w:rsidRDefault="000B79C9" w:rsidP="00FC1584">
      <w:pPr>
        <w:pBdr>
          <w:bottom w:val="single" w:sz="6" w:space="1" w:color="auto"/>
        </w:pBdr>
        <w:autoSpaceDE w:val="0"/>
        <w:autoSpaceDN w:val="0"/>
        <w:adjustRightInd w:val="0"/>
        <w:spacing w:after="0" w:line="276" w:lineRule="auto"/>
        <w:rPr>
          <w:rFonts w:cs="Arial"/>
          <w:szCs w:val="22"/>
        </w:rPr>
      </w:pPr>
      <w:r w:rsidRPr="001B4E80">
        <w:rPr>
          <w:rFonts w:cs="Arial"/>
          <w:szCs w:val="22"/>
        </w:rPr>
        <w:t xml:space="preserve">For most people, formal referral to Workplace Health (WH) will </w:t>
      </w:r>
      <w:r w:rsidRPr="001B4E80">
        <w:rPr>
          <w:rFonts w:cs="Arial"/>
          <w:i/>
          <w:szCs w:val="22"/>
        </w:rPr>
        <w:t>not</w:t>
      </w:r>
      <w:r w:rsidRPr="001B4E80">
        <w:rPr>
          <w:rFonts w:cs="Arial"/>
          <w:szCs w:val="22"/>
        </w:rPr>
        <w:t xml:space="preserve"> be required and manager and staff member will be able to manage risks locally using  information from the </w:t>
      </w:r>
      <w:hyperlink r:id="rId19" w:history="1">
        <w:r w:rsidRPr="001B4E80">
          <w:rPr>
            <w:rStyle w:val="Hyperlink"/>
            <w:rFonts w:cs="Arial"/>
            <w:szCs w:val="22"/>
          </w:rPr>
          <w:t>NHS</w:t>
        </w:r>
      </w:hyperlink>
      <w:r w:rsidRPr="001B4E80">
        <w:rPr>
          <w:rFonts w:cs="Arial"/>
          <w:szCs w:val="22"/>
        </w:rPr>
        <w:t xml:space="preserve"> on general risk factors and </w:t>
      </w:r>
      <w:hyperlink r:id="rId20" w:anchor="parents-and-schools-with-clinically-extremely-vulnerable-children" w:history="1">
        <w:r w:rsidRPr="001B4E80">
          <w:rPr>
            <w:rStyle w:val="Hyperlink"/>
            <w:rFonts w:cs="Arial"/>
            <w:szCs w:val="22"/>
          </w:rPr>
          <w:t>Public Health England</w:t>
        </w:r>
      </w:hyperlink>
      <w:r w:rsidRPr="001B4E80">
        <w:rPr>
          <w:rFonts w:cs="Arial"/>
          <w:szCs w:val="22"/>
        </w:rPr>
        <w:t xml:space="preserve"> guidance on vulnerable and extremely vulnerable people. </w:t>
      </w:r>
    </w:p>
    <w:p w14:paraId="16C69C90" w14:textId="566911CC" w:rsidR="00DD1376" w:rsidRDefault="00DD1376" w:rsidP="00FC1584">
      <w:pPr>
        <w:pBdr>
          <w:bottom w:val="single" w:sz="6" w:space="1" w:color="auto"/>
        </w:pBdr>
        <w:autoSpaceDE w:val="0"/>
        <w:autoSpaceDN w:val="0"/>
        <w:adjustRightInd w:val="0"/>
        <w:spacing w:after="0" w:line="276" w:lineRule="auto"/>
        <w:rPr>
          <w:rFonts w:cs="Arial"/>
          <w:szCs w:val="22"/>
        </w:rPr>
      </w:pPr>
    </w:p>
    <w:p w14:paraId="17DC968E" w14:textId="1CEF01CF" w:rsidR="0065322D" w:rsidRDefault="0065322D" w:rsidP="00FC1584">
      <w:pPr>
        <w:pBdr>
          <w:bottom w:val="single" w:sz="6" w:space="1" w:color="auto"/>
        </w:pBdr>
        <w:autoSpaceDE w:val="0"/>
        <w:autoSpaceDN w:val="0"/>
        <w:adjustRightInd w:val="0"/>
        <w:spacing w:after="0" w:line="276" w:lineRule="auto"/>
        <w:rPr>
          <w:rFonts w:cs="Arial"/>
          <w:szCs w:val="22"/>
        </w:rPr>
      </w:pPr>
    </w:p>
    <w:p w14:paraId="18251514" w14:textId="5252C66C" w:rsidR="0065322D" w:rsidRDefault="0065322D" w:rsidP="00FC1584">
      <w:pPr>
        <w:pBdr>
          <w:bottom w:val="single" w:sz="6" w:space="1" w:color="auto"/>
        </w:pBdr>
        <w:autoSpaceDE w:val="0"/>
        <w:autoSpaceDN w:val="0"/>
        <w:adjustRightInd w:val="0"/>
        <w:spacing w:after="0" w:line="276" w:lineRule="auto"/>
        <w:rPr>
          <w:rFonts w:cs="Arial"/>
          <w:szCs w:val="22"/>
        </w:rPr>
      </w:pPr>
    </w:p>
    <w:p w14:paraId="4412F0E4" w14:textId="0D0A7836" w:rsidR="0065322D" w:rsidRDefault="0065322D" w:rsidP="00FC1584">
      <w:pPr>
        <w:pBdr>
          <w:bottom w:val="single" w:sz="6" w:space="1" w:color="auto"/>
        </w:pBdr>
        <w:autoSpaceDE w:val="0"/>
        <w:autoSpaceDN w:val="0"/>
        <w:adjustRightInd w:val="0"/>
        <w:spacing w:after="0" w:line="276" w:lineRule="auto"/>
        <w:rPr>
          <w:rFonts w:cs="Arial"/>
          <w:szCs w:val="22"/>
        </w:rPr>
      </w:pPr>
    </w:p>
    <w:p w14:paraId="179BCB47" w14:textId="78712054" w:rsidR="00D15091" w:rsidRPr="001B4E80" w:rsidRDefault="00D15091" w:rsidP="00C477D6">
      <w:pPr>
        <w:spacing w:before="100" w:beforeAutospacing="1" w:after="120" w:line="276" w:lineRule="auto"/>
        <w:rPr>
          <w:rFonts w:eastAsia="Times New Roman" w:cs="Arial"/>
          <w:szCs w:val="22"/>
          <w:lang w:eastAsia="en-GB"/>
        </w:rPr>
      </w:pPr>
    </w:p>
    <w:sectPr w:rsidR="00D15091" w:rsidRPr="001B4E80" w:rsidSect="00CE09A4">
      <w:footerReference w:type="default" r:id="rId21"/>
      <w:headerReference w:type="first" r:id="rId22"/>
      <w:footerReference w:type="first" r:id="rId23"/>
      <w:pgSz w:w="11900" w:h="16840"/>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D211EC" w16cid:durableId="23037B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10C3A" w14:textId="77777777" w:rsidR="00175622" w:rsidRDefault="00175622" w:rsidP="00036543">
      <w:r>
        <w:separator/>
      </w:r>
    </w:p>
  </w:endnote>
  <w:endnote w:type="continuationSeparator" w:id="0">
    <w:p w14:paraId="1F4C3074" w14:textId="77777777" w:rsidR="00175622" w:rsidRDefault="00175622"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6EB5" w14:textId="5AF6DCD5" w:rsidR="00D51669" w:rsidRPr="00D51669" w:rsidRDefault="00D51669">
    <w:pPr>
      <w:pStyle w:val="Footer"/>
      <w:rPr>
        <w:sz w:val="20"/>
      </w:rPr>
    </w:pPr>
    <w:r w:rsidRPr="00D51669">
      <w:rPr>
        <w:sz w:val="20"/>
      </w:rPr>
      <w:t xml:space="preserve">Page </w:t>
    </w:r>
    <w:r w:rsidRPr="00D51669">
      <w:rPr>
        <w:b/>
        <w:bCs/>
        <w:sz w:val="20"/>
      </w:rPr>
      <w:fldChar w:fldCharType="begin"/>
    </w:r>
    <w:r w:rsidRPr="00D51669">
      <w:rPr>
        <w:b/>
        <w:bCs/>
        <w:sz w:val="20"/>
      </w:rPr>
      <w:instrText xml:space="preserve"> PAGE  \* Arabic  \* MERGEFORMAT </w:instrText>
    </w:r>
    <w:r w:rsidRPr="00D51669">
      <w:rPr>
        <w:b/>
        <w:bCs/>
        <w:sz w:val="20"/>
      </w:rPr>
      <w:fldChar w:fldCharType="separate"/>
    </w:r>
    <w:r w:rsidR="00D52D84">
      <w:rPr>
        <w:b/>
        <w:bCs/>
        <w:noProof/>
        <w:sz w:val="20"/>
      </w:rPr>
      <w:t>4</w:t>
    </w:r>
    <w:r w:rsidRPr="00D51669">
      <w:rPr>
        <w:b/>
        <w:bCs/>
        <w:sz w:val="20"/>
      </w:rPr>
      <w:fldChar w:fldCharType="end"/>
    </w:r>
    <w:r w:rsidRPr="00D51669">
      <w:rPr>
        <w:sz w:val="20"/>
      </w:rPr>
      <w:t xml:space="preserve"> of </w:t>
    </w:r>
    <w:r w:rsidRPr="00D51669">
      <w:rPr>
        <w:b/>
        <w:bCs/>
        <w:sz w:val="20"/>
      </w:rPr>
      <w:fldChar w:fldCharType="begin"/>
    </w:r>
    <w:r w:rsidRPr="00D51669">
      <w:rPr>
        <w:b/>
        <w:bCs/>
        <w:sz w:val="20"/>
      </w:rPr>
      <w:instrText xml:space="preserve"> NUMPAGES  \* Arabic  \* MERGEFORMAT </w:instrText>
    </w:r>
    <w:r w:rsidRPr="00D51669">
      <w:rPr>
        <w:b/>
        <w:bCs/>
        <w:sz w:val="20"/>
      </w:rPr>
      <w:fldChar w:fldCharType="separate"/>
    </w:r>
    <w:r w:rsidR="00D52D84">
      <w:rPr>
        <w:b/>
        <w:bCs/>
        <w:noProof/>
        <w:sz w:val="20"/>
      </w:rPr>
      <w:t>6</w:t>
    </w:r>
    <w:r w:rsidRPr="00D51669">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1E24" w14:textId="6A8544A2" w:rsidR="00FB322B" w:rsidRPr="00FB322B" w:rsidRDefault="00FB322B" w:rsidP="00FB322B">
    <w:pPr>
      <w:rPr>
        <w:sz w:val="20"/>
      </w:rPr>
    </w:pPr>
    <w:r w:rsidRPr="00FB322B">
      <w:rPr>
        <w:sz w:val="20"/>
      </w:rPr>
      <w:t xml:space="preserve">Page </w:t>
    </w:r>
    <w:r w:rsidRPr="00FB322B">
      <w:rPr>
        <w:sz w:val="20"/>
      </w:rPr>
      <w:fldChar w:fldCharType="begin"/>
    </w:r>
    <w:r w:rsidRPr="00FB322B">
      <w:rPr>
        <w:sz w:val="20"/>
      </w:rPr>
      <w:instrText xml:space="preserve"> PAGE  \* Arabic  \* MERGEFORMAT </w:instrText>
    </w:r>
    <w:r w:rsidRPr="00FB322B">
      <w:rPr>
        <w:sz w:val="20"/>
      </w:rPr>
      <w:fldChar w:fldCharType="separate"/>
    </w:r>
    <w:r w:rsidR="00D52D84">
      <w:rPr>
        <w:noProof/>
        <w:sz w:val="20"/>
      </w:rPr>
      <w:t>1</w:t>
    </w:r>
    <w:r w:rsidRPr="00FB322B">
      <w:rPr>
        <w:sz w:val="20"/>
      </w:rPr>
      <w:fldChar w:fldCharType="end"/>
    </w:r>
    <w:r w:rsidRPr="00FB322B">
      <w:rPr>
        <w:sz w:val="20"/>
      </w:rPr>
      <w:t xml:space="preserve"> of </w:t>
    </w:r>
    <w:r w:rsidRPr="00FB322B">
      <w:rPr>
        <w:sz w:val="20"/>
      </w:rPr>
      <w:fldChar w:fldCharType="begin"/>
    </w:r>
    <w:r w:rsidRPr="00FB322B">
      <w:rPr>
        <w:sz w:val="20"/>
      </w:rPr>
      <w:instrText xml:space="preserve"> NUMPAGES  \* Arabic  \* MERGEFORMAT </w:instrText>
    </w:r>
    <w:r w:rsidRPr="00FB322B">
      <w:rPr>
        <w:sz w:val="20"/>
      </w:rPr>
      <w:fldChar w:fldCharType="separate"/>
    </w:r>
    <w:r w:rsidR="00D52D84">
      <w:rPr>
        <w:noProof/>
        <w:sz w:val="20"/>
      </w:rPr>
      <w:t>6</w:t>
    </w:r>
    <w:r w:rsidRPr="00FB32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FC64" w14:textId="77777777" w:rsidR="00175622" w:rsidRDefault="00175622" w:rsidP="00036543">
      <w:r>
        <w:separator/>
      </w:r>
    </w:p>
  </w:footnote>
  <w:footnote w:type="continuationSeparator" w:id="0">
    <w:p w14:paraId="6380547F" w14:textId="77777777" w:rsidR="00175622" w:rsidRDefault="00175622"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1C01" w14:textId="77777777" w:rsidR="006D309A" w:rsidRDefault="001614A1">
    <w:pPr>
      <w:pStyle w:val="Header"/>
    </w:pPr>
    <w:r w:rsidRPr="001614A1">
      <w:rPr>
        <w:noProof/>
        <w:lang w:val="en-GB" w:eastAsia="en-GB"/>
      </w:rPr>
      <w:drawing>
        <wp:anchor distT="0" distB="0" distL="114300" distR="114300" simplePos="0" relativeHeight="251659264" behindDoc="0" locked="0" layoutInCell="1" allowOverlap="1" wp14:anchorId="2674B4A2" wp14:editId="6642757A">
          <wp:simplePos x="0" y="0"/>
          <wp:positionH relativeFrom="page">
            <wp:align>right</wp:align>
          </wp:positionH>
          <wp:positionV relativeFrom="page">
            <wp:posOffset>683895</wp:posOffset>
          </wp:positionV>
          <wp:extent cx="7596000" cy="80280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802800"/>
                  </a:xfrm>
                  <a:prstGeom prst="rect">
                    <a:avLst/>
                  </a:prstGeom>
                </pic:spPr>
              </pic:pic>
            </a:graphicData>
          </a:graphic>
          <wp14:sizeRelH relativeFrom="margin">
            <wp14:pctWidth>0</wp14:pctWidth>
          </wp14:sizeRelH>
          <wp14:sizeRelV relativeFrom="margin">
            <wp14:pctHeight>0</wp14:pctHeight>
          </wp14:sizeRelV>
        </wp:anchor>
      </w:drawing>
    </w:r>
    <w:r w:rsidRPr="001614A1">
      <w:rPr>
        <w:noProof/>
        <w:lang w:val="en-GB" w:eastAsia="en-GB"/>
      </w:rPr>
      <mc:AlternateContent>
        <mc:Choice Requires="wps">
          <w:drawing>
            <wp:anchor distT="0" distB="0" distL="114300" distR="114300" simplePos="0" relativeHeight="251660288" behindDoc="0" locked="0" layoutInCell="1" allowOverlap="1" wp14:anchorId="1EA1C63A" wp14:editId="3F3E710B">
              <wp:simplePos x="0" y="0"/>
              <wp:positionH relativeFrom="page">
                <wp:posOffset>360045</wp:posOffset>
              </wp:positionH>
              <wp:positionV relativeFrom="page">
                <wp:posOffset>360045</wp:posOffset>
              </wp:positionV>
              <wp:extent cx="4154400" cy="774000"/>
              <wp:effectExtent l="0" t="0" r="0" b="7620"/>
              <wp:wrapThrough wrapText="bothSides">
                <wp:wrapPolygon edited="0">
                  <wp:start x="198" y="0"/>
                  <wp:lineTo x="198" y="21281"/>
                  <wp:lineTo x="21296" y="21281"/>
                  <wp:lineTo x="21296" y="0"/>
                  <wp:lineTo x="198" y="0"/>
                </wp:wrapPolygon>
              </wp:wrapThrough>
              <wp:docPr id="10" name="Text Box 10"/>
              <wp:cNvGraphicFramePr/>
              <a:graphic xmlns:a="http://schemas.openxmlformats.org/drawingml/2006/main">
                <a:graphicData uri="http://schemas.microsoft.com/office/word/2010/wordprocessingShape">
                  <wps:wsp>
                    <wps:cNvSpPr txBox="1"/>
                    <wps:spPr>
                      <a:xfrm>
                        <a:off x="0" y="0"/>
                        <a:ext cx="4154400" cy="774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98381E5" w14:textId="77777777" w:rsidR="001614A1" w:rsidRPr="0050728E" w:rsidRDefault="001614A1" w:rsidP="001614A1">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1C63A" id="_x0000_t202" coordsize="21600,21600" o:spt="202" path="m,l,21600r21600,l21600,xe">
              <v:stroke joinstyle="miter"/>
              <v:path gradientshapeok="t" o:connecttype="rect"/>
            </v:shapetype>
            <v:shape id="Text Box 10" o:spid="_x0000_s1026" type="#_x0000_t202" style="position:absolute;margin-left:28.35pt;margin-top:28.35pt;width:327.1pt;height:6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" filled="f" stroked="f">
              <v:textbox>
                <w:txbxContent>
                  <w:p w14:paraId="598381E5" w14:textId="77777777" w:rsidR="001614A1" w:rsidRPr="0050728E" w:rsidRDefault="001614A1" w:rsidP="001614A1">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716"/>
    <w:multiLevelType w:val="hybridMultilevel"/>
    <w:tmpl w:val="BE9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41"/>
    <w:multiLevelType w:val="hybridMultilevel"/>
    <w:tmpl w:val="BD169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C7F16"/>
    <w:multiLevelType w:val="hybridMultilevel"/>
    <w:tmpl w:val="CEB0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86EEB"/>
    <w:multiLevelType w:val="hybridMultilevel"/>
    <w:tmpl w:val="F9E08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44AF8"/>
    <w:multiLevelType w:val="hybridMultilevel"/>
    <w:tmpl w:val="B9B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46862"/>
    <w:multiLevelType w:val="hybridMultilevel"/>
    <w:tmpl w:val="9076A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B35573"/>
    <w:multiLevelType w:val="hybridMultilevel"/>
    <w:tmpl w:val="B77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427ED"/>
    <w:multiLevelType w:val="hybridMultilevel"/>
    <w:tmpl w:val="EE5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A1E06"/>
    <w:multiLevelType w:val="hybridMultilevel"/>
    <w:tmpl w:val="12D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5A91"/>
    <w:multiLevelType w:val="hybridMultilevel"/>
    <w:tmpl w:val="4FA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06A9A"/>
    <w:multiLevelType w:val="multilevel"/>
    <w:tmpl w:val="CF64AD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7A75F51"/>
    <w:multiLevelType w:val="hybridMultilevel"/>
    <w:tmpl w:val="C8306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1743B"/>
    <w:multiLevelType w:val="multilevel"/>
    <w:tmpl w:val="A6F822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333450"/>
    <w:multiLevelType w:val="hybridMultilevel"/>
    <w:tmpl w:val="4EB6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24F79"/>
    <w:multiLevelType w:val="multilevel"/>
    <w:tmpl w:val="343E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606DE"/>
    <w:multiLevelType w:val="hybridMultilevel"/>
    <w:tmpl w:val="42B21F6E"/>
    <w:lvl w:ilvl="0" w:tplc="0C9C0CDA">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658D9"/>
    <w:multiLevelType w:val="hybridMultilevel"/>
    <w:tmpl w:val="C0A6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C1543"/>
    <w:multiLevelType w:val="hybridMultilevel"/>
    <w:tmpl w:val="ADF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06F6E"/>
    <w:multiLevelType w:val="hybridMultilevel"/>
    <w:tmpl w:val="36AA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52789"/>
    <w:multiLevelType w:val="hybridMultilevel"/>
    <w:tmpl w:val="F776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915B36"/>
    <w:multiLevelType w:val="hybridMultilevel"/>
    <w:tmpl w:val="F284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059B4"/>
    <w:multiLevelType w:val="hybridMultilevel"/>
    <w:tmpl w:val="CEB0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53A5F"/>
    <w:multiLevelType w:val="hybridMultilevel"/>
    <w:tmpl w:val="14987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6B2158"/>
    <w:multiLevelType w:val="multilevel"/>
    <w:tmpl w:val="B54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B90136"/>
    <w:multiLevelType w:val="multilevel"/>
    <w:tmpl w:val="38DC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7C7CFC"/>
    <w:multiLevelType w:val="hybridMultilevel"/>
    <w:tmpl w:val="4E0CB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A7BB1"/>
    <w:multiLevelType w:val="hybridMultilevel"/>
    <w:tmpl w:val="66847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1D7B58"/>
    <w:multiLevelType w:val="hybridMultilevel"/>
    <w:tmpl w:val="7C5EAC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BE14AD"/>
    <w:multiLevelType w:val="hybridMultilevel"/>
    <w:tmpl w:val="D7D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22F3C"/>
    <w:multiLevelType w:val="hybridMultilevel"/>
    <w:tmpl w:val="6098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F572D6"/>
    <w:multiLevelType w:val="hybridMultilevel"/>
    <w:tmpl w:val="8BDC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784D15"/>
    <w:multiLevelType w:val="hybridMultilevel"/>
    <w:tmpl w:val="E9D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135A0"/>
    <w:multiLevelType w:val="hybridMultilevel"/>
    <w:tmpl w:val="DC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114D2"/>
    <w:multiLevelType w:val="multilevel"/>
    <w:tmpl w:val="EA240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4B957F5"/>
    <w:multiLevelType w:val="hybridMultilevel"/>
    <w:tmpl w:val="3198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925A2"/>
    <w:multiLevelType w:val="multilevel"/>
    <w:tmpl w:val="CBE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EB5F56"/>
    <w:multiLevelType w:val="hybridMultilevel"/>
    <w:tmpl w:val="609E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822FA"/>
    <w:multiLevelType w:val="multilevel"/>
    <w:tmpl w:val="01682C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757D1"/>
    <w:multiLevelType w:val="hybridMultilevel"/>
    <w:tmpl w:val="51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B6A12"/>
    <w:multiLevelType w:val="multilevel"/>
    <w:tmpl w:val="14E86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E5C6B3D"/>
    <w:multiLevelType w:val="multilevel"/>
    <w:tmpl w:val="8160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6"/>
  </w:num>
  <w:num w:numId="3">
    <w:abstractNumId w:val="40"/>
  </w:num>
  <w:num w:numId="4">
    <w:abstractNumId w:val="10"/>
  </w:num>
  <w:num w:numId="5">
    <w:abstractNumId w:val="33"/>
  </w:num>
  <w:num w:numId="6">
    <w:abstractNumId w:val="42"/>
  </w:num>
  <w:num w:numId="7">
    <w:abstractNumId w:val="35"/>
  </w:num>
  <w:num w:numId="8">
    <w:abstractNumId w:val="23"/>
  </w:num>
  <w:num w:numId="9">
    <w:abstractNumId w:val="31"/>
  </w:num>
  <w:num w:numId="10">
    <w:abstractNumId w:val="4"/>
  </w:num>
  <w:num w:numId="11">
    <w:abstractNumId w:val="38"/>
  </w:num>
  <w:num w:numId="12">
    <w:abstractNumId w:val="34"/>
  </w:num>
  <w:num w:numId="13">
    <w:abstractNumId w:val="17"/>
  </w:num>
  <w:num w:numId="14">
    <w:abstractNumId w:val="43"/>
    <w:lvlOverride w:ilvl="0">
      <w:startOverride w:val="1"/>
    </w:lvlOverride>
  </w:num>
  <w:num w:numId="15">
    <w:abstractNumId w:val="24"/>
    <w:lvlOverride w:ilvl="0">
      <w:startOverride w:val="1"/>
    </w:lvlOverride>
  </w:num>
  <w:num w:numId="16">
    <w:abstractNumId w:val="5"/>
  </w:num>
  <w:num w:numId="17">
    <w:abstractNumId w:val="22"/>
  </w:num>
  <w:num w:numId="18">
    <w:abstractNumId w:val="12"/>
    <w:lvlOverride w:ilvl="0">
      <w:startOverride w:val="1"/>
    </w:lvlOverride>
  </w:num>
  <w:num w:numId="19">
    <w:abstractNumId w:val="39"/>
    <w:lvlOverride w:ilvl="0">
      <w:startOverride w:val="1"/>
    </w:lvlOverride>
  </w:num>
  <w:num w:numId="20">
    <w:abstractNumId w:val="3"/>
  </w:num>
  <w:num w:numId="21">
    <w:abstractNumId w:val="13"/>
  </w:num>
  <w:num w:numId="22">
    <w:abstractNumId w:val="30"/>
  </w:num>
  <w:num w:numId="23">
    <w:abstractNumId w:val="2"/>
  </w:num>
  <w:num w:numId="24">
    <w:abstractNumId w:val="21"/>
  </w:num>
  <w:num w:numId="25">
    <w:abstractNumId w:val="1"/>
  </w:num>
  <w:num w:numId="26">
    <w:abstractNumId w:val="11"/>
  </w:num>
  <w:num w:numId="27">
    <w:abstractNumId w:val="16"/>
  </w:num>
  <w:num w:numId="28">
    <w:abstractNumId w:val="29"/>
  </w:num>
  <w:num w:numId="29">
    <w:abstractNumId w:val="25"/>
  </w:num>
  <w:num w:numId="30">
    <w:abstractNumId w:val="14"/>
    <w:lvlOverride w:ilvl="0">
      <w:startOverride w:val="1"/>
    </w:lvlOverride>
  </w:num>
  <w:num w:numId="31">
    <w:abstractNumId w:val="28"/>
  </w:num>
  <w:num w:numId="32">
    <w:abstractNumId w:val="15"/>
  </w:num>
  <w:num w:numId="33">
    <w:abstractNumId w:val="27"/>
  </w:num>
  <w:num w:numId="34">
    <w:abstractNumId w:val="32"/>
  </w:num>
  <w:num w:numId="35">
    <w:abstractNumId w:val="8"/>
  </w:num>
  <w:num w:numId="36">
    <w:abstractNumId w:val="26"/>
  </w:num>
  <w:num w:numId="37">
    <w:abstractNumId w:val="19"/>
  </w:num>
  <w:num w:numId="38">
    <w:abstractNumId w:val="41"/>
  </w:num>
  <w:num w:numId="39">
    <w:abstractNumId w:val="0"/>
  </w:num>
  <w:num w:numId="40">
    <w:abstractNumId w:val="9"/>
  </w:num>
  <w:num w:numId="41">
    <w:abstractNumId w:val="7"/>
  </w:num>
  <w:num w:numId="42">
    <w:abstractNumId w:val="6"/>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00D0D"/>
    <w:rsid w:val="00022A6D"/>
    <w:rsid w:val="00022D34"/>
    <w:rsid w:val="0002515B"/>
    <w:rsid w:val="00032F6C"/>
    <w:rsid w:val="0003554F"/>
    <w:rsid w:val="00036543"/>
    <w:rsid w:val="00037929"/>
    <w:rsid w:val="00043253"/>
    <w:rsid w:val="00045F85"/>
    <w:rsid w:val="00054881"/>
    <w:rsid w:val="0006408B"/>
    <w:rsid w:val="00066FE7"/>
    <w:rsid w:val="000716EB"/>
    <w:rsid w:val="000907AD"/>
    <w:rsid w:val="0009604B"/>
    <w:rsid w:val="000A68F9"/>
    <w:rsid w:val="000B79C9"/>
    <w:rsid w:val="000D1D7A"/>
    <w:rsid w:val="000D60B8"/>
    <w:rsid w:val="00120FB4"/>
    <w:rsid w:val="001537C2"/>
    <w:rsid w:val="001614A1"/>
    <w:rsid w:val="00175552"/>
    <w:rsid w:val="00175622"/>
    <w:rsid w:val="00177B98"/>
    <w:rsid w:val="001808FB"/>
    <w:rsid w:val="00184B3F"/>
    <w:rsid w:val="00184B7C"/>
    <w:rsid w:val="00191523"/>
    <w:rsid w:val="001B4E80"/>
    <w:rsid w:val="001D03C2"/>
    <w:rsid w:val="001E40DC"/>
    <w:rsid w:val="001E6048"/>
    <w:rsid w:val="001F6508"/>
    <w:rsid w:val="001F735C"/>
    <w:rsid w:val="001F77BF"/>
    <w:rsid w:val="001F78D1"/>
    <w:rsid w:val="002151DD"/>
    <w:rsid w:val="00250D6F"/>
    <w:rsid w:val="00253E03"/>
    <w:rsid w:val="00296485"/>
    <w:rsid w:val="00296C40"/>
    <w:rsid w:val="002A7B98"/>
    <w:rsid w:val="002E7477"/>
    <w:rsid w:val="002F205E"/>
    <w:rsid w:val="00300722"/>
    <w:rsid w:val="00313488"/>
    <w:rsid w:val="00326D92"/>
    <w:rsid w:val="003333DB"/>
    <w:rsid w:val="00336E5D"/>
    <w:rsid w:val="00340496"/>
    <w:rsid w:val="003542BA"/>
    <w:rsid w:val="00370978"/>
    <w:rsid w:val="00381091"/>
    <w:rsid w:val="003A4AB1"/>
    <w:rsid w:val="003B79DF"/>
    <w:rsid w:val="003D5750"/>
    <w:rsid w:val="003E4923"/>
    <w:rsid w:val="0040655C"/>
    <w:rsid w:val="00411396"/>
    <w:rsid w:val="0041627E"/>
    <w:rsid w:val="00417530"/>
    <w:rsid w:val="00421C8E"/>
    <w:rsid w:val="00422A2D"/>
    <w:rsid w:val="004250E2"/>
    <w:rsid w:val="00451F49"/>
    <w:rsid w:val="00487963"/>
    <w:rsid w:val="004B5A33"/>
    <w:rsid w:val="004B619C"/>
    <w:rsid w:val="004B75BE"/>
    <w:rsid w:val="004C2DB7"/>
    <w:rsid w:val="004D546A"/>
    <w:rsid w:val="004F2A63"/>
    <w:rsid w:val="004F7276"/>
    <w:rsid w:val="00505D28"/>
    <w:rsid w:val="00510077"/>
    <w:rsid w:val="00512F0E"/>
    <w:rsid w:val="005337BF"/>
    <w:rsid w:val="005410BA"/>
    <w:rsid w:val="00557E1E"/>
    <w:rsid w:val="00567BD1"/>
    <w:rsid w:val="00585DA2"/>
    <w:rsid w:val="00594A31"/>
    <w:rsid w:val="005A76DD"/>
    <w:rsid w:val="005B448C"/>
    <w:rsid w:val="005E7254"/>
    <w:rsid w:val="005F7161"/>
    <w:rsid w:val="0061260A"/>
    <w:rsid w:val="00620960"/>
    <w:rsid w:val="00623E3C"/>
    <w:rsid w:val="0065322D"/>
    <w:rsid w:val="00653AE7"/>
    <w:rsid w:val="00657AF9"/>
    <w:rsid w:val="00686043"/>
    <w:rsid w:val="006A78DE"/>
    <w:rsid w:val="006C3C5D"/>
    <w:rsid w:val="006C3E6D"/>
    <w:rsid w:val="006D309A"/>
    <w:rsid w:val="00730BBD"/>
    <w:rsid w:val="00731868"/>
    <w:rsid w:val="00756CB5"/>
    <w:rsid w:val="00765D0D"/>
    <w:rsid w:val="007901ED"/>
    <w:rsid w:val="00792F74"/>
    <w:rsid w:val="007946D7"/>
    <w:rsid w:val="007A7D44"/>
    <w:rsid w:val="007D014F"/>
    <w:rsid w:val="007D7DC1"/>
    <w:rsid w:val="0082503D"/>
    <w:rsid w:val="0084319C"/>
    <w:rsid w:val="008601D2"/>
    <w:rsid w:val="00894D7B"/>
    <w:rsid w:val="008C0FE7"/>
    <w:rsid w:val="008D49B7"/>
    <w:rsid w:val="008D5114"/>
    <w:rsid w:val="008F5C0F"/>
    <w:rsid w:val="00900D2A"/>
    <w:rsid w:val="00901E82"/>
    <w:rsid w:val="0091731C"/>
    <w:rsid w:val="00936E72"/>
    <w:rsid w:val="00937A4C"/>
    <w:rsid w:val="00956D8A"/>
    <w:rsid w:val="0096565E"/>
    <w:rsid w:val="00965954"/>
    <w:rsid w:val="00982FF7"/>
    <w:rsid w:val="00993E35"/>
    <w:rsid w:val="009B0BA7"/>
    <w:rsid w:val="009C1231"/>
    <w:rsid w:val="009F3E10"/>
    <w:rsid w:val="00A227EB"/>
    <w:rsid w:val="00A3021D"/>
    <w:rsid w:val="00A47F3A"/>
    <w:rsid w:val="00AB1672"/>
    <w:rsid w:val="00AB2BDE"/>
    <w:rsid w:val="00AB33FE"/>
    <w:rsid w:val="00AC3010"/>
    <w:rsid w:val="00B0610C"/>
    <w:rsid w:val="00B21E26"/>
    <w:rsid w:val="00B2259D"/>
    <w:rsid w:val="00B342B7"/>
    <w:rsid w:val="00B37466"/>
    <w:rsid w:val="00B37BDD"/>
    <w:rsid w:val="00B4078B"/>
    <w:rsid w:val="00B4574A"/>
    <w:rsid w:val="00B53784"/>
    <w:rsid w:val="00B81C18"/>
    <w:rsid w:val="00B84747"/>
    <w:rsid w:val="00B860EB"/>
    <w:rsid w:val="00BA1E3A"/>
    <w:rsid w:val="00BA2EFA"/>
    <w:rsid w:val="00BB12BF"/>
    <w:rsid w:val="00BF44C6"/>
    <w:rsid w:val="00C04CF4"/>
    <w:rsid w:val="00C11EB8"/>
    <w:rsid w:val="00C152FC"/>
    <w:rsid w:val="00C20890"/>
    <w:rsid w:val="00C23B9C"/>
    <w:rsid w:val="00C24B74"/>
    <w:rsid w:val="00C435C6"/>
    <w:rsid w:val="00C43B4E"/>
    <w:rsid w:val="00C477D6"/>
    <w:rsid w:val="00C55BB6"/>
    <w:rsid w:val="00C82EBA"/>
    <w:rsid w:val="00C9207E"/>
    <w:rsid w:val="00CA358C"/>
    <w:rsid w:val="00CB315F"/>
    <w:rsid w:val="00CD1586"/>
    <w:rsid w:val="00CD2448"/>
    <w:rsid w:val="00CD3141"/>
    <w:rsid w:val="00CE09A4"/>
    <w:rsid w:val="00CF442C"/>
    <w:rsid w:val="00CF612E"/>
    <w:rsid w:val="00CF6AE5"/>
    <w:rsid w:val="00D009F0"/>
    <w:rsid w:val="00D15091"/>
    <w:rsid w:val="00D51669"/>
    <w:rsid w:val="00D52D84"/>
    <w:rsid w:val="00DB681D"/>
    <w:rsid w:val="00DC3ECF"/>
    <w:rsid w:val="00DD1376"/>
    <w:rsid w:val="00DD433F"/>
    <w:rsid w:val="00E176D6"/>
    <w:rsid w:val="00E303DF"/>
    <w:rsid w:val="00E306CC"/>
    <w:rsid w:val="00E42197"/>
    <w:rsid w:val="00E62C62"/>
    <w:rsid w:val="00E75385"/>
    <w:rsid w:val="00ED3BEB"/>
    <w:rsid w:val="00F25371"/>
    <w:rsid w:val="00F5106F"/>
    <w:rsid w:val="00F553E1"/>
    <w:rsid w:val="00F734A2"/>
    <w:rsid w:val="00F73F18"/>
    <w:rsid w:val="00FA0E42"/>
    <w:rsid w:val="00FB322B"/>
    <w:rsid w:val="00FC1584"/>
    <w:rsid w:val="00FE0A53"/>
    <w:rsid w:val="00FE1829"/>
    <w:rsid w:val="00FE2477"/>
    <w:rsid w:val="00FE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0698F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091"/>
    <w:pPr>
      <w:spacing w:before="160" w:after="160"/>
    </w:pPr>
    <w:rPr>
      <w:rFonts w:ascii="Arial" w:hAnsi="Arial"/>
      <w:sz w:val="22"/>
    </w:rPr>
  </w:style>
  <w:style w:type="paragraph" w:styleId="Heading1">
    <w:name w:val="heading 1"/>
    <w:basedOn w:val="Normal"/>
    <w:next w:val="Normal"/>
    <w:link w:val="Heading1Char"/>
    <w:uiPriority w:val="9"/>
    <w:qFormat/>
    <w:rsid w:val="00730BBD"/>
    <w:pPr>
      <w:spacing w:line="276" w:lineRule="auto"/>
      <w:outlineLvl w:val="0"/>
    </w:pPr>
    <w:rPr>
      <w:rFonts w:cs="Arial"/>
      <w:b/>
      <w:bCs/>
      <w:szCs w:val="22"/>
    </w:rPr>
  </w:style>
  <w:style w:type="paragraph" w:styleId="Heading2">
    <w:name w:val="heading 2"/>
    <w:basedOn w:val="Default"/>
    <w:next w:val="Normal"/>
    <w:link w:val="Heading2Char"/>
    <w:uiPriority w:val="9"/>
    <w:unhideWhenUsed/>
    <w:qFormat/>
    <w:rsid w:val="00730BBD"/>
    <w:pPr>
      <w:spacing w:line="276" w:lineRule="auto"/>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3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BBD"/>
    <w:rPr>
      <w:rFonts w:ascii="Arial" w:hAnsi="Arial" w:cs="Arial"/>
      <w:b/>
      <w:bCs/>
      <w:sz w:val="22"/>
      <w:szCs w:val="22"/>
    </w:rPr>
  </w:style>
  <w:style w:type="character" w:customStyle="1" w:styleId="Heading2Char">
    <w:name w:val="Heading 2 Char"/>
    <w:basedOn w:val="DefaultParagraphFont"/>
    <w:link w:val="Heading2"/>
    <w:uiPriority w:val="9"/>
    <w:rsid w:val="00730BBD"/>
    <w:rPr>
      <w:rFonts w:ascii="Arial" w:eastAsiaTheme="minorHAnsi" w:hAnsi="Arial" w:cs="Arial"/>
      <w:b/>
      <w:bCs/>
      <w:color w:val="000000"/>
      <w:sz w:val="22"/>
      <w:szCs w:val="22"/>
      <w:lang w:val="en-GB"/>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iPriority w:val="99"/>
    <w:unhideWhenUsed/>
    <w:rsid w:val="00900D2A"/>
    <w:rPr>
      <w:color w:val="0000FF" w:themeColor="hyperlink"/>
      <w:u w:val="single"/>
    </w:rPr>
  </w:style>
  <w:style w:type="character" w:styleId="CommentReference">
    <w:name w:val="annotation reference"/>
    <w:basedOn w:val="DefaultParagraphFont"/>
    <w:uiPriority w:val="99"/>
    <w:semiHidden/>
    <w:unhideWhenUsed/>
    <w:rsid w:val="00CA358C"/>
    <w:rPr>
      <w:sz w:val="16"/>
      <w:szCs w:val="16"/>
    </w:rPr>
  </w:style>
  <w:style w:type="paragraph" w:styleId="CommentText">
    <w:name w:val="annotation text"/>
    <w:basedOn w:val="Normal"/>
    <w:link w:val="CommentTextChar"/>
    <w:uiPriority w:val="99"/>
    <w:semiHidden/>
    <w:unhideWhenUsed/>
    <w:rsid w:val="00CA358C"/>
    <w:rPr>
      <w:sz w:val="20"/>
      <w:szCs w:val="20"/>
    </w:rPr>
  </w:style>
  <w:style w:type="character" w:customStyle="1" w:styleId="CommentTextChar">
    <w:name w:val="Comment Text Char"/>
    <w:basedOn w:val="DefaultParagraphFont"/>
    <w:link w:val="CommentText"/>
    <w:uiPriority w:val="99"/>
    <w:semiHidden/>
    <w:rsid w:val="00CA35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358C"/>
    <w:rPr>
      <w:b/>
      <w:bCs/>
    </w:rPr>
  </w:style>
  <w:style w:type="character" w:customStyle="1" w:styleId="CommentSubjectChar">
    <w:name w:val="Comment Subject Char"/>
    <w:basedOn w:val="CommentTextChar"/>
    <w:link w:val="CommentSubject"/>
    <w:uiPriority w:val="99"/>
    <w:semiHidden/>
    <w:rsid w:val="00CA358C"/>
    <w:rPr>
      <w:rFonts w:ascii="Arial" w:hAnsi="Arial"/>
      <w:b/>
      <w:bCs/>
      <w:sz w:val="20"/>
      <w:szCs w:val="20"/>
    </w:rPr>
  </w:style>
  <w:style w:type="character" w:styleId="FollowedHyperlink">
    <w:name w:val="FollowedHyperlink"/>
    <w:basedOn w:val="DefaultParagraphFont"/>
    <w:uiPriority w:val="99"/>
    <w:semiHidden/>
    <w:unhideWhenUsed/>
    <w:rsid w:val="00D51669"/>
    <w:rPr>
      <w:color w:val="800080" w:themeColor="followedHyperlink"/>
      <w:u w:val="single"/>
    </w:rPr>
  </w:style>
  <w:style w:type="paragraph" w:customStyle="1" w:styleId="Default">
    <w:name w:val="Default"/>
    <w:rsid w:val="001D03C2"/>
    <w:pPr>
      <w:autoSpaceDE w:val="0"/>
      <w:autoSpaceDN w:val="0"/>
      <w:adjustRightInd w:val="0"/>
    </w:pPr>
    <w:rPr>
      <w:rFonts w:ascii="Calibri" w:eastAsiaTheme="minorHAnsi" w:hAnsi="Calibri" w:cs="Calibri"/>
      <w:color w:val="000000"/>
      <w:lang w:val="en-GB"/>
    </w:rPr>
  </w:style>
  <w:style w:type="character" w:customStyle="1" w:styleId="UnresolvedMention1">
    <w:name w:val="Unresolved Mention1"/>
    <w:basedOn w:val="DefaultParagraphFont"/>
    <w:uiPriority w:val="99"/>
    <w:semiHidden/>
    <w:unhideWhenUsed/>
    <w:rsid w:val="0025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966">
      <w:bodyDiv w:val="1"/>
      <w:marLeft w:val="0"/>
      <w:marRight w:val="0"/>
      <w:marTop w:val="0"/>
      <w:marBottom w:val="0"/>
      <w:divBdr>
        <w:top w:val="none" w:sz="0" w:space="0" w:color="auto"/>
        <w:left w:val="none" w:sz="0" w:space="0" w:color="auto"/>
        <w:bottom w:val="none" w:sz="0" w:space="0" w:color="auto"/>
        <w:right w:val="none" w:sz="0" w:space="0" w:color="auto"/>
      </w:divBdr>
    </w:div>
    <w:div w:id="215551942">
      <w:bodyDiv w:val="1"/>
      <w:marLeft w:val="0"/>
      <w:marRight w:val="0"/>
      <w:marTop w:val="0"/>
      <w:marBottom w:val="0"/>
      <w:divBdr>
        <w:top w:val="none" w:sz="0" w:space="0" w:color="auto"/>
        <w:left w:val="none" w:sz="0" w:space="0" w:color="auto"/>
        <w:bottom w:val="none" w:sz="0" w:space="0" w:color="auto"/>
        <w:right w:val="none" w:sz="0" w:space="0" w:color="auto"/>
      </w:divBdr>
    </w:div>
    <w:div w:id="247814581">
      <w:bodyDiv w:val="1"/>
      <w:marLeft w:val="0"/>
      <w:marRight w:val="0"/>
      <w:marTop w:val="0"/>
      <w:marBottom w:val="0"/>
      <w:divBdr>
        <w:top w:val="none" w:sz="0" w:space="0" w:color="auto"/>
        <w:left w:val="none" w:sz="0" w:space="0" w:color="auto"/>
        <w:bottom w:val="none" w:sz="0" w:space="0" w:color="auto"/>
        <w:right w:val="none" w:sz="0" w:space="0" w:color="auto"/>
      </w:divBdr>
    </w:div>
    <w:div w:id="480930994">
      <w:bodyDiv w:val="1"/>
      <w:marLeft w:val="0"/>
      <w:marRight w:val="0"/>
      <w:marTop w:val="0"/>
      <w:marBottom w:val="0"/>
      <w:divBdr>
        <w:top w:val="none" w:sz="0" w:space="0" w:color="auto"/>
        <w:left w:val="none" w:sz="0" w:space="0" w:color="auto"/>
        <w:bottom w:val="none" w:sz="0" w:space="0" w:color="auto"/>
        <w:right w:val="none" w:sz="0" w:space="0" w:color="auto"/>
      </w:divBdr>
    </w:div>
    <w:div w:id="484395084">
      <w:bodyDiv w:val="1"/>
      <w:marLeft w:val="0"/>
      <w:marRight w:val="0"/>
      <w:marTop w:val="0"/>
      <w:marBottom w:val="0"/>
      <w:divBdr>
        <w:top w:val="none" w:sz="0" w:space="0" w:color="auto"/>
        <w:left w:val="none" w:sz="0" w:space="0" w:color="auto"/>
        <w:bottom w:val="none" w:sz="0" w:space="0" w:color="auto"/>
        <w:right w:val="none" w:sz="0" w:space="0" w:color="auto"/>
      </w:divBdr>
    </w:div>
    <w:div w:id="574584821">
      <w:bodyDiv w:val="1"/>
      <w:marLeft w:val="0"/>
      <w:marRight w:val="0"/>
      <w:marTop w:val="0"/>
      <w:marBottom w:val="0"/>
      <w:divBdr>
        <w:top w:val="none" w:sz="0" w:space="0" w:color="auto"/>
        <w:left w:val="none" w:sz="0" w:space="0" w:color="auto"/>
        <w:bottom w:val="none" w:sz="0" w:space="0" w:color="auto"/>
        <w:right w:val="none" w:sz="0" w:space="0" w:color="auto"/>
      </w:divBdr>
    </w:div>
    <w:div w:id="869218492">
      <w:bodyDiv w:val="1"/>
      <w:marLeft w:val="0"/>
      <w:marRight w:val="0"/>
      <w:marTop w:val="0"/>
      <w:marBottom w:val="0"/>
      <w:divBdr>
        <w:top w:val="none" w:sz="0" w:space="0" w:color="auto"/>
        <w:left w:val="none" w:sz="0" w:space="0" w:color="auto"/>
        <w:bottom w:val="none" w:sz="0" w:space="0" w:color="auto"/>
        <w:right w:val="none" w:sz="0" w:space="0" w:color="auto"/>
      </w:divBdr>
    </w:div>
    <w:div w:id="880215147">
      <w:bodyDiv w:val="1"/>
      <w:marLeft w:val="0"/>
      <w:marRight w:val="0"/>
      <w:marTop w:val="0"/>
      <w:marBottom w:val="0"/>
      <w:divBdr>
        <w:top w:val="none" w:sz="0" w:space="0" w:color="auto"/>
        <w:left w:val="none" w:sz="0" w:space="0" w:color="auto"/>
        <w:bottom w:val="none" w:sz="0" w:space="0" w:color="auto"/>
        <w:right w:val="none" w:sz="0" w:space="0" w:color="auto"/>
      </w:divBdr>
    </w:div>
    <w:div w:id="890186821">
      <w:bodyDiv w:val="1"/>
      <w:marLeft w:val="0"/>
      <w:marRight w:val="0"/>
      <w:marTop w:val="0"/>
      <w:marBottom w:val="0"/>
      <w:divBdr>
        <w:top w:val="none" w:sz="0" w:space="0" w:color="auto"/>
        <w:left w:val="none" w:sz="0" w:space="0" w:color="auto"/>
        <w:bottom w:val="none" w:sz="0" w:space="0" w:color="auto"/>
        <w:right w:val="none" w:sz="0" w:space="0" w:color="auto"/>
      </w:divBdr>
    </w:div>
    <w:div w:id="903218561">
      <w:bodyDiv w:val="1"/>
      <w:marLeft w:val="0"/>
      <w:marRight w:val="0"/>
      <w:marTop w:val="0"/>
      <w:marBottom w:val="0"/>
      <w:divBdr>
        <w:top w:val="none" w:sz="0" w:space="0" w:color="auto"/>
        <w:left w:val="none" w:sz="0" w:space="0" w:color="auto"/>
        <w:bottom w:val="none" w:sz="0" w:space="0" w:color="auto"/>
        <w:right w:val="none" w:sz="0" w:space="0" w:color="auto"/>
      </w:divBdr>
    </w:div>
    <w:div w:id="1011493205">
      <w:bodyDiv w:val="1"/>
      <w:marLeft w:val="0"/>
      <w:marRight w:val="0"/>
      <w:marTop w:val="0"/>
      <w:marBottom w:val="0"/>
      <w:divBdr>
        <w:top w:val="none" w:sz="0" w:space="0" w:color="auto"/>
        <w:left w:val="none" w:sz="0" w:space="0" w:color="auto"/>
        <w:bottom w:val="none" w:sz="0" w:space="0" w:color="auto"/>
        <w:right w:val="none" w:sz="0" w:space="0" w:color="auto"/>
      </w:divBdr>
    </w:div>
    <w:div w:id="1143693459">
      <w:bodyDiv w:val="1"/>
      <w:marLeft w:val="0"/>
      <w:marRight w:val="0"/>
      <w:marTop w:val="0"/>
      <w:marBottom w:val="0"/>
      <w:divBdr>
        <w:top w:val="none" w:sz="0" w:space="0" w:color="auto"/>
        <w:left w:val="none" w:sz="0" w:space="0" w:color="auto"/>
        <w:bottom w:val="none" w:sz="0" w:space="0" w:color="auto"/>
        <w:right w:val="none" w:sz="0" w:space="0" w:color="auto"/>
      </w:divBdr>
    </w:div>
    <w:div w:id="1194340463">
      <w:bodyDiv w:val="1"/>
      <w:marLeft w:val="0"/>
      <w:marRight w:val="0"/>
      <w:marTop w:val="0"/>
      <w:marBottom w:val="0"/>
      <w:divBdr>
        <w:top w:val="none" w:sz="0" w:space="0" w:color="auto"/>
        <w:left w:val="none" w:sz="0" w:space="0" w:color="auto"/>
        <w:bottom w:val="none" w:sz="0" w:space="0" w:color="auto"/>
        <w:right w:val="none" w:sz="0" w:space="0" w:color="auto"/>
      </w:divBdr>
    </w:div>
    <w:div w:id="1223369154">
      <w:bodyDiv w:val="1"/>
      <w:marLeft w:val="0"/>
      <w:marRight w:val="0"/>
      <w:marTop w:val="0"/>
      <w:marBottom w:val="0"/>
      <w:divBdr>
        <w:top w:val="none" w:sz="0" w:space="0" w:color="auto"/>
        <w:left w:val="none" w:sz="0" w:space="0" w:color="auto"/>
        <w:bottom w:val="none" w:sz="0" w:space="0" w:color="auto"/>
        <w:right w:val="none" w:sz="0" w:space="0" w:color="auto"/>
      </w:divBdr>
    </w:div>
    <w:div w:id="1239172928">
      <w:bodyDiv w:val="1"/>
      <w:marLeft w:val="0"/>
      <w:marRight w:val="0"/>
      <w:marTop w:val="0"/>
      <w:marBottom w:val="0"/>
      <w:divBdr>
        <w:top w:val="none" w:sz="0" w:space="0" w:color="auto"/>
        <w:left w:val="none" w:sz="0" w:space="0" w:color="auto"/>
        <w:bottom w:val="none" w:sz="0" w:space="0" w:color="auto"/>
        <w:right w:val="none" w:sz="0" w:space="0" w:color="auto"/>
      </w:divBdr>
    </w:div>
    <w:div w:id="1265652272">
      <w:bodyDiv w:val="1"/>
      <w:marLeft w:val="0"/>
      <w:marRight w:val="0"/>
      <w:marTop w:val="0"/>
      <w:marBottom w:val="0"/>
      <w:divBdr>
        <w:top w:val="none" w:sz="0" w:space="0" w:color="auto"/>
        <w:left w:val="none" w:sz="0" w:space="0" w:color="auto"/>
        <w:bottom w:val="none" w:sz="0" w:space="0" w:color="auto"/>
        <w:right w:val="none" w:sz="0" w:space="0" w:color="auto"/>
      </w:divBdr>
    </w:div>
    <w:div w:id="1287586603">
      <w:bodyDiv w:val="1"/>
      <w:marLeft w:val="0"/>
      <w:marRight w:val="0"/>
      <w:marTop w:val="0"/>
      <w:marBottom w:val="0"/>
      <w:divBdr>
        <w:top w:val="none" w:sz="0" w:space="0" w:color="auto"/>
        <w:left w:val="none" w:sz="0" w:space="0" w:color="auto"/>
        <w:bottom w:val="none" w:sz="0" w:space="0" w:color="auto"/>
        <w:right w:val="none" w:sz="0" w:space="0" w:color="auto"/>
      </w:divBdr>
    </w:div>
    <w:div w:id="1396733972">
      <w:bodyDiv w:val="1"/>
      <w:marLeft w:val="0"/>
      <w:marRight w:val="0"/>
      <w:marTop w:val="0"/>
      <w:marBottom w:val="0"/>
      <w:divBdr>
        <w:top w:val="none" w:sz="0" w:space="0" w:color="auto"/>
        <w:left w:val="none" w:sz="0" w:space="0" w:color="auto"/>
        <w:bottom w:val="none" w:sz="0" w:space="0" w:color="auto"/>
        <w:right w:val="none" w:sz="0" w:space="0" w:color="auto"/>
      </w:divBdr>
    </w:div>
    <w:div w:id="1413815022">
      <w:bodyDiv w:val="1"/>
      <w:marLeft w:val="0"/>
      <w:marRight w:val="0"/>
      <w:marTop w:val="0"/>
      <w:marBottom w:val="0"/>
      <w:divBdr>
        <w:top w:val="none" w:sz="0" w:space="0" w:color="auto"/>
        <w:left w:val="none" w:sz="0" w:space="0" w:color="auto"/>
        <w:bottom w:val="none" w:sz="0" w:space="0" w:color="auto"/>
        <w:right w:val="none" w:sz="0" w:space="0" w:color="auto"/>
      </w:divBdr>
      <w:divsChild>
        <w:div w:id="1362710489">
          <w:marLeft w:val="0"/>
          <w:marRight w:val="0"/>
          <w:marTop w:val="0"/>
          <w:marBottom w:val="0"/>
          <w:divBdr>
            <w:top w:val="none" w:sz="0" w:space="0" w:color="auto"/>
            <w:left w:val="none" w:sz="0" w:space="0" w:color="auto"/>
            <w:bottom w:val="none" w:sz="0" w:space="0" w:color="auto"/>
            <w:right w:val="none" w:sz="0" w:space="0" w:color="auto"/>
          </w:divBdr>
        </w:div>
      </w:divsChild>
    </w:div>
    <w:div w:id="1473060595">
      <w:bodyDiv w:val="1"/>
      <w:marLeft w:val="0"/>
      <w:marRight w:val="0"/>
      <w:marTop w:val="0"/>
      <w:marBottom w:val="0"/>
      <w:divBdr>
        <w:top w:val="none" w:sz="0" w:space="0" w:color="auto"/>
        <w:left w:val="none" w:sz="0" w:space="0" w:color="auto"/>
        <w:bottom w:val="none" w:sz="0" w:space="0" w:color="auto"/>
        <w:right w:val="none" w:sz="0" w:space="0" w:color="auto"/>
      </w:divBdr>
    </w:div>
    <w:div w:id="1560090172">
      <w:bodyDiv w:val="1"/>
      <w:marLeft w:val="0"/>
      <w:marRight w:val="0"/>
      <w:marTop w:val="0"/>
      <w:marBottom w:val="0"/>
      <w:divBdr>
        <w:top w:val="none" w:sz="0" w:space="0" w:color="auto"/>
        <w:left w:val="none" w:sz="0" w:space="0" w:color="auto"/>
        <w:bottom w:val="none" w:sz="0" w:space="0" w:color="auto"/>
        <w:right w:val="none" w:sz="0" w:space="0" w:color="auto"/>
      </w:divBdr>
    </w:div>
    <w:div w:id="1859346949">
      <w:bodyDiv w:val="1"/>
      <w:marLeft w:val="0"/>
      <w:marRight w:val="0"/>
      <w:marTop w:val="0"/>
      <w:marBottom w:val="0"/>
      <w:divBdr>
        <w:top w:val="none" w:sz="0" w:space="0" w:color="auto"/>
        <w:left w:val="none" w:sz="0" w:space="0" w:color="auto"/>
        <w:bottom w:val="none" w:sz="0" w:space="0" w:color="auto"/>
        <w:right w:val="none" w:sz="0" w:space="0" w:color="auto"/>
      </w:divBdr>
    </w:div>
    <w:div w:id="1911379112">
      <w:bodyDiv w:val="1"/>
      <w:marLeft w:val="0"/>
      <w:marRight w:val="0"/>
      <w:marTop w:val="0"/>
      <w:marBottom w:val="0"/>
      <w:divBdr>
        <w:top w:val="none" w:sz="0" w:space="0" w:color="auto"/>
        <w:left w:val="none" w:sz="0" w:space="0" w:color="auto"/>
        <w:bottom w:val="none" w:sz="0" w:space="0" w:color="auto"/>
        <w:right w:val="none" w:sz="0" w:space="0" w:color="auto"/>
      </w:divBdr>
      <w:divsChild>
        <w:div w:id="1014187703">
          <w:marLeft w:val="0"/>
          <w:marRight w:val="0"/>
          <w:marTop w:val="0"/>
          <w:marBottom w:val="0"/>
          <w:divBdr>
            <w:top w:val="none" w:sz="0" w:space="0" w:color="auto"/>
            <w:left w:val="none" w:sz="0" w:space="0" w:color="auto"/>
            <w:bottom w:val="none" w:sz="0" w:space="0" w:color="auto"/>
            <w:right w:val="none" w:sz="0" w:space="0" w:color="auto"/>
          </w:divBdr>
        </w:div>
      </w:divsChild>
    </w:div>
    <w:div w:id="1988823905">
      <w:bodyDiv w:val="1"/>
      <w:marLeft w:val="0"/>
      <w:marRight w:val="0"/>
      <w:marTop w:val="0"/>
      <w:marBottom w:val="0"/>
      <w:divBdr>
        <w:top w:val="none" w:sz="0" w:space="0" w:color="auto"/>
        <w:left w:val="none" w:sz="0" w:space="0" w:color="auto"/>
        <w:bottom w:val="none" w:sz="0" w:space="0" w:color="auto"/>
        <w:right w:val="none" w:sz="0" w:space="0" w:color="auto"/>
      </w:divBdr>
    </w:div>
    <w:div w:id="2138645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data-protection/guidance-staff-students-and-researchers/practical-data-protection-guidance-notices/personal-data" TargetMode="External"/><Relationship Id="rId18" Type="http://schemas.openxmlformats.org/officeDocument/2006/relationships/hyperlink" Target="https://www.ucl.ac.uk/human-resources/health-wellbeing/workplace-health/what-we-d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ucl.ac.uk/coronavirus/keeping-safe-campus/keeping-our-community-safe" TargetMode="External"/><Relationship Id="rId17" Type="http://schemas.openxmlformats.org/officeDocument/2006/relationships/hyperlink" Target="https://www.ucl.ac.uk/human-resources/health-wellbeing/workplace-health/what-we-do/manager-referrals-workplace-healt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human-resources/covid-19-having-conversation-your-staff-memb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staying-alert-and-safe-social-distancing/staying-alert-and-safe-social-distancing" TargetMode="External"/><Relationship Id="rId23" Type="http://schemas.openxmlformats.org/officeDocument/2006/relationships/footer" Target="footer2.xml"/><Relationship Id="rId10" Type="http://schemas.openxmlformats.org/officeDocument/2006/relationships/hyperlink" Target="https://www.ucl.ac.uk/coronavirus/keeping-safe-campus/getting-campus" TargetMode="External"/><Relationship Id="rId19" Type="http://schemas.openxmlformats.org/officeDocument/2006/relationships/hyperlink" Target="https://www.nhs.uk/conditions/coronavirus-covid-19/people-at-higher-risk/whos-at-higher-risk-from-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2376/COVID_stakeholder_engagement_synthesis_beyond_the_data.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83969BAA1A3A48A80E67237178A20E" ma:contentTypeVersion="13" ma:contentTypeDescription="Create a new document." ma:contentTypeScope="" ma:versionID="1b68d4fb7d5a1b55df1b08028751e6a9">
  <xsd:schema xmlns:xsd="http://www.w3.org/2001/XMLSchema" xmlns:xs="http://www.w3.org/2001/XMLSchema" xmlns:p="http://schemas.microsoft.com/office/2006/metadata/properties" xmlns:ns3="4e67bf7c-eae8-4d94-b636-878fa498a4d7" xmlns:ns4="926e1b8b-9d15-4f48-8786-e5b31e6d075a" targetNamespace="http://schemas.microsoft.com/office/2006/metadata/properties" ma:root="true" ma:fieldsID="f8781b705532c721460e627be74a1849" ns3:_="" ns4:_="">
    <xsd:import namespace="4e67bf7c-eae8-4d94-b636-878fa498a4d7"/>
    <xsd:import namespace="926e1b8b-9d15-4f48-8786-e5b31e6d07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bf7c-eae8-4d94-b636-878fa498a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e1b8b-9d15-4f48-8786-e5b31e6d07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B6246-8B93-45F4-B011-A2CD65B89712}">
  <ds:schemaRefs>
    <ds:schemaRef ds:uri="http://purl.org/dc/terms/"/>
    <ds:schemaRef ds:uri="http://purl.org/dc/elements/1.1/"/>
    <ds:schemaRef ds:uri="926e1b8b-9d15-4f48-8786-e5b31e6d075a"/>
    <ds:schemaRef ds:uri="http://schemas.microsoft.com/office/2006/documentManagement/types"/>
    <ds:schemaRef ds:uri="http://schemas.microsoft.com/office/2006/metadata/properties"/>
    <ds:schemaRef ds:uri="http://www.w3.org/XML/1998/namespace"/>
    <ds:schemaRef ds:uri="http://purl.org/dc/dcmitype/"/>
    <ds:schemaRef ds:uri="4e67bf7c-eae8-4d94-b636-878fa498a4d7"/>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1A67C6C-184A-44B9-970E-F55A076BC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bf7c-eae8-4d94-b636-878fa498a4d7"/>
    <ds:schemaRef ds:uri="926e1b8b-9d15-4f48-8786-e5b31e6d0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8389A-B753-4D11-BDBB-382F0091C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Liz Jackson</cp:lastModifiedBy>
  <cp:revision>9</cp:revision>
  <cp:lastPrinted>2020-06-09T15:30:00Z</cp:lastPrinted>
  <dcterms:created xsi:type="dcterms:W3CDTF">2020-09-15T09:28:00Z</dcterms:created>
  <dcterms:modified xsi:type="dcterms:W3CDTF">2020-11-02T09:35:00Z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0x0101005E83969BAA1A3A48A80E67237178A20E</vt:lpwstr>
  </property>
</Properties>
</file>