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B" w:rsidRPr="005F0207" w:rsidRDefault="005D342B" w:rsidP="005D342B">
      <w:pPr>
        <w:pStyle w:val="Heading1"/>
        <w:rPr>
          <w:rFonts w:ascii="Arial" w:hAnsi="Arial" w:cs="Arial"/>
          <w:b/>
          <w:color w:val="auto"/>
        </w:rPr>
      </w:pPr>
      <w:bookmarkStart w:id="0" w:name="_GoBack"/>
      <w:bookmarkEnd w:id="0"/>
      <w:r w:rsidRPr="005F0207">
        <w:rPr>
          <w:rFonts w:ascii="Arial" w:hAnsi="Arial" w:cs="Arial"/>
          <w:b/>
          <w:color w:val="auto"/>
        </w:rPr>
        <w:t>Setting Objectives</w:t>
      </w:r>
    </w:p>
    <w:p w:rsidR="005D342B" w:rsidRPr="005F0207" w:rsidRDefault="005D342B" w:rsidP="005D342B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What is an objective?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The process of setting and agreeing objectives during the probationary period is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important to ensure that expectations are clear, fair and consistent. The new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employee should understand what is expected of them and the behaviours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required, as well as how this will be measured. Managers should be aware of the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employee’s personal circumstances and training needs, and consider these when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setting achievable objectives.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It is necessary to differentiate between goals and objectives.</w:t>
      </w:r>
    </w:p>
    <w:p w:rsidR="005D342B" w:rsidRPr="005F0207" w:rsidRDefault="005D342B" w:rsidP="005D34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Goals refer to aspirations, purpose and vision. They may be long-term and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may involve others’ </w:t>
      </w:r>
      <w:r w:rsidRPr="005F0207">
        <w:rPr>
          <w:rFonts w:ascii="Arial" w:hAnsi="Arial" w:cs="Arial"/>
        </w:rPr>
        <w:t>a</w:t>
      </w:r>
      <w:r w:rsidRPr="005F0207">
        <w:rPr>
          <w:rFonts w:ascii="Arial" w:hAnsi="Arial" w:cs="Arial"/>
        </w:rPr>
        <w:t>ctions, which are outside the individual’s direct sphere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of influence or control.</w:t>
      </w:r>
    </w:p>
    <w:p w:rsidR="005D342B" w:rsidRPr="005F0207" w:rsidRDefault="005D342B" w:rsidP="005D34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Objectives are potential attainments of the individual that can be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realistically achieved by them by following a certain number of steps. These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should be SMART.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Objectives should focus on identifiable outcomes – what will achievement of the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objective look like? They may relate to key performance indicators (KPIs) or</w:t>
      </w:r>
      <w:r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Service Level Agreements (SLAs).</w:t>
      </w:r>
    </w:p>
    <w:p w:rsidR="005D342B" w:rsidRPr="005F0207" w:rsidRDefault="005D342B" w:rsidP="005F0207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Where should the objectives come from?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In probation, the principal objectives, including behavioural standards, will normally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be based on the core duties of the Job Description used to define the post for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appointment purposes. Additional objectives, based on changing needs or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personal (e.g. research or developmental) objectives may be agreed with the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employee.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UCLs’ Core Behaviours Framework should also be referred to in supporting an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individual’s personal and professional development. If the employee is in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professional services the </w:t>
      </w:r>
      <w:hyperlink r:id="rId5" w:history="1">
        <w:r w:rsidRPr="005F0207">
          <w:rPr>
            <w:rStyle w:val="Hyperlink"/>
            <w:rFonts w:ascii="Arial" w:hAnsi="Arial" w:cs="Arial"/>
            <w:color w:val="auto"/>
          </w:rPr>
          <w:t xml:space="preserve">UCL Ways of </w:t>
        </w:r>
        <w:proofErr w:type="gramStart"/>
        <w:r w:rsidRPr="005F0207">
          <w:rPr>
            <w:rStyle w:val="Hyperlink"/>
            <w:rFonts w:ascii="Arial" w:hAnsi="Arial" w:cs="Arial"/>
            <w:color w:val="auto"/>
          </w:rPr>
          <w:t>Working</w:t>
        </w:r>
        <w:proofErr w:type="gramEnd"/>
      </w:hyperlink>
      <w:r w:rsidRPr="005F0207">
        <w:rPr>
          <w:rFonts w:ascii="Arial" w:hAnsi="Arial" w:cs="Arial"/>
        </w:rPr>
        <w:t xml:space="preserve"> for professional services Steps to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Development (hyperlink) should be used to discuss objectives and development.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Consideration of how equality and diversity matters can be promoted within the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role should also be </w:t>
      </w:r>
      <w:r w:rsidR="005F0207" w:rsidRPr="005F0207">
        <w:rPr>
          <w:rFonts w:ascii="Arial" w:hAnsi="Arial" w:cs="Arial"/>
        </w:rPr>
        <w:t>embedded within the objectives.</w:t>
      </w:r>
    </w:p>
    <w:p w:rsidR="005D342B" w:rsidRPr="005F0207" w:rsidRDefault="005D342B" w:rsidP="005F0207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SMART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Probationary objectives should be based on the SMART acronym: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701"/>
        <w:gridCol w:w="1650"/>
      </w:tblGrid>
      <w:tr w:rsidR="005F0207" w:rsidRPr="005F0207" w:rsidTr="005F0207">
        <w:tc>
          <w:tcPr>
            <w:tcW w:w="1555" w:type="dxa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268" w:type="dxa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650" w:type="dxa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T</w:t>
            </w:r>
          </w:p>
        </w:tc>
      </w:tr>
      <w:tr w:rsidR="005F0207" w:rsidRPr="005F0207" w:rsidTr="005F0207">
        <w:tc>
          <w:tcPr>
            <w:tcW w:w="1555" w:type="dxa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Specific</w:t>
            </w:r>
          </w:p>
        </w:tc>
        <w:tc>
          <w:tcPr>
            <w:tcW w:w="1842" w:type="dxa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Measureable</w:t>
            </w:r>
          </w:p>
        </w:tc>
        <w:tc>
          <w:tcPr>
            <w:tcW w:w="2268" w:type="dxa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Achievable (and agreed)</w:t>
            </w:r>
          </w:p>
        </w:tc>
        <w:tc>
          <w:tcPr>
            <w:tcW w:w="1701" w:type="dxa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Relevant</w:t>
            </w:r>
          </w:p>
        </w:tc>
        <w:tc>
          <w:tcPr>
            <w:tcW w:w="1650" w:type="dxa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Time specific</w:t>
            </w:r>
          </w:p>
        </w:tc>
      </w:tr>
      <w:tr w:rsidR="005F0207" w:rsidRPr="005F0207" w:rsidTr="005F0207">
        <w:tc>
          <w:tcPr>
            <w:tcW w:w="1555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What exactly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needs to be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done, with, or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for</w:t>
            </w:r>
            <w:proofErr w:type="gramEnd"/>
            <w:r w:rsidRPr="005F0207">
              <w:rPr>
                <w:rFonts w:ascii="Arial" w:hAnsi="Arial" w:cs="Arial"/>
              </w:rPr>
              <w:t xml:space="preserve"> whom?</w:t>
            </w:r>
          </w:p>
        </w:tc>
        <w:tc>
          <w:tcPr>
            <w:tcW w:w="1842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Is it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measurable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and can the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employee and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manager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measure</w:t>
            </w:r>
            <w:proofErr w:type="gramEnd"/>
            <w:r w:rsidRPr="005F0207">
              <w:rPr>
                <w:rFonts w:ascii="Arial" w:hAnsi="Arial" w:cs="Arial"/>
              </w:rPr>
              <w:t xml:space="preserve"> it?</w:t>
            </w:r>
          </w:p>
        </w:tc>
        <w:tc>
          <w:tcPr>
            <w:tcW w:w="2268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Can it be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achieved in the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timeframe set,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with the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resources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available</w:t>
            </w:r>
            <w:proofErr w:type="gramEnd"/>
            <w:r w:rsidRPr="005F0207">
              <w:rPr>
                <w:rFonts w:ascii="Arial" w:hAnsi="Arial" w:cs="Arial"/>
              </w:rPr>
              <w:t>?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Is there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support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(managerially/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politically) for it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to</w:t>
            </w:r>
            <w:proofErr w:type="gramEnd"/>
            <w:r w:rsidRPr="005F0207">
              <w:rPr>
                <w:rFonts w:ascii="Arial" w:hAnsi="Arial" w:cs="Arial"/>
              </w:rPr>
              <w:t xml:space="preserve"> be done?</w:t>
            </w:r>
          </w:p>
        </w:tc>
        <w:tc>
          <w:tcPr>
            <w:tcW w:w="1701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Will this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objective lead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to the end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goal, i.e.</w:t>
            </w:r>
            <w:r w:rsidRPr="005F0207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confirmation of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 good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recruitment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decision</w:t>
            </w:r>
            <w:proofErr w:type="gramEnd"/>
            <w:r w:rsidRPr="005F0207">
              <w:rPr>
                <w:rFonts w:ascii="Arial" w:hAnsi="Arial" w:cs="Arial"/>
              </w:rPr>
              <w:t>?</w:t>
            </w:r>
          </w:p>
        </w:tc>
        <w:tc>
          <w:tcPr>
            <w:tcW w:w="1650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When will this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be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accomplished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/completed?</w:t>
            </w:r>
          </w:p>
        </w:tc>
      </w:tr>
    </w:tbl>
    <w:p w:rsidR="005F0207" w:rsidRPr="005F0207" w:rsidRDefault="005F0207" w:rsidP="005D342B">
      <w:pPr>
        <w:rPr>
          <w:rFonts w:ascii="Arial" w:hAnsi="Arial" w:cs="Arial"/>
        </w:rPr>
      </w:pP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There is no single correct way to write a SMART objective, but it is helpful to think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through some of the following tips: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lastRenderedPageBreak/>
        <w:t>Specific:</w:t>
      </w:r>
      <w:r w:rsidRPr="005F0207">
        <w:rPr>
          <w:rFonts w:ascii="Arial" w:hAnsi="Arial" w:cs="Arial"/>
        </w:rPr>
        <w:t xml:space="preserve"> Be concrete. Use ‘action’ verbs.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Measureable:</w:t>
      </w:r>
      <w:r w:rsidRPr="005F0207">
        <w:rPr>
          <w:rFonts w:ascii="Arial" w:hAnsi="Arial" w:cs="Arial"/>
        </w:rPr>
        <w:t xml:space="preserve"> May be numeric or descriptive of quantity, quality or cost. How will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you demonstrate that the objective has been met?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Achievable:</w:t>
      </w:r>
      <w:r w:rsidRPr="005F0207">
        <w:rPr>
          <w:rFonts w:ascii="Arial" w:hAnsi="Arial" w:cs="Arial"/>
        </w:rPr>
        <w:t xml:space="preserve"> The objective should be appropriately limited in scope and within the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employee's control and sphere of influence (it is better to split big objectives into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sub-objectives for clarity, especially if there are different deadlines, targets or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measures).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 xml:space="preserve">Relevant: </w:t>
      </w:r>
      <w:r w:rsidRPr="005F0207">
        <w:rPr>
          <w:rFonts w:ascii="Arial" w:hAnsi="Arial" w:cs="Arial"/>
        </w:rPr>
        <w:t>Measure outputs or results, not activities.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Time specific:</w:t>
      </w:r>
      <w:r w:rsidRPr="005F0207">
        <w:rPr>
          <w:rFonts w:ascii="Arial" w:hAnsi="Arial" w:cs="Arial"/>
        </w:rPr>
        <w:t xml:space="preserve"> Identify target dates, including interim milestones and plans to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monitor progress in line with the formal probationary meeting schedule.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The objectives should relate to the employee’s core duties, as the purpose of this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exercise is to be confident that the employee is capable of doing the job they have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been recruited to do. The SMART approach is a method for validating an objective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– it is not an objective itself! If the employee is in professional services the </w:t>
      </w:r>
      <w:hyperlink r:id="rId6" w:history="1">
        <w:r w:rsidRPr="005F0207">
          <w:rPr>
            <w:rStyle w:val="Hyperlink"/>
            <w:rFonts w:ascii="Arial" w:hAnsi="Arial" w:cs="Arial"/>
            <w:color w:val="auto"/>
          </w:rPr>
          <w:t>UCL</w:t>
        </w:r>
        <w:r w:rsidR="005F0207" w:rsidRPr="005F0207">
          <w:rPr>
            <w:rStyle w:val="Hyperlink"/>
            <w:rFonts w:ascii="Arial" w:hAnsi="Arial" w:cs="Arial"/>
            <w:color w:val="auto"/>
          </w:rPr>
          <w:t xml:space="preserve"> </w:t>
        </w:r>
        <w:r w:rsidRPr="005F0207">
          <w:rPr>
            <w:rStyle w:val="Hyperlink"/>
            <w:rFonts w:ascii="Arial" w:hAnsi="Arial" w:cs="Arial"/>
            <w:color w:val="auto"/>
          </w:rPr>
          <w:t>Ways of Working</w:t>
        </w:r>
      </w:hyperlink>
      <w:r w:rsidRPr="005F0207">
        <w:rPr>
          <w:rFonts w:ascii="Arial" w:hAnsi="Arial" w:cs="Arial"/>
        </w:rPr>
        <w:t xml:space="preserve"> for professional services should be referred to in discussing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objectives around how tasks should be approached and delivered from a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behavioural perspective</w:t>
      </w:r>
      <w:r w:rsidR="005F0207" w:rsidRPr="005F0207">
        <w:rPr>
          <w:rFonts w:ascii="Arial" w:hAnsi="Arial" w:cs="Arial"/>
        </w:rPr>
        <w:t>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Examples of a SMART objective could include:</w:t>
      </w:r>
    </w:p>
    <w:p w:rsidR="005D342B" w:rsidRPr="005F0207" w:rsidRDefault="005D342B" w:rsidP="005F02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To check and process purchase orders, supplier invoices, expenses and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interdepartmental transfers (IDTs) using </w:t>
      </w:r>
      <w:proofErr w:type="spellStart"/>
      <w:r w:rsidRPr="005F0207">
        <w:rPr>
          <w:rFonts w:ascii="Arial" w:hAnsi="Arial" w:cs="Arial"/>
        </w:rPr>
        <w:t>MyFinance</w:t>
      </w:r>
      <w:proofErr w:type="spellEnd"/>
      <w:r w:rsidRPr="005F0207">
        <w:rPr>
          <w:rFonts w:ascii="Arial" w:hAnsi="Arial" w:cs="Arial"/>
        </w:rPr>
        <w:t xml:space="preserve"> on a weekly basis.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Ensure accuracy of invoices against orders raised and chase queries in a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timely manner to facilitate 30 day supplier payment deadlines.</w:t>
      </w:r>
    </w:p>
    <w:p w:rsidR="005D342B" w:rsidRPr="005F0207" w:rsidRDefault="005D342B" w:rsidP="005F02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To design and deliver quarterly training courses on the European Computer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Driving License (ECDL), commencing in 6 months’ time. The course should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comprise of 7 modules and must be accredited and approved by the British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Computer Society.</w:t>
      </w:r>
    </w:p>
    <w:p w:rsidR="005D342B" w:rsidRPr="005F0207" w:rsidRDefault="005D342B" w:rsidP="005F02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To write and submit a proposal for a grant bid on X topic, aligned to the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Faculty’s strategic plans for delivery against UCL’s Grand Challenge on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Global Health by 30 September.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Objectives should be kept under review. Where circumstances change (e.g.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revised departmental priorities) you should revisit the objective to see if it is still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relevant and achievable within the timescales. If it is not, it should be updated,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removed or replaced, as appropriate.</w:t>
      </w:r>
    </w:p>
    <w:sectPr w:rsidR="005D342B" w:rsidRPr="005F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7991"/>
    <w:multiLevelType w:val="hybridMultilevel"/>
    <w:tmpl w:val="0878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0FC3"/>
    <w:multiLevelType w:val="hybridMultilevel"/>
    <w:tmpl w:val="A612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E"/>
    <w:rsid w:val="00017AB4"/>
    <w:rsid w:val="00030BAF"/>
    <w:rsid w:val="00080B30"/>
    <w:rsid w:val="00132DD0"/>
    <w:rsid w:val="00312943"/>
    <w:rsid w:val="003552E4"/>
    <w:rsid w:val="003E12EC"/>
    <w:rsid w:val="00500BDB"/>
    <w:rsid w:val="0054733E"/>
    <w:rsid w:val="005536E3"/>
    <w:rsid w:val="0055561E"/>
    <w:rsid w:val="005D342B"/>
    <w:rsid w:val="005E5A0B"/>
    <w:rsid w:val="005F0207"/>
    <w:rsid w:val="005F67E3"/>
    <w:rsid w:val="006034DC"/>
    <w:rsid w:val="006D2894"/>
    <w:rsid w:val="00957468"/>
    <w:rsid w:val="00997B7E"/>
    <w:rsid w:val="009B6CD5"/>
    <w:rsid w:val="00AE0126"/>
    <w:rsid w:val="00AF7D2D"/>
    <w:rsid w:val="00BD6A60"/>
    <w:rsid w:val="00C76968"/>
    <w:rsid w:val="00CA7633"/>
    <w:rsid w:val="00CE7083"/>
    <w:rsid w:val="00CE7680"/>
    <w:rsid w:val="00E01A8E"/>
    <w:rsid w:val="00F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0426"/>
  <w15:chartTrackingRefBased/>
  <w15:docId w15:val="{C81287E5-4323-4B2B-A8EA-AEB7A9D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2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l.ac.uk/ways-of-working" TargetMode="External"/><Relationship Id="rId5" Type="http://schemas.openxmlformats.org/officeDocument/2006/relationships/hyperlink" Target="https://www.ucl.ac.uk/ways-of-wo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713</Words>
  <Characters>4069</Characters>
  <Application>Microsoft Office Word</Application>
  <DocSecurity>0</DocSecurity>
  <Lines>33</Lines>
  <Paragraphs>9</Paragraphs>
  <ScaleCrop>false</ScaleCrop>
  <Company>University College London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Jaggs, Ayla</cp:lastModifiedBy>
  <cp:revision>4</cp:revision>
  <dcterms:created xsi:type="dcterms:W3CDTF">2021-02-05T16:41:00Z</dcterms:created>
  <dcterms:modified xsi:type="dcterms:W3CDTF">2021-02-05T16:51:00Z</dcterms:modified>
</cp:coreProperties>
</file>