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EE" w:rsidRPr="00C702A6" w:rsidRDefault="00185EEE" w:rsidP="00185EEE">
      <w:pPr>
        <w:rPr>
          <w:rFonts w:ascii="Arial" w:eastAsia="Times New Roman" w:hAnsi="Arial" w:cs="Arial"/>
          <w:b/>
          <w:bCs/>
          <w:color w:val="000000"/>
          <w:sz w:val="24"/>
          <w:szCs w:val="24"/>
          <w:lang w:eastAsia="en-GB"/>
        </w:rPr>
      </w:pPr>
      <w:r w:rsidRPr="00980A65">
        <w:rPr>
          <w:rFonts w:ascii="Arial" w:eastAsia="Times New Roman" w:hAnsi="Arial" w:cs="Arial"/>
          <w:b/>
          <w:bCs/>
          <w:color w:val="000000"/>
          <w:sz w:val="24"/>
          <w:szCs w:val="24"/>
          <w:lang w:eastAsia="en-GB"/>
        </w:rPr>
        <w:t>Definitions Table of Abbreviations used in Parental Leave</w:t>
      </w:r>
      <w:r w:rsidRPr="00C702A6">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               </w:t>
      </w:r>
      <w:r w:rsidRPr="00980A65">
        <w:rPr>
          <w:rFonts w:ascii="Arial" w:eastAsia="Times New Roman" w:hAnsi="Arial" w:cs="Arial"/>
          <w:b/>
          <w:bCs/>
          <w:color w:val="000000"/>
          <w:sz w:val="24"/>
          <w:szCs w:val="24"/>
          <w:lang w:eastAsia="en-GB"/>
        </w:rPr>
        <w:t>Appendix A</w:t>
      </w:r>
      <w:r>
        <w:rPr>
          <w:rFonts w:ascii="Arial" w:eastAsia="Times New Roman" w:hAnsi="Arial" w:cs="Arial"/>
          <w:b/>
          <w:bCs/>
          <w:color w:val="000000"/>
          <w:sz w:val="24"/>
          <w:szCs w:val="24"/>
          <w:lang w:eastAsia="en-GB"/>
        </w:rPr>
        <w:br/>
      </w:r>
      <w:r w:rsidRPr="00980A65">
        <w:rPr>
          <w:rFonts w:ascii="Arial" w:eastAsia="Times New Roman" w:hAnsi="Arial" w:cs="Arial"/>
          <w:b/>
          <w:bCs/>
          <w:color w:val="000000"/>
          <w:sz w:val="24"/>
          <w:szCs w:val="24"/>
          <w:lang w:eastAsia="en-GB"/>
        </w:rPr>
        <w:t xml:space="preserve">Policy and Procedure </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p>
    <w:tbl>
      <w:tblPr>
        <w:tblStyle w:val="TableGrid"/>
        <w:tblW w:w="0" w:type="auto"/>
        <w:tblLook w:val="04A0" w:firstRow="1" w:lastRow="0" w:firstColumn="1" w:lastColumn="0" w:noHBand="0" w:noVBand="1"/>
      </w:tblPr>
      <w:tblGrid>
        <w:gridCol w:w="647"/>
        <w:gridCol w:w="2231"/>
        <w:gridCol w:w="2916"/>
        <w:gridCol w:w="1721"/>
        <w:gridCol w:w="1501"/>
      </w:tblGrid>
      <w:tr w:rsidR="00185EEE" w:rsidRPr="005D205E" w:rsidTr="00077ED7">
        <w:trPr>
          <w:cantSplit/>
          <w:trHeight w:val="645"/>
          <w:tblHeader/>
        </w:trPr>
        <w:tc>
          <w:tcPr>
            <w:tcW w:w="647" w:type="dxa"/>
            <w:hideMark/>
          </w:tcPr>
          <w:p w:rsidR="00185EEE" w:rsidRPr="009A5E6C" w:rsidRDefault="00185EEE" w:rsidP="00077ED7">
            <w:pPr>
              <w:jc w:val="center"/>
              <w:rPr>
                <w:rFonts w:ascii="Arial" w:eastAsia="Times New Roman" w:hAnsi="Arial" w:cs="Arial"/>
                <w:b/>
                <w:color w:val="000000"/>
                <w:lang w:eastAsia="en-GB"/>
              </w:rPr>
            </w:pPr>
            <w:r w:rsidRPr="009A5E6C">
              <w:rPr>
                <w:rFonts w:ascii="Arial" w:eastAsia="Times New Roman" w:hAnsi="Arial" w:cs="Arial"/>
                <w:b/>
                <w:color w:val="000000"/>
                <w:lang w:eastAsia="en-GB"/>
              </w:rPr>
              <w:t>No.</w:t>
            </w:r>
          </w:p>
        </w:tc>
        <w:tc>
          <w:tcPr>
            <w:tcW w:w="2231" w:type="dxa"/>
            <w:hideMark/>
          </w:tcPr>
          <w:p w:rsidR="00185EEE" w:rsidRPr="009A5E6C" w:rsidRDefault="00185EEE" w:rsidP="00077ED7">
            <w:pPr>
              <w:jc w:val="center"/>
              <w:rPr>
                <w:rFonts w:ascii="Arial" w:eastAsia="Times New Roman" w:hAnsi="Arial" w:cs="Arial"/>
                <w:b/>
                <w:color w:val="000000"/>
                <w:lang w:eastAsia="en-GB"/>
              </w:rPr>
            </w:pPr>
            <w:r w:rsidRPr="009A5E6C">
              <w:rPr>
                <w:rFonts w:ascii="Arial" w:eastAsia="Times New Roman" w:hAnsi="Arial" w:cs="Arial"/>
                <w:b/>
                <w:color w:val="000000"/>
                <w:lang w:eastAsia="en-GB"/>
              </w:rPr>
              <w:t>Description</w:t>
            </w:r>
          </w:p>
        </w:tc>
        <w:tc>
          <w:tcPr>
            <w:tcW w:w="2916" w:type="dxa"/>
            <w:hideMark/>
          </w:tcPr>
          <w:p w:rsidR="00185EEE" w:rsidRPr="009A5E6C" w:rsidRDefault="00185EEE" w:rsidP="00077ED7">
            <w:pPr>
              <w:jc w:val="center"/>
              <w:rPr>
                <w:rFonts w:ascii="Arial" w:eastAsia="Times New Roman" w:hAnsi="Arial" w:cs="Arial"/>
                <w:b/>
                <w:color w:val="000000"/>
                <w:lang w:eastAsia="en-GB"/>
              </w:rPr>
            </w:pPr>
            <w:r w:rsidRPr="009A5E6C">
              <w:rPr>
                <w:rFonts w:ascii="Arial" w:eastAsia="Times New Roman" w:hAnsi="Arial" w:cs="Arial"/>
                <w:b/>
                <w:color w:val="000000"/>
                <w:lang w:eastAsia="en-GB"/>
              </w:rPr>
              <w:t>Definition</w:t>
            </w:r>
          </w:p>
        </w:tc>
        <w:tc>
          <w:tcPr>
            <w:tcW w:w="1721" w:type="dxa"/>
            <w:hideMark/>
          </w:tcPr>
          <w:p w:rsidR="00185EEE" w:rsidRPr="009A5E6C" w:rsidRDefault="00185EEE" w:rsidP="00077ED7">
            <w:pPr>
              <w:jc w:val="center"/>
              <w:rPr>
                <w:rFonts w:ascii="Arial" w:eastAsia="Times New Roman" w:hAnsi="Arial" w:cs="Arial"/>
                <w:b/>
                <w:color w:val="000000"/>
                <w:lang w:eastAsia="en-GB"/>
              </w:rPr>
            </w:pPr>
            <w:r w:rsidRPr="009A5E6C">
              <w:rPr>
                <w:rFonts w:ascii="Arial" w:eastAsia="Times New Roman" w:hAnsi="Arial" w:cs="Arial"/>
                <w:b/>
                <w:color w:val="000000"/>
                <w:lang w:eastAsia="en-GB"/>
              </w:rPr>
              <w:t>Duration (if applicable)</w:t>
            </w:r>
          </w:p>
        </w:tc>
        <w:tc>
          <w:tcPr>
            <w:tcW w:w="1501" w:type="dxa"/>
            <w:hideMark/>
          </w:tcPr>
          <w:p w:rsidR="00185EEE" w:rsidRPr="009A5E6C" w:rsidRDefault="00185EEE" w:rsidP="00077ED7">
            <w:pPr>
              <w:jc w:val="center"/>
              <w:rPr>
                <w:rFonts w:ascii="Arial" w:eastAsia="Times New Roman" w:hAnsi="Arial" w:cs="Arial"/>
                <w:b/>
                <w:color w:val="000000"/>
                <w:lang w:eastAsia="en-GB"/>
              </w:rPr>
            </w:pPr>
            <w:r w:rsidRPr="009A5E6C">
              <w:rPr>
                <w:rFonts w:ascii="Arial" w:eastAsia="Times New Roman" w:hAnsi="Arial" w:cs="Arial"/>
                <w:b/>
                <w:color w:val="000000"/>
                <w:lang w:eastAsia="en-GB"/>
              </w:rPr>
              <w:t>Length of Service Required (if applicable)</w:t>
            </w:r>
          </w:p>
        </w:tc>
      </w:tr>
      <w:tr w:rsidR="00185EEE" w:rsidRPr="005D205E" w:rsidTr="00077ED7">
        <w:trPr>
          <w:trHeight w:val="958"/>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Adoption Leave (AL)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Granted to those with primary caring responsibilities for a newly adopted child/children</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 xml:space="preserve">Up to 52 weeks </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cantSplit/>
          <w:trHeight w:val="1128"/>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2</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Average Weekly Earnings (AWE)</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Calculated by totalling the gross earnings in the relevant period and dividing by the number of weeks in that period</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832"/>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3</w:t>
            </w:r>
          </w:p>
        </w:tc>
        <w:tc>
          <w:tcPr>
            <w:tcW w:w="2231" w:type="dxa"/>
            <w:hideMark/>
          </w:tcPr>
          <w:p w:rsidR="00185EEE" w:rsidRPr="005D205E" w:rsidRDefault="00185EEE" w:rsidP="00077ED7">
            <w:pPr>
              <w:rPr>
                <w:rFonts w:ascii="Arial" w:eastAsia="Times New Roman" w:hAnsi="Arial" w:cs="Arial"/>
                <w:color w:val="000000"/>
                <w:lang w:eastAsia="en-GB"/>
              </w:rPr>
            </w:pPr>
            <w:r>
              <w:rPr>
                <w:rFonts w:ascii="Arial" w:eastAsia="Times New Roman" w:hAnsi="Arial" w:cs="Arial"/>
                <w:color w:val="000000"/>
                <w:lang w:eastAsia="en-GB"/>
              </w:rPr>
              <w:t>HR Services</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 xml:space="preserve">The </w:t>
            </w:r>
            <w:r w:rsidRPr="00726B6A">
              <w:rPr>
                <w:rFonts w:ascii="Arial" w:eastAsia="Times New Roman" w:hAnsi="Arial" w:cs="Arial"/>
                <w:color w:val="000000"/>
                <w:lang w:eastAsia="en-GB"/>
              </w:rPr>
              <w:t>HR t</w:t>
            </w:r>
            <w:r w:rsidRPr="005D205E">
              <w:rPr>
                <w:rFonts w:ascii="Arial" w:eastAsia="Times New Roman" w:hAnsi="Arial" w:cs="Arial"/>
                <w:color w:val="000000"/>
                <w:lang w:eastAsia="en-GB"/>
              </w:rPr>
              <w:t>eam that administers matters re</w:t>
            </w:r>
            <w:r w:rsidRPr="00726B6A">
              <w:rPr>
                <w:rFonts w:ascii="Arial" w:eastAsia="Times New Roman" w:hAnsi="Arial" w:cs="Arial"/>
                <w:color w:val="000000"/>
                <w:lang w:eastAsia="en-GB"/>
              </w:rPr>
              <w:t xml:space="preserve">lating to parental leave. </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844"/>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4</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Expected Week of Childbirth (EWC)</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The week beginning on the Sunday in which it is expected the baby will be born</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1693"/>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5</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Fertility Leave (FL)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Granted to females undergoing treatment for assisted conception, for the purpose of receiving and recovering from Intrauterine Insemination or In Vitro Fertilisation</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5 days in any 12 month period</w:t>
            </w:r>
            <w:r>
              <w:rPr>
                <w:rFonts w:ascii="Arial" w:eastAsia="Times New Roman" w:hAnsi="Arial" w:cs="Arial"/>
                <w:color w:val="000000"/>
                <w:lang w:eastAsia="en-GB"/>
              </w:rPr>
              <w:t xml:space="preserve"> (pro rata for part time employees)</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834"/>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6</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In Vitro Fertilisation (IVF)</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Female fertility treatment designed to promote successful pregnancy</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841"/>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7</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Intrauterine Insemination (IUI)</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Female fertility treatment designed to promote successful pregnancy</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227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8</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Keeping in Touch (KIT)</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Days during which an employee on ML</w:t>
            </w:r>
            <w:r>
              <w:rPr>
                <w:rFonts w:ascii="Arial" w:eastAsia="Times New Roman" w:hAnsi="Arial" w:cs="Arial"/>
                <w:color w:val="000000"/>
                <w:lang w:eastAsia="en-GB"/>
              </w:rPr>
              <w:t xml:space="preserve"> or</w:t>
            </w:r>
            <w:r w:rsidRPr="005D205E">
              <w:rPr>
                <w:rFonts w:ascii="Arial" w:eastAsia="Times New Roman" w:hAnsi="Arial" w:cs="Arial"/>
                <w:color w:val="000000"/>
                <w:lang w:eastAsia="en-GB"/>
              </w:rPr>
              <w:t xml:space="preserve"> AL can, with prior management approval, attend work, undertake training or keep in touch with work developments through other means, without bringing the leave period to an end</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10 days maximum</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1115"/>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9</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Maternity Leave (ML)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Granted to expectant mothers for the purpose of giving birth and caring for a newly born child/children</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 xml:space="preserve">A compulsory minimum of 2 and a maximum of 52 weeks </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915"/>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lastRenderedPageBreak/>
              <w:t>10</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Occupational Adoption Pay (OAP)</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A full pay enhancement to SAP and paid to staff on AL</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18 weeks (or 9 weeks full pay and 18 weeks half pay)</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885"/>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11</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Occupational Maternity Pay (OMP)</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An enhancement of SMP up to full pay and paid to staff ML</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18 weeks (or 9 weeks full pay and 18 weeks half pay)</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2225"/>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12</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Occupational Shared Parental Pay (OSPP)</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A full pay enhancement to SSPP, paid to staff opting to take ShPL</w:t>
            </w:r>
            <w:r w:rsidRPr="005D205E">
              <w:rPr>
                <w:rFonts w:ascii="Arial" w:eastAsia="Times New Roman" w:hAnsi="Arial" w:cs="Arial"/>
                <w:color w:val="000000"/>
                <w:lang w:eastAsia="en-GB"/>
              </w:rPr>
              <w:br/>
            </w:r>
            <w:r w:rsidRPr="005D205E">
              <w:rPr>
                <w:rFonts w:ascii="Arial" w:eastAsia="Times New Roman" w:hAnsi="Arial" w:cs="Arial"/>
                <w:color w:val="000000"/>
                <w:lang w:eastAsia="en-GB"/>
              </w:rPr>
              <w:br/>
              <w:t xml:space="preserve">Conditional upon advanced notice being given </w:t>
            </w:r>
            <w:proofErr w:type="spellStart"/>
            <w:r w:rsidRPr="005D205E">
              <w:rPr>
                <w:rFonts w:ascii="Arial" w:eastAsia="Times New Roman" w:hAnsi="Arial" w:cs="Arial"/>
                <w:color w:val="000000"/>
                <w:lang w:eastAsia="en-GB"/>
              </w:rPr>
              <w:t>and</w:t>
            </w:r>
            <w:proofErr w:type="spellEnd"/>
            <w:r w:rsidRPr="005D205E">
              <w:rPr>
                <w:rFonts w:ascii="Arial" w:eastAsia="Times New Roman" w:hAnsi="Arial" w:cs="Arial"/>
                <w:color w:val="000000"/>
                <w:lang w:eastAsia="en-GB"/>
              </w:rPr>
              <w:t xml:space="preserve"> agreement to the patterns of leave requested</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 xml:space="preserve">16 weeks maximum </w:t>
            </w:r>
            <w:r>
              <w:rPr>
                <w:rFonts w:ascii="Arial" w:eastAsia="Times New Roman" w:hAnsi="Arial" w:cs="Arial"/>
                <w:color w:val="000000"/>
                <w:lang w:eastAsia="en-GB"/>
              </w:rPr>
              <w:t>(18 weeks minus the 2 week compulsory Ml/AL period)</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1399"/>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13</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Ordinary Parental Leave (OPL)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Granted to staff with parental responsibility for a child under the age of 18</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18 weeks</w:t>
            </w:r>
            <w:r w:rsidRPr="005D205E">
              <w:rPr>
                <w:rFonts w:ascii="Arial" w:eastAsia="Times New Roman" w:hAnsi="Arial" w:cs="Arial"/>
                <w:color w:val="000000"/>
                <w:lang w:eastAsia="en-GB"/>
              </w:rPr>
              <w:br/>
            </w:r>
            <w:r w:rsidRPr="005D205E">
              <w:rPr>
                <w:rFonts w:ascii="Arial" w:eastAsia="Times New Roman" w:hAnsi="Arial" w:cs="Arial"/>
                <w:color w:val="000000"/>
                <w:lang w:eastAsia="en-GB"/>
              </w:rPr>
              <w:br/>
              <w:t>May be taken in one block or discontinuously</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1 year</w:t>
            </w:r>
          </w:p>
        </w:tc>
      </w:tr>
      <w:tr w:rsidR="00185EEE" w:rsidRPr="005D205E" w:rsidTr="00077ED7">
        <w:trPr>
          <w:trHeight w:val="210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14</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Paternity/Partner’s Leave (PL)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Granted to the partner of someone giving birth to or adopting a child</w:t>
            </w:r>
            <w:r w:rsidRPr="005D205E">
              <w:rPr>
                <w:rFonts w:ascii="Arial" w:eastAsia="Times New Roman" w:hAnsi="Arial" w:cs="Arial"/>
                <w:color w:val="000000"/>
                <w:lang w:eastAsia="en-GB"/>
              </w:rPr>
              <w:br/>
            </w:r>
            <w:r w:rsidRPr="005D205E">
              <w:rPr>
                <w:rFonts w:ascii="Arial" w:eastAsia="Times New Roman" w:hAnsi="Arial" w:cs="Arial"/>
                <w:color w:val="000000"/>
                <w:lang w:eastAsia="en-GB"/>
              </w:rPr>
              <w:br/>
              <w:t>Must be taken during the 6 month period spanning 3 months prior to the EWC/date of adoption and the subsequent 3 months</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4 wee</w:t>
            </w:r>
            <w:r>
              <w:rPr>
                <w:rFonts w:ascii="Arial" w:eastAsia="Times New Roman" w:hAnsi="Arial" w:cs="Arial"/>
                <w:color w:val="000000"/>
                <w:lang w:eastAsia="en-GB"/>
              </w:rPr>
              <w:t>ks (pro rata for part time employees</w:t>
            </w:r>
            <w:r w:rsidRPr="005D205E">
              <w:rPr>
                <w:rFonts w:ascii="Arial" w:eastAsia="Times New Roman" w:hAnsi="Arial" w:cs="Arial"/>
                <w:color w:val="000000"/>
                <w:lang w:eastAsia="en-GB"/>
              </w:rPr>
              <w:t xml:space="preserve">) </w:t>
            </w:r>
            <w:r w:rsidRPr="005D205E">
              <w:rPr>
                <w:rFonts w:ascii="Arial" w:eastAsia="Times New Roman" w:hAnsi="Arial" w:cs="Arial"/>
                <w:color w:val="000000"/>
                <w:lang w:eastAsia="en-GB"/>
              </w:rPr>
              <w:br/>
            </w:r>
            <w:r w:rsidRPr="005D205E">
              <w:rPr>
                <w:rFonts w:ascii="Arial" w:eastAsia="Times New Roman" w:hAnsi="Arial" w:cs="Arial"/>
                <w:color w:val="000000"/>
                <w:lang w:eastAsia="en-GB"/>
              </w:rPr>
              <w:br/>
              <w:t>May be taken in one block or discontinuously</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90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15</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Period of Leave Notice (PLN)</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The notice issued to an employer by someone specifying the dates on which they wish to take ShPL</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120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16</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Sabbatical Leave (SaL)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A period of leave without teaching commitments and available to research active academic staff returning from ML, AL</w:t>
            </w:r>
            <w:r>
              <w:rPr>
                <w:rFonts w:ascii="Arial" w:eastAsia="Times New Roman" w:hAnsi="Arial" w:cs="Arial"/>
                <w:color w:val="000000"/>
                <w:lang w:eastAsia="en-GB"/>
              </w:rPr>
              <w:t xml:space="preserve"> or</w:t>
            </w:r>
            <w:r w:rsidRPr="005D205E">
              <w:rPr>
                <w:rFonts w:ascii="Arial" w:eastAsia="Times New Roman" w:hAnsi="Arial" w:cs="Arial"/>
                <w:color w:val="000000"/>
                <w:lang w:eastAsia="en-GB"/>
              </w:rPr>
              <w:t xml:space="preserve"> ShPL</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1 term</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3 years</w:t>
            </w:r>
          </w:p>
        </w:tc>
      </w:tr>
      <w:tr w:rsidR="00185EEE" w:rsidRPr="005D205E" w:rsidTr="00077ED7">
        <w:trPr>
          <w:cantSplit/>
          <w:trHeight w:val="150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lastRenderedPageBreak/>
              <w:t>17</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Shared Parental Leave (ShPL)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The conversion of a mother’s/primary adopter’s entitlement to ML/AL, to be shared by both parents, for the purposes of caring for newly born/adopted children</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50 weeks (for biological mother and partner)</w:t>
            </w:r>
            <w:r w:rsidRPr="005D205E">
              <w:rPr>
                <w:rFonts w:ascii="Arial" w:eastAsia="Times New Roman" w:hAnsi="Arial" w:cs="Arial"/>
                <w:color w:val="000000"/>
                <w:lang w:eastAsia="en-GB"/>
              </w:rPr>
              <w:br/>
            </w:r>
            <w:r w:rsidRPr="005D205E">
              <w:rPr>
                <w:rFonts w:ascii="Arial" w:eastAsia="Times New Roman" w:hAnsi="Arial" w:cs="Arial"/>
                <w:color w:val="000000"/>
                <w:lang w:eastAsia="en-GB"/>
              </w:rPr>
              <w:br/>
              <w:t>Up to 52 weeks (in cases of adoption)</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trHeight w:val="300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18</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Shared Parental Leave in Touch (SPLIT)</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Days during which an employee on ShPL can, with prior management approval, attend work, undertake training or keep in touch with work developments through other means, without bringing the leave period to an end</w:t>
            </w:r>
            <w:r w:rsidRPr="005D205E">
              <w:rPr>
                <w:rFonts w:ascii="Arial" w:eastAsia="Times New Roman" w:hAnsi="Arial" w:cs="Arial"/>
                <w:color w:val="000000"/>
                <w:lang w:eastAsia="en-GB"/>
              </w:rPr>
              <w:br/>
            </w:r>
            <w:r w:rsidRPr="005D205E">
              <w:rPr>
                <w:rFonts w:ascii="Arial" w:eastAsia="Times New Roman" w:hAnsi="Arial" w:cs="Arial"/>
                <w:color w:val="000000"/>
                <w:lang w:eastAsia="en-GB"/>
              </w:rPr>
              <w:br/>
              <w:t>SPLIT days may be taken in addition to KIT days</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20 days maximum</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r w:rsidR="00185EEE" w:rsidRPr="005D205E" w:rsidTr="00077ED7">
        <w:trPr>
          <w:cantSplit/>
          <w:trHeight w:val="186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19</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Statutory Adoption Pay (SAP)</w:t>
            </w:r>
          </w:p>
        </w:tc>
        <w:tc>
          <w:tcPr>
            <w:tcW w:w="2916" w:type="dxa"/>
            <w:hideMark/>
          </w:tcPr>
          <w:p w:rsidR="00185EEE" w:rsidRPr="009434A2" w:rsidRDefault="00185EEE" w:rsidP="00077ED7">
            <w:pPr>
              <w:rPr>
                <w:rFonts w:ascii="Arial" w:eastAsia="Times New Roman" w:hAnsi="Arial" w:cs="Arial"/>
                <w:lang w:eastAsia="en-GB"/>
              </w:rPr>
            </w:pPr>
            <w:hyperlink r:id="rId4" w:history="1">
              <w:r w:rsidRPr="009434A2">
                <w:rPr>
                  <w:rFonts w:ascii="Arial" w:eastAsia="Times New Roman" w:hAnsi="Arial" w:cs="Arial"/>
                  <w:lang w:eastAsia="en-GB"/>
                </w:rPr>
                <w:t>Paid for the first 6 weeks and is equivalent to 90% of AWE. For the next 33 weeks is equivalent to the lower of 90% of AWE or the published weekly SAP level</w:t>
              </w:r>
            </w:hyperlink>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39 weeks</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26 weeks service by the week the employee is matched with the</w:t>
            </w:r>
            <w:r>
              <w:rPr>
                <w:rFonts w:ascii="Arial" w:eastAsia="Times New Roman" w:hAnsi="Arial" w:cs="Arial"/>
                <w:color w:val="000000"/>
                <w:lang w:eastAsia="en-GB"/>
              </w:rPr>
              <w:t xml:space="preserve"> </w:t>
            </w:r>
            <w:r w:rsidRPr="005D205E">
              <w:rPr>
                <w:rFonts w:ascii="Arial" w:eastAsia="Times New Roman" w:hAnsi="Arial" w:cs="Arial"/>
                <w:color w:val="000000"/>
                <w:lang w:eastAsia="en-GB"/>
              </w:rPr>
              <w:t>adopted child/children</w:t>
            </w:r>
          </w:p>
        </w:tc>
      </w:tr>
      <w:tr w:rsidR="00185EEE" w:rsidRPr="005D205E" w:rsidTr="00077ED7">
        <w:trPr>
          <w:trHeight w:val="416"/>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20</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Statutory Maternity Pay (SMP)</w:t>
            </w:r>
          </w:p>
        </w:tc>
        <w:tc>
          <w:tcPr>
            <w:tcW w:w="2916" w:type="dxa"/>
            <w:hideMark/>
          </w:tcPr>
          <w:p w:rsidR="00185EEE" w:rsidRPr="009434A2" w:rsidRDefault="00185EEE" w:rsidP="00077ED7">
            <w:pPr>
              <w:rPr>
                <w:rFonts w:ascii="Arial" w:eastAsia="Times New Roman" w:hAnsi="Arial" w:cs="Arial"/>
                <w:lang w:eastAsia="en-GB"/>
              </w:rPr>
            </w:pPr>
            <w:hyperlink r:id="rId5" w:history="1">
              <w:r w:rsidRPr="009434A2">
                <w:rPr>
                  <w:rFonts w:ascii="Arial" w:eastAsia="Times New Roman" w:hAnsi="Arial" w:cs="Arial"/>
                  <w:lang w:eastAsia="en-GB"/>
                </w:rPr>
                <w:t xml:space="preserve">Paid for the first 6 weeks and is equivalent to 90% AWE. For the next 33 weeks is equivalent to the lower of 90% of AWE or the published weekly SMP level, determined by central government </w:t>
              </w:r>
              <w:r w:rsidRPr="009434A2">
                <w:rPr>
                  <w:rFonts w:ascii="Arial" w:eastAsia="Times New Roman" w:hAnsi="Arial" w:cs="Arial"/>
                  <w:lang w:eastAsia="en-GB"/>
                </w:rPr>
                <w:br/>
              </w:r>
              <w:r w:rsidRPr="009434A2">
                <w:rPr>
                  <w:rFonts w:ascii="Arial" w:eastAsia="Times New Roman" w:hAnsi="Arial" w:cs="Arial"/>
                  <w:lang w:eastAsia="en-GB"/>
                </w:rPr>
                <w:br/>
                <w:t>Calculated prior to the deduction of tax and national insurance contributions</w:t>
              </w:r>
              <w:r w:rsidRPr="009434A2">
                <w:rPr>
                  <w:rFonts w:ascii="Arial" w:eastAsia="Times New Roman" w:hAnsi="Arial" w:cs="Arial"/>
                  <w:lang w:eastAsia="en-GB"/>
                </w:rPr>
                <w:br/>
              </w:r>
            </w:hyperlink>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39 weeks</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26 weeks service by the 15th week before EWC</w:t>
            </w:r>
          </w:p>
        </w:tc>
      </w:tr>
      <w:tr w:rsidR="00185EEE" w:rsidRPr="005D205E" w:rsidTr="00077ED7">
        <w:trPr>
          <w:cantSplit/>
          <w:trHeight w:val="1500"/>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lastRenderedPageBreak/>
              <w:t>21</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Statutory Shared Parental Pay (SSPP)</w:t>
            </w:r>
          </w:p>
        </w:tc>
        <w:tc>
          <w:tcPr>
            <w:tcW w:w="2916" w:type="dxa"/>
            <w:hideMark/>
          </w:tcPr>
          <w:p w:rsidR="00185EEE" w:rsidRPr="009434A2" w:rsidRDefault="00185EEE" w:rsidP="00077ED7">
            <w:pPr>
              <w:rPr>
                <w:rFonts w:ascii="Arial" w:eastAsia="Times New Roman" w:hAnsi="Arial" w:cs="Arial"/>
                <w:lang w:eastAsia="en-GB"/>
              </w:rPr>
            </w:pPr>
            <w:hyperlink r:id="rId6" w:history="1">
              <w:r w:rsidRPr="009434A2">
                <w:rPr>
                  <w:rFonts w:ascii="Arial" w:eastAsia="Times New Roman" w:hAnsi="Arial" w:cs="Arial"/>
                  <w:lang w:eastAsia="en-GB"/>
                </w:rPr>
                <w:t>Granted to staff opting to take ShPL</w:t>
              </w:r>
              <w:r w:rsidRPr="009434A2">
                <w:rPr>
                  <w:rFonts w:ascii="Arial" w:eastAsia="Times New Roman" w:hAnsi="Arial" w:cs="Arial"/>
                  <w:lang w:eastAsia="en-GB"/>
                </w:rPr>
                <w:br/>
              </w:r>
              <w:r w:rsidRPr="009434A2">
                <w:rPr>
                  <w:rFonts w:ascii="Arial" w:eastAsia="Times New Roman" w:hAnsi="Arial" w:cs="Arial"/>
                  <w:lang w:eastAsia="en-GB"/>
                </w:rPr>
                <w:br/>
                <w:t>Equivalent to the lower of 90% of AWE or the published weekly SSPP level</w:t>
              </w:r>
              <w:r w:rsidRPr="009434A2">
                <w:rPr>
                  <w:rFonts w:ascii="Arial" w:eastAsia="Times New Roman" w:hAnsi="Arial" w:cs="Arial"/>
                  <w:lang w:eastAsia="en-GB"/>
                </w:rPr>
                <w:br/>
              </w:r>
            </w:hyperlink>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37 weeks</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26 weeks service by the EWC or week the employee is matched with the adopted child/children</w:t>
            </w:r>
          </w:p>
        </w:tc>
      </w:tr>
      <w:tr w:rsidR="00185EEE" w:rsidRPr="005D205E" w:rsidTr="00077ED7">
        <w:trPr>
          <w:trHeight w:val="1099"/>
        </w:trPr>
        <w:tc>
          <w:tcPr>
            <w:tcW w:w="647" w:type="dxa"/>
            <w:hideMark/>
          </w:tcPr>
          <w:p w:rsidR="00185EEE" w:rsidRPr="005D205E" w:rsidRDefault="00185EEE" w:rsidP="00077ED7">
            <w:pPr>
              <w:rPr>
                <w:rFonts w:ascii="Arial" w:eastAsia="Times New Roman" w:hAnsi="Arial" w:cs="Arial"/>
                <w:b/>
                <w:bCs/>
                <w:color w:val="000000"/>
                <w:lang w:eastAsia="en-GB"/>
              </w:rPr>
            </w:pPr>
            <w:r>
              <w:rPr>
                <w:rFonts w:ascii="Arial" w:eastAsia="Times New Roman" w:hAnsi="Arial" w:cs="Arial"/>
                <w:b/>
                <w:bCs/>
                <w:color w:val="000000"/>
                <w:lang w:eastAsia="en-GB"/>
              </w:rPr>
              <w:t>22</w:t>
            </w:r>
          </w:p>
        </w:tc>
        <w:tc>
          <w:tcPr>
            <w:tcW w:w="223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Surrogacy Leave (SuL)</w:t>
            </w:r>
          </w:p>
        </w:tc>
        <w:tc>
          <w:tcPr>
            <w:tcW w:w="2916"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Unpaid time off for the intended parents in a surrogacy arrangement to attend antenatal appointments</w:t>
            </w:r>
          </w:p>
        </w:tc>
        <w:tc>
          <w:tcPr>
            <w:tcW w:w="172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Up to 2 appointments</w:t>
            </w:r>
          </w:p>
        </w:tc>
        <w:tc>
          <w:tcPr>
            <w:tcW w:w="1501" w:type="dxa"/>
            <w:hideMark/>
          </w:tcPr>
          <w:p w:rsidR="00185EEE" w:rsidRPr="005D205E" w:rsidRDefault="00185EEE" w:rsidP="00077ED7">
            <w:pPr>
              <w:rPr>
                <w:rFonts w:ascii="Arial" w:eastAsia="Times New Roman" w:hAnsi="Arial" w:cs="Arial"/>
                <w:color w:val="000000"/>
                <w:lang w:eastAsia="en-GB"/>
              </w:rPr>
            </w:pPr>
            <w:r w:rsidRPr="005D205E">
              <w:rPr>
                <w:rFonts w:ascii="Arial" w:eastAsia="Times New Roman" w:hAnsi="Arial" w:cs="Arial"/>
                <w:color w:val="000000"/>
                <w:lang w:eastAsia="en-GB"/>
              </w:rPr>
              <w:t>n/a</w:t>
            </w:r>
          </w:p>
        </w:tc>
      </w:tr>
    </w:tbl>
    <w:p w:rsidR="00185EEE" w:rsidRDefault="00185EEE" w:rsidP="00185EEE"/>
    <w:p w:rsidR="00185EEE" w:rsidRDefault="00185EEE" w:rsidP="00185EEE">
      <w:pPr>
        <w:rPr>
          <w:rFonts w:ascii="Arial" w:hAnsi="Arial"/>
          <w:b/>
        </w:rPr>
      </w:pPr>
    </w:p>
    <w:p w:rsidR="00185EEE" w:rsidRPr="006D25E9" w:rsidRDefault="00185EEE" w:rsidP="00185EEE">
      <w:pPr>
        <w:spacing w:before="100" w:beforeAutospacing="1" w:after="100" w:afterAutospacing="1" w:line="240" w:lineRule="auto"/>
        <w:rPr>
          <w:rFonts w:ascii="Arial" w:eastAsia="Times New Roman" w:hAnsi="Arial" w:cs="Arial"/>
          <w:sz w:val="24"/>
          <w:szCs w:val="24"/>
          <w:lang w:eastAsia="en-GB"/>
        </w:rPr>
      </w:pPr>
    </w:p>
    <w:p w:rsidR="00185EEE" w:rsidRDefault="00185EEE" w:rsidP="00185EEE">
      <w:bookmarkStart w:id="0" w:name="_GoBack"/>
      <w:bookmarkEnd w:id="0"/>
    </w:p>
    <w:p w:rsidR="00EE4A17" w:rsidRDefault="00185EEE"/>
    <w:sectPr w:rsidR="00EE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EE"/>
    <w:rsid w:val="00185EEE"/>
    <w:rsid w:val="00222666"/>
    <w:rsid w:val="00C7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13F8D-2BA9-4ED2-84F0-168875CF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shared-parental-leave-and-pay-employer-guide/overview" TargetMode="External"/><Relationship Id="rId5" Type="http://schemas.openxmlformats.org/officeDocument/2006/relationships/hyperlink" Target="https://www.gov.uk/employers-maternity-pay-leave/entitlement" TargetMode="External"/><Relationship Id="rId4" Type="http://schemas.openxmlformats.org/officeDocument/2006/relationships/hyperlink" Target="https://www.gov.uk/employers-adoption-pay-leave/enti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Howard</dc:creator>
  <cp:keywords/>
  <dc:description/>
  <cp:lastModifiedBy>Anne-Marie Howard</cp:lastModifiedBy>
  <cp:revision>1</cp:revision>
  <dcterms:created xsi:type="dcterms:W3CDTF">2019-04-11T13:33:00Z</dcterms:created>
  <dcterms:modified xsi:type="dcterms:W3CDTF">2019-04-11T13:34:00Z</dcterms:modified>
</cp:coreProperties>
</file>