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5B0" w:rsidRDefault="00B475B0" w:rsidP="00B475B0">
      <w:pPr>
        <w:pStyle w:val="Title"/>
      </w:pPr>
      <w:r>
        <w:t xml:space="preserve">Return to campus external route – </w:t>
      </w:r>
      <w:r w:rsidR="00990CBF">
        <w:t>Blue route</w:t>
      </w:r>
    </w:p>
    <w:p w:rsidR="00990CBF" w:rsidRPr="00990CBF" w:rsidRDefault="00990CBF" w:rsidP="00990CBF">
      <w:r>
        <w:t xml:space="preserve">The main entrance to the blue route is via the Gordon Street Gate Entrance. Buildings that can be accessed from the blue route include; Andrew Huxley Building, Anechoic Room, Bernard Katz Building, Henry Morley Building, MRC Building, Medawar Building and South Wing. Buildings that can be accessed straight from the street include; 16-18 Gordon Square, 19 Gordon Square, 20 Gordon Square, 21 Gordon Square, 22 Gordon Square, 24, Gordon Square, 25 Gordon Square and 26 Gordon Square. Please note all the Gordon Square Houses have stepped entrance and so step free access will need to be discussed with the department. </w:t>
      </w:r>
      <w:r w:rsidR="00DA24EB">
        <w:t xml:space="preserve">The </w:t>
      </w:r>
      <w:hyperlink r:id="rId4" w:history="1">
        <w:r w:rsidR="00DA24EB" w:rsidRPr="00DA24EB">
          <w:rPr>
            <w:rStyle w:val="Hyperlink"/>
          </w:rPr>
          <w:t>what3words address</w:t>
        </w:r>
      </w:hyperlink>
      <w:r w:rsidR="00DA24EB">
        <w:t xml:space="preserve"> for this gate is </w:t>
      </w:r>
      <w:r w:rsidR="00DA24EB" w:rsidRPr="00DA24EB">
        <w:t>zones.renew.post</w:t>
      </w:r>
      <w:r w:rsidR="00DA24EB">
        <w:t>.</w:t>
      </w:r>
      <w:bookmarkStart w:id="0" w:name="_GoBack"/>
      <w:bookmarkEnd w:id="0"/>
    </w:p>
    <w:p w:rsidR="00B475B0" w:rsidRDefault="00B475B0" w:rsidP="00B475B0">
      <w:r>
        <w:rPr>
          <w:noProof/>
        </w:rPr>
        <w:drawing>
          <wp:inline distT="0" distB="0" distL="0" distR="0">
            <wp:extent cx="1940400" cy="1454400"/>
            <wp:effectExtent l="0" t="4762" r="0" b="0"/>
            <wp:docPr id="1" name="Picture 1" descr="view from Gordon Street between Gordon Street hoses and Student Centre looking towards Bernard Katz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820_112745.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940400" cy="1454400"/>
                    </a:xfrm>
                    <a:prstGeom prst="rect">
                      <a:avLst/>
                    </a:prstGeom>
                  </pic:spPr>
                </pic:pic>
              </a:graphicData>
            </a:graphic>
          </wp:inline>
        </w:drawing>
      </w:r>
      <w:r>
        <w:t xml:space="preserve"> View from Gor</w:t>
      </w:r>
      <w:r w:rsidR="00E32DBF">
        <w:t>don Street between Gordon Square</w:t>
      </w:r>
      <w:r>
        <w:t xml:space="preserve"> Houses and Student Centre looking towards Bernard Katz Building. Entry to left, exit to right. </w:t>
      </w:r>
    </w:p>
    <w:p w:rsidR="00B475B0" w:rsidRDefault="00B475B0" w:rsidP="00B475B0">
      <w:r>
        <w:rPr>
          <w:noProof/>
        </w:rPr>
        <w:drawing>
          <wp:inline distT="0" distB="0" distL="0" distR="0">
            <wp:extent cx="2109600" cy="1584000"/>
            <wp:effectExtent l="0" t="3810" r="1270" b="1270"/>
            <wp:docPr id="2" name="Picture 2" descr="image of arrows that appear on the paving along this ro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820_112751 (1).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109600" cy="1584000"/>
                    </a:xfrm>
                    <a:prstGeom prst="rect">
                      <a:avLst/>
                    </a:prstGeom>
                  </pic:spPr>
                </pic:pic>
              </a:graphicData>
            </a:graphic>
          </wp:inline>
        </w:drawing>
      </w:r>
      <w:r>
        <w:t xml:space="preserve"> </w:t>
      </w:r>
      <w:r w:rsidR="00F02AFC">
        <w:t>Image</w:t>
      </w:r>
      <w:r>
        <w:t xml:space="preserve"> of arrows that appear on paving along this route. </w:t>
      </w:r>
    </w:p>
    <w:p w:rsidR="00F02AFC" w:rsidRDefault="00F02AFC" w:rsidP="00B475B0">
      <w:r>
        <w:rPr>
          <w:noProof/>
        </w:rPr>
        <w:drawing>
          <wp:inline distT="0" distB="0" distL="0" distR="0">
            <wp:extent cx="2084400" cy="1562400"/>
            <wp:effectExtent l="0" t="5715" r="5715" b="5715"/>
            <wp:docPr id="3" name="Picture 3" descr="image from bottom of slope between Gordon St Houses and Student Centre  looking towards turning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820_11280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t xml:space="preserve"> Image from b</w:t>
      </w:r>
      <w:r w:rsidR="00E32DBF">
        <w:t>ottom of slope between Gordon Square</w:t>
      </w:r>
      <w:r>
        <w:t xml:space="preserve"> Houses and the Student Centre looking towards the running circle, with Bernard Katz building on the right. </w:t>
      </w:r>
    </w:p>
    <w:p w:rsidR="00F02AFC" w:rsidRDefault="00BC1C33" w:rsidP="00B475B0">
      <w:r>
        <w:rPr>
          <w:noProof/>
        </w:rPr>
        <w:lastRenderedPageBreak/>
        <w:drawing>
          <wp:inline distT="0" distB="0" distL="0" distR="0">
            <wp:extent cx="2084400" cy="1562400"/>
            <wp:effectExtent l="0" t="5715" r="5715" b="5715"/>
            <wp:docPr id="4" name="Picture 4" descr="Image from bottom of slope between Gordon St houses and Student Centre looking towards turning circle with back of Gordon Street houses on left o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820_11281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F02AFC">
        <w:t xml:space="preserve"> </w:t>
      </w:r>
      <w:r>
        <w:t>Image from b</w:t>
      </w:r>
      <w:r w:rsidR="00E32DBF">
        <w:t>ottom of slope between Gordon Square</w:t>
      </w:r>
      <w:r>
        <w:t xml:space="preserve"> houses and Student Centre looking towards turning c</w:t>
      </w:r>
      <w:r w:rsidR="00E32DBF">
        <w:t>ircle with back of Gordon Square</w:t>
      </w:r>
      <w:r>
        <w:t xml:space="preserve"> houses on left of image. </w:t>
      </w:r>
      <w:r w:rsidR="00DD44EA">
        <w:t xml:space="preserve">To access </w:t>
      </w:r>
      <w:r w:rsidR="00E45D71">
        <w:t xml:space="preserve">Gordon Square Houses, </w:t>
      </w:r>
      <w:r w:rsidR="00DD44EA">
        <w:t xml:space="preserve">Henry Morley or Medawar please take the route along the back of Gordon Square Houses. </w:t>
      </w:r>
    </w:p>
    <w:p w:rsidR="00BC1C33" w:rsidRDefault="00BC1C33" w:rsidP="00B475B0">
      <w:r>
        <w:rPr>
          <w:noProof/>
        </w:rPr>
        <w:drawing>
          <wp:inline distT="0" distB="0" distL="0" distR="0">
            <wp:extent cx="2084400" cy="1562400"/>
            <wp:effectExtent l="0" t="5715" r="5715" b="5715"/>
            <wp:docPr id="5" name="Picture 5" descr="Image of turning circle between Bernard Katz building and MRC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820_112833 (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t xml:space="preserve"> Image of turning circle between Bernard Katz building and MRC building. </w:t>
      </w:r>
    </w:p>
    <w:p w:rsidR="00BC1C33" w:rsidRDefault="00BC1C33" w:rsidP="00B475B0">
      <w:r>
        <w:rPr>
          <w:noProof/>
        </w:rPr>
        <w:drawing>
          <wp:inline distT="0" distB="0" distL="0" distR="0">
            <wp:extent cx="2084400" cy="1562400"/>
            <wp:effectExtent l="0" t="5715" r="5715" b="5715"/>
            <wp:docPr id="6" name="Picture 6" descr="Image from corner of Bernard Katz building looking towards the print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820_11294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324DE5">
        <w:t xml:space="preserve"> Image from corner of Bernard Katz building looking towards the print café.</w:t>
      </w:r>
    </w:p>
    <w:p w:rsidR="00A253EB" w:rsidRDefault="00A253EB" w:rsidP="00B475B0">
      <w:r>
        <w:rPr>
          <w:noProof/>
        </w:rPr>
        <w:lastRenderedPageBreak/>
        <w:drawing>
          <wp:inline distT="0" distB="0" distL="0" distR="0">
            <wp:extent cx="2084400" cy="1562400"/>
            <wp:effectExtent l="0" t="5715" r="5715" b="5715"/>
            <wp:docPr id="8" name="Picture 8" descr="Image looking from between Andrew Huxley Building and South Junction looking towards South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820_11311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324DE5">
        <w:t xml:space="preserve"> Image looking from between Andrew Huxley Building and South Junction looking towards South Quad.</w:t>
      </w:r>
      <w:r w:rsidR="00DD44EA">
        <w:t xml:space="preserve"> To move between the blue and green zo</w:t>
      </w:r>
      <w:r w:rsidR="00802950">
        <w:t>nes you can enter the south junction</w:t>
      </w:r>
      <w:r w:rsidR="00DD44EA">
        <w:t xml:space="preserve"> and follow the one way route through there to access the green zone. </w:t>
      </w:r>
    </w:p>
    <w:p w:rsidR="00A253EB" w:rsidRDefault="00A253EB" w:rsidP="00B475B0">
      <w:r>
        <w:rPr>
          <w:noProof/>
        </w:rPr>
        <w:drawing>
          <wp:inline distT="0" distB="0" distL="0" distR="0">
            <wp:extent cx="2084400" cy="1562400"/>
            <wp:effectExtent l="0" t="5715" r="5715" b="5715"/>
            <wp:docPr id="9" name="Picture 9" descr="Image from Print room café looking towards Medical Sciences Building, showing tunnel into Malet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820_11312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324DE5">
        <w:t xml:space="preserve"> Image from Print room café looking towards Medical Sciences Building, showing tunnel into Malet Place.</w:t>
      </w:r>
      <w:r w:rsidR="00D8506E">
        <w:t xml:space="preserve"> This is where you can move between the Blue and red route although it is encouraged that you enter via the street gate assigned to the building you wish to visit where possible. </w:t>
      </w:r>
    </w:p>
    <w:p w:rsidR="00A253EB" w:rsidRDefault="00A253EB" w:rsidP="00B475B0">
      <w:r>
        <w:rPr>
          <w:noProof/>
        </w:rPr>
        <w:drawing>
          <wp:inline distT="0" distB="0" distL="0" distR="0">
            <wp:extent cx="2084400" cy="1562400"/>
            <wp:effectExtent l="0" t="5715" r="5715" b="5715"/>
            <wp:docPr id="10" name="Picture 10" descr="Image of tunnel under Medical Science building leading into Malet Place. Note barriers splitting route in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820_11321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84400" cy="1562400"/>
                    </a:xfrm>
                    <a:prstGeom prst="rect">
                      <a:avLst/>
                    </a:prstGeom>
                  </pic:spPr>
                </pic:pic>
              </a:graphicData>
            </a:graphic>
          </wp:inline>
        </w:drawing>
      </w:r>
      <w:r w:rsidR="00324DE5">
        <w:t xml:space="preserve"> Image of tunnel under Medical Science building leading into Malet Place. Note barriers splitting route in two.</w:t>
      </w:r>
    </w:p>
    <w:sectPr w:rsidR="00A253EB" w:rsidSect="00F02AF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5B0"/>
    <w:rsid w:val="001A43D8"/>
    <w:rsid w:val="00324DE5"/>
    <w:rsid w:val="005A344E"/>
    <w:rsid w:val="006A76AE"/>
    <w:rsid w:val="00802950"/>
    <w:rsid w:val="00990CBF"/>
    <w:rsid w:val="009A287A"/>
    <w:rsid w:val="00A253EB"/>
    <w:rsid w:val="00B475B0"/>
    <w:rsid w:val="00BA22EB"/>
    <w:rsid w:val="00BC1C33"/>
    <w:rsid w:val="00D8506E"/>
    <w:rsid w:val="00DA24EB"/>
    <w:rsid w:val="00DD44EA"/>
    <w:rsid w:val="00E32DBF"/>
    <w:rsid w:val="00E45D71"/>
    <w:rsid w:val="00F02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E8B54"/>
  <w15:chartTrackingRefBased/>
  <w15:docId w15:val="{7A3070C1-9B35-4391-8B57-23EDDFE66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5B0"/>
    <w:pPr>
      <w:spacing w:after="240" w:line="240" w:lineRule="auto"/>
    </w:pPr>
    <w:rPr>
      <w:rFonts w:ascii="Arial" w:hAnsi="Arial"/>
      <w:sz w:val="24"/>
      <w:lang w:eastAsia="en-GB"/>
    </w:rPr>
  </w:style>
  <w:style w:type="paragraph" w:styleId="Heading1">
    <w:name w:val="heading 1"/>
    <w:basedOn w:val="Normal"/>
    <w:next w:val="Normal"/>
    <w:link w:val="Heading1Char"/>
    <w:uiPriority w:val="9"/>
    <w:qFormat/>
    <w:rsid w:val="009A287A"/>
    <w:pPr>
      <w:keepNext/>
      <w:keepLines/>
      <w:outlineLvl w:val="0"/>
    </w:pPr>
    <w:rPr>
      <w:rFonts w:eastAsiaTheme="majorEastAsia" w:cstheme="majorBidi"/>
      <w:b/>
      <w:bCs/>
      <w:color w:val="365F91" w:themeColor="accent1" w:themeShade="BF"/>
      <w:szCs w:val="28"/>
    </w:rPr>
  </w:style>
  <w:style w:type="paragraph" w:styleId="Heading2">
    <w:name w:val="heading 2"/>
    <w:basedOn w:val="Normal"/>
    <w:next w:val="Normal"/>
    <w:link w:val="Heading2Char"/>
    <w:uiPriority w:val="9"/>
    <w:unhideWhenUsed/>
    <w:qFormat/>
    <w:rsid w:val="009A28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287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287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87A"/>
    <w:rPr>
      <w:rFonts w:ascii="Arial" w:eastAsiaTheme="majorEastAsia" w:hAnsi="Arial" w:cstheme="majorBidi"/>
      <w:b/>
      <w:bCs/>
      <w:color w:val="365F91" w:themeColor="accent1" w:themeShade="BF"/>
      <w:sz w:val="24"/>
      <w:szCs w:val="28"/>
      <w:lang w:eastAsia="en-GB"/>
    </w:rPr>
  </w:style>
  <w:style w:type="character" w:customStyle="1" w:styleId="Heading2Char">
    <w:name w:val="Heading 2 Char"/>
    <w:basedOn w:val="DefaultParagraphFont"/>
    <w:link w:val="Heading2"/>
    <w:uiPriority w:val="9"/>
    <w:rsid w:val="009A287A"/>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9A287A"/>
    <w:rPr>
      <w:rFonts w:asciiTheme="majorHAnsi" w:eastAsiaTheme="majorEastAsia" w:hAnsiTheme="majorHAnsi" w:cstheme="majorBidi"/>
      <w:b/>
      <w:bCs/>
      <w:color w:val="4F81BD" w:themeColor="accent1"/>
      <w:lang w:eastAsia="en-GB"/>
    </w:rPr>
  </w:style>
  <w:style w:type="character" w:customStyle="1" w:styleId="Heading4Char">
    <w:name w:val="Heading 4 Char"/>
    <w:basedOn w:val="DefaultParagraphFont"/>
    <w:link w:val="Heading4"/>
    <w:uiPriority w:val="9"/>
    <w:semiHidden/>
    <w:rsid w:val="009A287A"/>
    <w:rPr>
      <w:rFonts w:asciiTheme="majorHAnsi" w:eastAsiaTheme="majorEastAsia" w:hAnsiTheme="majorHAnsi" w:cstheme="majorBidi"/>
      <w:b/>
      <w:bCs/>
      <w:i/>
      <w:iCs/>
      <w:color w:val="4F81BD" w:themeColor="accent1"/>
      <w:lang w:eastAsia="en-GB"/>
    </w:rPr>
  </w:style>
  <w:style w:type="paragraph" w:styleId="ListParagraph">
    <w:name w:val="List Paragraph"/>
    <w:basedOn w:val="Normal"/>
    <w:uiPriority w:val="34"/>
    <w:qFormat/>
    <w:rsid w:val="009A287A"/>
    <w:pPr>
      <w:ind w:left="720"/>
      <w:contextualSpacing/>
    </w:pPr>
    <w:rPr>
      <w:rFonts w:eastAsia="Times New Roman" w:cs="Times New Roman"/>
    </w:rPr>
  </w:style>
  <w:style w:type="paragraph" w:styleId="TOCHeading">
    <w:name w:val="TOC Heading"/>
    <w:basedOn w:val="Heading1"/>
    <w:next w:val="Normal"/>
    <w:uiPriority w:val="39"/>
    <w:unhideWhenUsed/>
    <w:qFormat/>
    <w:rsid w:val="009A287A"/>
    <w:pPr>
      <w:spacing w:line="276" w:lineRule="auto"/>
      <w:outlineLvl w:val="9"/>
    </w:pPr>
    <w:rPr>
      <w:lang w:val="en-US" w:eastAsia="ja-JP"/>
    </w:rPr>
  </w:style>
  <w:style w:type="paragraph" w:styleId="Title">
    <w:name w:val="Title"/>
    <w:basedOn w:val="Normal"/>
    <w:next w:val="Normal"/>
    <w:link w:val="TitleChar"/>
    <w:uiPriority w:val="10"/>
    <w:qFormat/>
    <w:rsid w:val="00B475B0"/>
    <w:pPr>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B475B0"/>
    <w:rPr>
      <w:rFonts w:ascii="Arial" w:eastAsiaTheme="majorEastAsia" w:hAnsi="Arial" w:cstheme="majorBidi"/>
      <w:b/>
      <w:spacing w:val="-10"/>
      <w:kern w:val="28"/>
      <w:sz w:val="48"/>
      <w:szCs w:val="56"/>
      <w:lang w:eastAsia="en-GB"/>
    </w:rPr>
  </w:style>
  <w:style w:type="character" w:styleId="Hyperlink">
    <w:name w:val="Hyperlink"/>
    <w:basedOn w:val="DefaultParagraphFont"/>
    <w:uiPriority w:val="99"/>
    <w:unhideWhenUsed/>
    <w:rsid w:val="00DA24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s://what3words.com/how-to-use-the-what3words-app/"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 Jackson</dc:creator>
  <cp:keywords/>
  <dc:description/>
  <cp:lastModifiedBy>Pip Jackson</cp:lastModifiedBy>
  <cp:revision>4</cp:revision>
  <dcterms:created xsi:type="dcterms:W3CDTF">2020-09-15T11:00:00Z</dcterms:created>
  <dcterms:modified xsi:type="dcterms:W3CDTF">2020-09-21T08:00:00Z</dcterms:modified>
</cp:coreProperties>
</file>