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610D" w14:textId="0B1CEB0E" w:rsidR="00BE5150" w:rsidRPr="00E94240" w:rsidRDefault="00B22930" w:rsidP="00B22930">
      <w:pPr>
        <w:pStyle w:val="Heading1"/>
        <w:rPr>
          <w:rFonts w:ascii="Arial" w:hAnsi="Arial" w:cs="Arial"/>
        </w:rPr>
      </w:pPr>
      <w:r w:rsidRPr="00E94240">
        <w:rPr>
          <w:rFonts w:ascii="Arial" w:hAnsi="Arial" w:cs="Arial"/>
        </w:rPr>
        <w:t xml:space="preserve">Reasonable adjustments flowchart </w:t>
      </w:r>
      <w:r w:rsidR="00E94240">
        <w:rPr>
          <w:rFonts w:ascii="Arial" w:hAnsi="Arial" w:cs="Arial"/>
        </w:rPr>
        <w:t>(alt-text version)</w:t>
      </w:r>
    </w:p>
    <w:p w14:paraId="23EA321A" w14:textId="77777777" w:rsidR="00B22930" w:rsidRPr="00E94240" w:rsidRDefault="00B22930" w:rsidP="00B22930">
      <w:pPr>
        <w:rPr>
          <w:rFonts w:ascii="Arial" w:hAnsi="Arial" w:cs="Arial"/>
        </w:rPr>
      </w:pPr>
    </w:p>
    <w:p w14:paraId="526F7CEB" w14:textId="1343A095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>Individual declares that they have a disability or possible requirement for a reasonable adjustment (or this is identified through an Occupational Health report), or existing needs have changed.</w:t>
      </w:r>
    </w:p>
    <w:p w14:paraId="18342A91" w14:textId="4EE1E7FC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Conversation initiated between individual and line manager to ascertain needs. Use the </w:t>
      </w:r>
      <w:hyperlink r:id="rId5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Adjustments Passport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facilitate this discussion and record any agreed or interim adjustments.</w:t>
      </w:r>
    </w:p>
    <w:p w14:paraId="42D8D1F4" w14:textId="44B852B3" w:rsidR="00B22930" w:rsidRPr="00E94240" w:rsidRDefault="00B22930" w:rsidP="00B2293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Line manager to identify if any further sources of support or assessments are needed, in discussion with employee. If no, move straight to bullet point </w:t>
      </w:r>
      <w:r w:rsidR="00E94240" w:rsidRPr="00E94240">
        <w:rPr>
          <w:rFonts w:ascii="Arial" w:hAnsi="Arial" w:cs="Arial"/>
          <w:sz w:val="24"/>
          <w:szCs w:val="24"/>
          <w14:ligatures w14:val="none"/>
        </w:rPr>
        <w:t>4</w:t>
      </w:r>
      <w:r w:rsidRPr="00E94240">
        <w:rPr>
          <w:rFonts w:ascii="Arial" w:hAnsi="Arial" w:cs="Arial"/>
          <w:sz w:val="24"/>
          <w:szCs w:val="24"/>
          <w14:ligatures w14:val="none"/>
        </w:rPr>
        <w:t>.</w:t>
      </w:r>
    </w:p>
    <w:p w14:paraId="60E91AA4" w14:textId="77777777" w:rsidR="00B22930" w:rsidRPr="00E94240" w:rsidRDefault="00B22930" w:rsidP="00B22930">
      <w:pPr>
        <w:widowControl w:val="0"/>
        <w:rPr>
          <w:rFonts w:ascii="Arial" w:hAnsi="Arial" w:cs="Arial"/>
          <w14:ligatures w14:val="none"/>
        </w:rPr>
      </w:pPr>
    </w:p>
    <w:p w14:paraId="3FB3E161" w14:textId="340D0CBE" w:rsidR="00B22930" w:rsidRPr="00E94240" w:rsidRDefault="00B22930" w:rsidP="00B22930">
      <w:pPr>
        <w:pStyle w:val="Heading2"/>
        <w:rPr>
          <w:rFonts w:ascii="Arial" w:hAnsi="Arial" w:cs="Arial"/>
        </w:rPr>
      </w:pPr>
      <w:r w:rsidRPr="00E94240">
        <w:rPr>
          <w:rFonts w:ascii="Arial" w:hAnsi="Arial" w:cs="Arial"/>
        </w:rPr>
        <w:t>If yes</w:t>
      </w:r>
    </w:p>
    <w:p w14:paraId="79CC9EE1" w14:textId="7BC1C49D" w:rsidR="00B22930" w:rsidRPr="00E94240" w:rsidRDefault="00854457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854457">
        <w:rPr>
          <w:rFonts w:ascii="Arial" w:hAnsi="Arial" w:cs="Arial"/>
          <w:sz w:val="24"/>
          <w:szCs w:val="24"/>
          <w14:ligatures w14:val="none"/>
        </w:rPr>
        <w:t xml:space="preserve">If required, organise a </w:t>
      </w:r>
      <w:hyperlink r:id="rId6" w:history="1">
        <w:r w:rsidRPr="00854457">
          <w:rPr>
            <w:rStyle w:val="Hyperlink"/>
            <w:rFonts w:ascii="Arial" w:hAnsi="Arial" w:cs="Arial"/>
            <w:sz w:val="24"/>
            <w:szCs w:val="24"/>
            <w14:ligatures w14:val="none"/>
          </w:rPr>
          <w:t>Workplace Health referral</w:t>
        </w:r>
      </w:hyperlink>
      <w:r w:rsidRPr="00854457">
        <w:rPr>
          <w:rFonts w:ascii="Arial" w:hAnsi="Arial" w:cs="Arial"/>
          <w:sz w:val="24"/>
          <w:szCs w:val="24"/>
          <w14:ligatures w14:val="none"/>
        </w:rPr>
        <w:t>.</w:t>
      </w:r>
      <w:r>
        <w:rPr>
          <w:rFonts w:ascii="Arial" w:hAnsi="Arial" w:cs="Arial"/>
          <w:sz w:val="24"/>
          <w:szCs w:val="24"/>
          <w14:ligatures w14:val="none"/>
        </w:rPr>
        <w:t xml:space="preserve"> </w:t>
      </w:r>
      <w:r w:rsidR="00B22930" w:rsidRPr="00E94240">
        <w:rPr>
          <w:rFonts w:ascii="Arial" w:hAnsi="Arial" w:cs="Arial"/>
          <w:sz w:val="24"/>
          <w:szCs w:val="24"/>
          <w14:ligatures w14:val="none"/>
        </w:rPr>
        <w:t>Report with suggested reasonable adjustments sent to both the Line Manager, HRBP and employee.</w:t>
      </w:r>
    </w:p>
    <w:p w14:paraId="4BBA4A39" w14:textId="7777777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possible/diagnosed neurodivergent  conditions, organise a </w:t>
      </w:r>
      <w:hyperlink r:id="rId7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screening and/or Workplace Needs Assessment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via the EDI team.</w:t>
      </w:r>
    </w:p>
    <w:p w14:paraId="2BF978E2" w14:textId="348ACBD4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>Report with recommended reasonable adjustments sent back to the employee, who should share with line manager.</w:t>
      </w:r>
    </w:p>
    <w:p w14:paraId="5A7F8933" w14:textId="08EC205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any digital/technology requirements, contact the </w:t>
      </w:r>
      <w:hyperlink r:id="rId8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Digital Accessibility Team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>.</w:t>
      </w:r>
    </w:p>
    <w:p w14:paraId="27221750" w14:textId="77777777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If the employee has a mobility impairment or sensory disability, organise a </w:t>
      </w:r>
      <w:hyperlink r:id="rId9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PEEP (Personal Emergency Evacuation Plan)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in case of emergency evacuation from the building.</w:t>
      </w:r>
    </w:p>
    <w:p w14:paraId="172FA458" w14:textId="3999EBE1" w:rsidR="00B22930" w:rsidRPr="00E94240" w:rsidRDefault="00B22930" w:rsidP="00B22930">
      <w:pPr>
        <w:pStyle w:val="ListParagraph"/>
        <w:widowControl w:val="0"/>
        <w:numPr>
          <w:ilvl w:val="0"/>
          <w:numId w:val="3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For all of the above, consider how to </w:t>
      </w:r>
      <w:hyperlink r:id="rId10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fund the adjustments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. For any adjustments costing over £1,000, employee is required to submit </w:t>
      </w:r>
      <w:hyperlink r:id="rId11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Access to Work Application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to DWP. New staff should apply to Access to Work within the first 6 weeks of </w:t>
      </w:r>
      <w:proofErr w:type="gramStart"/>
      <w:r w:rsidRPr="00E94240">
        <w:rPr>
          <w:rFonts w:ascii="Arial" w:hAnsi="Arial" w:cs="Arial"/>
          <w:sz w:val="24"/>
          <w:szCs w:val="24"/>
          <w14:ligatures w14:val="none"/>
        </w:rPr>
        <w:t>employment</w:t>
      </w:r>
      <w:proofErr w:type="gramEnd"/>
      <w:r w:rsidRPr="00E94240">
        <w:rPr>
          <w:rFonts w:ascii="Arial" w:hAnsi="Arial" w:cs="Arial"/>
          <w:sz w:val="24"/>
          <w:szCs w:val="24"/>
          <w14:ligatures w14:val="none"/>
        </w:rPr>
        <w:t xml:space="preserve"> so all costs are met.</w:t>
      </w:r>
    </w:p>
    <w:p w14:paraId="504D85A3" w14:textId="77777777" w:rsidR="00B22930" w:rsidRPr="00E94240" w:rsidRDefault="00B22930" w:rsidP="00B22930">
      <w:pPr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3410A608" w14:textId="460178DC" w:rsidR="00B22930" w:rsidRPr="00E94240" w:rsidRDefault="00B22930" w:rsidP="00E94240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Line manager to agree adjustments with employee and record in the Adjustments Passport. Employee to add Adjustments Passport to their </w:t>
      </w:r>
      <w:proofErr w:type="spellStart"/>
      <w:r w:rsidRPr="00E94240">
        <w:rPr>
          <w:rFonts w:ascii="Arial" w:hAnsi="Arial" w:cs="Arial"/>
          <w:sz w:val="24"/>
          <w:szCs w:val="24"/>
          <w14:ligatures w14:val="none"/>
        </w:rPr>
        <w:t>MyHR</w:t>
      </w:r>
      <w:proofErr w:type="spellEnd"/>
      <w:r w:rsidRPr="00E94240">
        <w:rPr>
          <w:rFonts w:ascii="Arial" w:hAnsi="Arial" w:cs="Arial"/>
          <w:sz w:val="24"/>
          <w:szCs w:val="24"/>
          <w14:ligatures w14:val="none"/>
        </w:rPr>
        <w:t xml:space="preserve"> record.</w:t>
      </w:r>
      <w:r w:rsidR="00E94240" w:rsidRPr="00E94240">
        <w:rPr>
          <w:rFonts w:ascii="Arial" w:hAnsi="Arial" w:cs="Arial"/>
          <w:sz w:val="24"/>
          <w:szCs w:val="24"/>
          <w14:ligatures w14:val="none"/>
        </w:rPr>
        <w:t xml:space="preserve"> If no further </w:t>
      </w:r>
      <w:r w:rsidR="00E94240">
        <w:rPr>
          <w:rFonts w:ascii="Arial" w:hAnsi="Arial" w:cs="Arial"/>
          <w:sz w:val="24"/>
          <w:szCs w:val="24"/>
          <w14:ligatures w14:val="none"/>
        </w:rPr>
        <w:t>advice</w:t>
      </w:r>
      <w:r w:rsidR="00E94240" w:rsidRPr="00E94240">
        <w:rPr>
          <w:rFonts w:ascii="Arial" w:hAnsi="Arial" w:cs="Arial"/>
          <w:sz w:val="24"/>
          <w:szCs w:val="24"/>
          <w14:ligatures w14:val="none"/>
        </w:rPr>
        <w:t xml:space="preserve"> is needed, move straight to point 5.</w:t>
      </w:r>
    </w:p>
    <w:p w14:paraId="149BDE92" w14:textId="77777777" w:rsidR="00E94240" w:rsidRPr="00E94240" w:rsidRDefault="00E94240" w:rsidP="00E94240">
      <w:pPr>
        <w:pStyle w:val="Heading3"/>
        <w:rPr>
          <w:rFonts w:ascii="Arial" w:hAnsi="Arial" w:cs="Arial"/>
        </w:rPr>
      </w:pPr>
    </w:p>
    <w:p w14:paraId="1A0FA00F" w14:textId="1E610657" w:rsidR="00E94240" w:rsidRPr="00E94240" w:rsidRDefault="00E94240" w:rsidP="00E94240">
      <w:pPr>
        <w:pStyle w:val="Heading3"/>
        <w:rPr>
          <w:rFonts w:ascii="Arial" w:hAnsi="Arial" w:cs="Arial"/>
        </w:rPr>
      </w:pPr>
      <w:r w:rsidRPr="00E94240">
        <w:rPr>
          <w:rFonts w:ascii="Arial" w:hAnsi="Arial" w:cs="Arial"/>
        </w:rPr>
        <w:t>If further advice is needed</w:t>
      </w:r>
    </w:p>
    <w:p w14:paraId="5CDDB31F" w14:textId="3C093D9A" w:rsidR="00E94240" w:rsidRPr="00E94240" w:rsidRDefault="00E94240" w:rsidP="00E94240">
      <w:pPr>
        <w:pStyle w:val="ListParagraph"/>
        <w:widowControl w:val="0"/>
        <w:numPr>
          <w:ilvl w:val="0"/>
          <w:numId w:val="8"/>
        </w:numPr>
        <w:rPr>
          <w:rFonts w:ascii="Arial" w:hAnsi="Arial" w:cs="Arial"/>
          <w:sz w:val="24"/>
          <w:szCs w:val="24"/>
          <w14:ligatures w14:val="none"/>
        </w:rPr>
      </w:pPr>
      <w:r w:rsidRPr="00E94240">
        <w:rPr>
          <w:rFonts w:ascii="Arial" w:hAnsi="Arial" w:cs="Arial"/>
          <w:sz w:val="24"/>
          <w:szCs w:val="24"/>
          <w14:ligatures w14:val="none"/>
        </w:rPr>
        <w:t xml:space="preserve">If requested adjustments cannot be made for employee, line manager to contact their </w:t>
      </w:r>
      <w:hyperlink r:id="rId12" w:history="1">
        <w:r w:rsidRPr="00E94240">
          <w:rPr>
            <w:rStyle w:val="Hyperlink"/>
            <w:rFonts w:ascii="Arial" w:hAnsi="Arial" w:cs="Arial"/>
            <w:sz w:val="24"/>
            <w:szCs w:val="24"/>
            <w14:ligatures w14:val="none"/>
          </w:rPr>
          <w:t>HRBP</w:t>
        </w:r>
      </w:hyperlink>
      <w:r w:rsidRPr="00E94240">
        <w:rPr>
          <w:rFonts w:ascii="Arial" w:hAnsi="Arial" w:cs="Arial"/>
          <w:sz w:val="24"/>
          <w:szCs w:val="24"/>
          <w14:ligatures w14:val="none"/>
        </w:rPr>
        <w:t xml:space="preserve"> for further advice.</w:t>
      </w:r>
    </w:p>
    <w:p w14:paraId="7CA5BC94" w14:textId="77777777" w:rsidR="00B22930" w:rsidRPr="00E94240" w:rsidRDefault="00B22930" w:rsidP="00B22930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2D1E1638" w14:textId="77777777" w:rsidR="00B22930" w:rsidRPr="00E94240" w:rsidRDefault="00B22930" w:rsidP="00B22930">
      <w:pPr>
        <w:pStyle w:val="ListParagraph"/>
        <w:widowControl w:val="0"/>
        <w:rPr>
          <w:rFonts w:ascii="Arial" w:hAnsi="Arial" w:cs="Arial"/>
          <w:sz w:val="24"/>
          <w:szCs w:val="24"/>
          <w14:ligatures w14:val="none"/>
        </w:rPr>
      </w:pPr>
    </w:p>
    <w:p w14:paraId="7594E5EC" w14:textId="696FA693" w:rsidR="00B22930" w:rsidRPr="00E94240" w:rsidRDefault="00E94240" w:rsidP="00E9424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4240">
        <w:rPr>
          <w:rFonts w:ascii="Arial" w:hAnsi="Arial" w:cs="Arial"/>
          <w:sz w:val="24"/>
          <w:szCs w:val="24"/>
        </w:rPr>
        <w:t>Line manager to regularly check with employee that reasonable adjustments in place are still effective and sufficient.</w:t>
      </w:r>
    </w:p>
    <w:sectPr w:rsidR="00B22930" w:rsidRPr="00E94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331"/>
    <w:multiLevelType w:val="hybridMultilevel"/>
    <w:tmpl w:val="D694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088F"/>
    <w:multiLevelType w:val="hybridMultilevel"/>
    <w:tmpl w:val="0568E07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6C7707"/>
    <w:multiLevelType w:val="hybridMultilevel"/>
    <w:tmpl w:val="7DCEB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A5EA7"/>
    <w:multiLevelType w:val="hybridMultilevel"/>
    <w:tmpl w:val="53929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D23DE"/>
    <w:multiLevelType w:val="hybridMultilevel"/>
    <w:tmpl w:val="74461CEE"/>
    <w:lvl w:ilvl="0" w:tplc="1F02E8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66F7"/>
    <w:multiLevelType w:val="hybridMultilevel"/>
    <w:tmpl w:val="991AF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B69AF"/>
    <w:multiLevelType w:val="hybridMultilevel"/>
    <w:tmpl w:val="77405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21C1"/>
    <w:multiLevelType w:val="hybridMultilevel"/>
    <w:tmpl w:val="3C04B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335928">
    <w:abstractNumId w:val="3"/>
  </w:num>
  <w:num w:numId="2" w16cid:durableId="670062260">
    <w:abstractNumId w:val="2"/>
  </w:num>
  <w:num w:numId="3" w16cid:durableId="847521795">
    <w:abstractNumId w:val="5"/>
  </w:num>
  <w:num w:numId="4" w16cid:durableId="1887788113">
    <w:abstractNumId w:val="6"/>
  </w:num>
  <w:num w:numId="5" w16cid:durableId="1212645015">
    <w:abstractNumId w:val="1"/>
  </w:num>
  <w:num w:numId="6" w16cid:durableId="1511336284">
    <w:abstractNumId w:val="7"/>
  </w:num>
  <w:num w:numId="7" w16cid:durableId="1402098608">
    <w:abstractNumId w:val="4"/>
  </w:num>
  <w:num w:numId="8" w16cid:durableId="82162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30"/>
    <w:rsid w:val="00122959"/>
    <w:rsid w:val="001C6A5D"/>
    <w:rsid w:val="00220FBE"/>
    <w:rsid w:val="002F3D10"/>
    <w:rsid w:val="00367E18"/>
    <w:rsid w:val="0050392C"/>
    <w:rsid w:val="00626EAC"/>
    <w:rsid w:val="00854457"/>
    <w:rsid w:val="009415D4"/>
    <w:rsid w:val="00B22930"/>
    <w:rsid w:val="00BE5150"/>
    <w:rsid w:val="00C32F12"/>
    <w:rsid w:val="00E75754"/>
    <w:rsid w:val="00E94240"/>
    <w:rsid w:val="00F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89D4"/>
  <w15:chartTrackingRefBased/>
  <w15:docId w15:val="{820A00F2-66F7-4AE5-B79D-6DDDE12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930"/>
    <w:rPr>
      <w:color w:val="08529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4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sd/services/digital-accessibility-services/digital-accessibility-team-and-hub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l.ac.uk/equality-diversity-inclusion/equality-areas/disability-equality/dyslexia-and-other-specific-learning-differences" TargetMode="External"/><Relationship Id="rId12" Type="http://schemas.openxmlformats.org/officeDocument/2006/relationships/hyperlink" Target="https://www.ucl.ac.uk/human-resources/about-hr/contacting-hr/hr-business-partnering-contact-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ac.uk/human-resources/health-wellbeing/workplace-health/what-we-do/manager-referrals-workplace-health" TargetMode="External"/><Relationship Id="rId11" Type="http://schemas.openxmlformats.org/officeDocument/2006/relationships/hyperlink" Target="https://www.gov.uk/access-to-work/apply" TargetMode="External"/><Relationship Id="rId5" Type="http://schemas.openxmlformats.org/officeDocument/2006/relationships/hyperlink" Target="https://www.ucl.ac.uk/equality-diversity-inclusion/equality-areas/disability-equality/what-reasonable-adjustment/adjustments-passport" TargetMode="External"/><Relationship Id="rId10" Type="http://schemas.openxmlformats.org/officeDocument/2006/relationships/hyperlink" Target="https://www.ucl.ac.uk/equality-diversity-inclusion/equality-areas/disability-equality/what-reasonable-adjustment/funding-reasonable-adjust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accessible-fire-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Allman, Lizzy</dc:creator>
  <cp:keywords/>
  <dc:description/>
  <cp:lastModifiedBy>Allman, Lizzy</cp:lastModifiedBy>
  <cp:revision>2</cp:revision>
  <dcterms:created xsi:type="dcterms:W3CDTF">2023-06-19T14:44:00Z</dcterms:created>
  <dcterms:modified xsi:type="dcterms:W3CDTF">2023-06-19T14:44:00Z</dcterms:modified>
</cp:coreProperties>
</file>