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61" w:rsidRPr="002D3CD2" w:rsidRDefault="00596161" w:rsidP="002D3CD2">
      <w:pPr>
        <w:spacing w:after="0" w:line="360" w:lineRule="auto"/>
        <w:contextualSpacing/>
        <w:jc w:val="center"/>
        <w:rPr>
          <w:rFonts w:ascii="Times New Roman" w:hAnsi="Times New Roman" w:cs="Times New Roman"/>
          <w:sz w:val="24"/>
          <w:szCs w:val="24"/>
        </w:rPr>
      </w:pPr>
      <w:r w:rsidRPr="002D3CD2">
        <w:rPr>
          <w:rFonts w:ascii="Times New Roman" w:hAnsi="Times New Roman" w:cs="Times New Roman"/>
          <w:sz w:val="24"/>
          <w:szCs w:val="24"/>
        </w:rPr>
        <w:t xml:space="preserve">A framework for the analysis and comparison </w:t>
      </w:r>
    </w:p>
    <w:p w:rsidR="00596161" w:rsidRPr="002D3CD2" w:rsidRDefault="00596161" w:rsidP="002D3CD2">
      <w:pPr>
        <w:spacing w:after="0" w:line="360" w:lineRule="auto"/>
        <w:contextualSpacing/>
        <w:jc w:val="center"/>
        <w:rPr>
          <w:rFonts w:ascii="Times New Roman" w:hAnsi="Times New Roman" w:cs="Times New Roman"/>
          <w:sz w:val="24"/>
          <w:szCs w:val="24"/>
        </w:rPr>
      </w:pPr>
      <w:proofErr w:type="gramStart"/>
      <w:r w:rsidRPr="002D3CD2">
        <w:rPr>
          <w:rFonts w:ascii="Times New Roman" w:hAnsi="Times New Roman" w:cs="Times New Roman"/>
          <w:sz w:val="24"/>
          <w:szCs w:val="24"/>
        </w:rPr>
        <w:t>of</w:t>
      </w:r>
      <w:proofErr w:type="gramEnd"/>
      <w:r w:rsidRPr="002D3CD2">
        <w:rPr>
          <w:rFonts w:ascii="Times New Roman" w:hAnsi="Times New Roman" w:cs="Times New Roman"/>
          <w:sz w:val="24"/>
          <w:szCs w:val="24"/>
        </w:rPr>
        <w:t xml:space="preserve"> legal aid structures</w:t>
      </w:r>
    </w:p>
    <w:p w:rsidR="00596161" w:rsidRPr="002D3CD2" w:rsidRDefault="00596161" w:rsidP="002D3CD2">
      <w:pPr>
        <w:spacing w:after="0" w:line="360" w:lineRule="auto"/>
        <w:contextualSpacing/>
        <w:jc w:val="center"/>
        <w:rPr>
          <w:rFonts w:ascii="Times New Roman" w:hAnsi="Times New Roman" w:cs="Times New Roman"/>
          <w:sz w:val="24"/>
          <w:szCs w:val="24"/>
        </w:rPr>
      </w:pPr>
    </w:p>
    <w:p w:rsidR="00596161" w:rsidRPr="002D3CD2" w:rsidRDefault="00596161" w:rsidP="002D3CD2">
      <w:pPr>
        <w:spacing w:after="0" w:line="360" w:lineRule="auto"/>
        <w:contextualSpacing/>
        <w:jc w:val="center"/>
        <w:rPr>
          <w:rFonts w:ascii="Times New Roman" w:hAnsi="Times New Roman" w:cs="Times New Roman"/>
          <w:sz w:val="24"/>
          <w:szCs w:val="24"/>
        </w:rPr>
      </w:pPr>
      <w:r w:rsidRPr="002D3CD2">
        <w:rPr>
          <w:rFonts w:ascii="Times New Roman" w:hAnsi="Times New Roman" w:cs="Times New Roman"/>
          <w:sz w:val="24"/>
          <w:szCs w:val="24"/>
        </w:rPr>
        <w:t>Anna Barlow</w:t>
      </w:r>
      <w:r w:rsidRPr="002D3CD2">
        <w:rPr>
          <w:rStyle w:val="FootnoteReference"/>
          <w:rFonts w:ascii="Times New Roman" w:hAnsi="Times New Roman" w:cs="Times New Roman"/>
          <w:sz w:val="24"/>
          <w:szCs w:val="24"/>
        </w:rPr>
        <w:footnoteReference w:id="1"/>
      </w:r>
    </w:p>
    <w:p w:rsidR="00596161" w:rsidRPr="002D3CD2" w:rsidRDefault="00596161" w:rsidP="002D3CD2">
      <w:pPr>
        <w:spacing w:line="360" w:lineRule="auto"/>
        <w:jc w:val="both"/>
        <w:rPr>
          <w:rFonts w:ascii="Times New Roman" w:hAnsi="Times New Roman" w:cs="Times New Roman"/>
          <w:sz w:val="24"/>
          <w:szCs w:val="24"/>
        </w:rPr>
      </w:pPr>
    </w:p>
    <w:p w:rsidR="00596161" w:rsidRPr="002D3CD2" w:rsidRDefault="000F6CCF" w:rsidP="002D3CD2">
      <w:pPr>
        <w:spacing w:line="360" w:lineRule="auto"/>
        <w:jc w:val="center"/>
        <w:rPr>
          <w:rFonts w:ascii="Times New Roman" w:hAnsi="Times New Roman" w:cs="Times New Roman"/>
          <w:sz w:val="24"/>
          <w:szCs w:val="24"/>
        </w:rPr>
      </w:pPr>
      <w:r w:rsidRPr="002D3CD2">
        <w:rPr>
          <w:rFonts w:ascii="Times New Roman" w:hAnsi="Times New Roman" w:cs="Times New Roman"/>
          <w:sz w:val="24"/>
          <w:szCs w:val="24"/>
        </w:rPr>
        <w:t>ABSTRACT</w:t>
      </w:r>
    </w:p>
    <w:p w:rsidR="000F6CCF" w:rsidRPr="002D3CD2" w:rsidRDefault="000F6CCF" w:rsidP="001C2A69">
      <w:pPr>
        <w:spacing w:line="276" w:lineRule="auto"/>
        <w:ind w:left="737" w:right="851"/>
        <w:jc w:val="both"/>
        <w:rPr>
          <w:rFonts w:ascii="Times New Roman" w:hAnsi="Times New Roman" w:cs="Times New Roman"/>
          <w:sz w:val="24"/>
          <w:szCs w:val="24"/>
        </w:rPr>
      </w:pPr>
      <w:r w:rsidRPr="002D3CD2">
        <w:rPr>
          <w:rFonts w:ascii="Times New Roman" w:hAnsi="Times New Roman" w:cs="Times New Roman"/>
          <w:sz w:val="24"/>
          <w:szCs w:val="24"/>
        </w:rPr>
        <w:t>Legal aid systems vary radically between jurisdictions in cost, organisation and focus.</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The differences have inspired academic comparisons and the interest of policy-makers but meaningful detailed evaluation is hampered by the many variables which interact in complex ways. This paper presents an overview of the organisation of legal aid in Finland and Sweden, as an illustration of the extent of variation, and discusses the difficulties of analysis and comparison of legal aid schemes arising from their complexity.</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 xml:space="preserve">Building on the results </w:t>
      </w:r>
      <w:proofErr w:type="gramStart"/>
      <w:r w:rsidRPr="002D3CD2">
        <w:rPr>
          <w:rFonts w:ascii="Times New Roman" w:hAnsi="Times New Roman" w:cs="Times New Roman"/>
          <w:sz w:val="24"/>
          <w:szCs w:val="24"/>
        </w:rPr>
        <w:t xml:space="preserve">of a </w:t>
      </w:r>
      <w:r w:rsidR="001C2A69">
        <w:rPr>
          <w:rFonts w:ascii="Times New Roman" w:hAnsi="Times New Roman" w:cs="Times New Roman"/>
          <w:sz w:val="24"/>
          <w:szCs w:val="24"/>
        </w:rPr>
        <w:t xml:space="preserve">recent </w:t>
      </w:r>
      <w:r w:rsidRPr="002D3CD2">
        <w:rPr>
          <w:rFonts w:ascii="Times New Roman" w:hAnsi="Times New Roman" w:cs="Times New Roman"/>
          <w:sz w:val="24"/>
          <w:szCs w:val="24"/>
        </w:rPr>
        <w:t>large-scale comparisons</w:t>
      </w:r>
      <w:proofErr w:type="gramEnd"/>
      <w:r w:rsidRPr="002D3CD2">
        <w:rPr>
          <w:rFonts w:ascii="Times New Roman" w:hAnsi="Times New Roman" w:cs="Times New Roman"/>
          <w:sz w:val="24"/>
          <w:szCs w:val="24"/>
        </w:rPr>
        <w:t xml:space="preserve"> </w:t>
      </w:r>
      <w:r w:rsidR="00AC22C1" w:rsidRPr="002D3CD2">
        <w:rPr>
          <w:rFonts w:ascii="Times New Roman" w:hAnsi="Times New Roman" w:cs="Times New Roman"/>
          <w:sz w:val="24"/>
          <w:szCs w:val="24"/>
        </w:rPr>
        <w:t>of nine jurisdictions (the Nordic countries, UK and the Republic of Ireland) from an administrative law perspective</w:t>
      </w:r>
      <w:r w:rsidRPr="002D3CD2">
        <w:rPr>
          <w:rFonts w:ascii="Times New Roman" w:hAnsi="Times New Roman" w:cs="Times New Roman"/>
          <w:sz w:val="24"/>
          <w:szCs w:val="24"/>
        </w:rPr>
        <w:t xml:space="preserve">, </w:t>
      </w:r>
      <w:r w:rsidR="00AC22C1" w:rsidRPr="002D3CD2">
        <w:rPr>
          <w:rFonts w:ascii="Times New Roman" w:hAnsi="Times New Roman" w:cs="Times New Roman"/>
          <w:sz w:val="24"/>
          <w:szCs w:val="24"/>
        </w:rPr>
        <w:t>the paper suggests</w:t>
      </w:r>
      <w:r w:rsidRPr="002D3CD2">
        <w:rPr>
          <w:rFonts w:ascii="Times New Roman" w:hAnsi="Times New Roman" w:cs="Times New Roman"/>
          <w:sz w:val="24"/>
          <w:szCs w:val="24"/>
        </w:rPr>
        <w:t xml:space="preserve"> </w:t>
      </w:r>
      <w:r w:rsidR="00CA2FB9" w:rsidRPr="002D3CD2">
        <w:rPr>
          <w:rFonts w:ascii="Times New Roman" w:hAnsi="Times New Roman" w:cs="Times New Roman"/>
          <w:sz w:val="24"/>
          <w:szCs w:val="24"/>
        </w:rPr>
        <w:t xml:space="preserve">a set of criteria, suitable across jurisdictions, against which the administration of legal aid can be assessed. In addition, a proposal is made for the development of a </w:t>
      </w:r>
      <w:r w:rsidRPr="002D3CD2">
        <w:rPr>
          <w:rFonts w:ascii="Times New Roman" w:hAnsi="Times New Roman" w:cs="Times New Roman"/>
          <w:sz w:val="24"/>
          <w:szCs w:val="24"/>
        </w:rPr>
        <w:t>framework for the analysis of legal aid schemes</w:t>
      </w:r>
      <w:r w:rsidR="00CA2FB9"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r w:rsidR="00CA2FB9" w:rsidRPr="002D3CD2">
        <w:rPr>
          <w:rFonts w:ascii="Times New Roman" w:hAnsi="Times New Roman" w:cs="Times New Roman"/>
          <w:sz w:val="24"/>
          <w:szCs w:val="24"/>
        </w:rPr>
        <w:t>The framework</w:t>
      </w:r>
      <w:r w:rsidRPr="002D3CD2">
        <w:rPr>
          <w:rFonts w:ascii="Times New Roman" w:hAnsi="Times New Roman" w:cs="Times New Roman"/>
          <w:sz w:val="24"/>
          <w:szCs w:val="24"/>
        </w:rPr>
        <w:t xml:space="preserve"> </w:t>
      </w:r>
      <w:r w:rsidR="00CA2FB9" w:rsidRPr="002D3CD2">
        <w:rPr>
          <w:rFonts w:ascii="Times New Roman" w:hAnsi="Times New Roman" w:cs="Times New Roman"/>
          <w:sz w:val="24"/>
          <w:szCs w:val="24"/>
        </w:rPr>
        <w:t>facilitates the application of the criteria as well as providing a structure for the collation of cross-jurisdictional data to improve the understanding of legal aid schemes.</w:t>
      </w:r>
      <w:r w:rsidR="001C2A69">
        <w:rPr>
          <w:rFonts w:ascii="Times New Roman" w:hAnsi="Times New Roman" w:cs="Times New Roman"/>
          <w:sz w:val="24"/>
          <w:szCs w:val="24"/>
        </w:rPr>
        <w:t xml:space="preserve"> In turn this can make</w:t>
      </w:r>
      <w:r w:rsidR="00CA2FB9" w:rsidRPr="002D3CD2">
        <w:rPr>
          <w:rFonts w:ascii="Times New Roman" w:hAnsi="Times New Roman" w:cs="Times New Roman"/>
          <w:sz w:val="24"/>
          <w:szCs w:val="24"/>
        </w:rPr>
        <w:t xml:space="preserve"> it possible to systematically analyse individual schemes in the light of their context and to carry out informed comparisons</w:t>
      </w:r>
      <w:r w:rsidR="00261F58" w:rsidRPr="002D3CD2">
        <w:rPr>
          <w:rFonts w:ascii="Times New Roman" w:hAnsi="Times New Roman" w:cs="Times New Roman"/>
          <w:sz w:val="24"/>
          <w:szCs w:val="24"/>
        </w:rPr>
        <w:t xml:space="preserve"> and borrowing between jurisdictions</w:t>
      </w:r>
      <w:r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p>
    <w:p w:rsidR="000F6CCF" w:rsidRPr="002D3CD2" w:rsidRDefault="000F6CCF" w:rsidP="002D3CD2">
      <w:pPr>
        <w:spacing w:line="360" w:lineRule="auto"/>
        <w:jc w:val="both"/>
        <w:rPr>
          <w:rFonts w:ascii="Times New Roman" w:hAnsi="Times New Roman" w:cs="Times New Roman"/>
          <w:sz w:val="24"/>
          <w:szCs w:val="24"/>
        </w:rPr>
      </w:pPr>
    </w:p>
    <w:p w:rsidR="007F0634" w:rsidRPr="002D3CD2" w:rsidRDefault="007F0634" w:rsidP="002D3CD2">
      <w:pPr>
        <w:pStyle w:val="ListParagraph"/>
        <w:numPr>
          <w:ilvl w:val="0"/>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Introduction</w:t>
      </w:r>
    </w:p>
    <w:p w:rsidR="007F0634" w:rsidRPr="002D3CD2" w:rsidRDefault="00777BAB"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Establishing and maintaining a</w:t>
      </w:r>
      <w:r w:rsidR="00D803F0" w:rsidRPr="002D3CD2">
        <w:rPr>
          <w:rFonts w:ascii="Times New Roman" w:hAnsi="Times New Roman" w:cs="Times New Roman"/>
          <w:sz w:val="24"/>
          <w:szCs w:val="24"/>
        </w:rPr>
        <w:t>n</w:t>
      </w:r>
      <w:r w:rsidRPr="002D3CD2">
        <w:rPr>
          <w:rFonts w:ascii="Times New Roman" w:hAnsi="Times New Roman" w:cs="Times New Roman"/>
          <w:sz w:val="24"/>
          <w:szCs w:val="24"/>
        </w:rPr>
        <w:t xml:space="preserve"> </w:t>
      </w:r>
      <w:r w:rsidR="00D803F0" w:rsidRPr="002D3CD2">
        <w:rPr>
          <w:rFonts w:ascii="Times New Roman" w:hAnsi="Times New Roman" w:cs="Times New Roman"/>
          <w:sz w:val="24"/>
          <w:szCs w:val="24"/>
        </w:rPr>
        <w:t>acceptable</w:t>
      </w:r>
      <w:r w:rsidRPr="002D3CD2">
        <w:rPr>
          <w:rFonts w:ascii="Times New Roman" w:hAnsi="Times New Roman" w:cs="Times New Roman"/>
          <w:sz w:val="24"/>
          <w:szCs w:val="24"/>
        </w:rPr>
        <w:t xml:space="preserve"> legal aid scheme is challenging. </w:t>
      </w:r>
      <w:r w:rsidR="007F0634" w:rsidRPr="002D3CD2">
        <w:rPr>
          <w:rFonts w:ascii="Times New Roman" w:hAnsi="Times New Roman" w:cs="Times New Roman"/>
          <w:sz w:val="24"/>
          <w:szCs w:val="24"/>
        </w:rPr>
        <w:t xml:space="preserve">There are several constituencies with different understandings of what it would mean to have a successful legal aid scheme, and </w:t>
      </w:r>
      <w:r w:rsidR="00E1604F" w:rsidRPr="002D3CD2">
        <w:rPr>
          <w:rFonts w:ascii="Times New Roman" w:hAnsi="Times New Roman" w:cs="Times New Roman"/>
          <w:sz w:val="24"/>
          <w:szCs w:val="24"/>
        </w:rPr>
        <w:t xml:space="preserve">it appears to be rare that </w:t>
      </w:r>
      <w:r w:rsidR="007F0634" w:rsidRPr="002D3CD2">
        <w:rPr>
          <w:rFonts w:ascii="Times New Roman" w:hAnsi="Times New Roman" w:cs="Times New Roman"/>
          <w:sz w:val="24"/>
          <w:szCs w:val="24"/>
        </w:rPr>
        <w:t xml:space="preserve">all of them </w:t>
      </w:r>
      <w:r w:rsidR="00E1604F" w:rsidRPr="002D3CD2">
        <w:rPr>
          <w:rFonts w:ascii="Times New Roman" w:hAnsi="Times New Roman" w:cs="Times New Roman"/>
          <w:sz w:val="24"/>
          <w:szCs w:val="24"/>
        </w:rPr>
        <w:t xml:space="preserve">are </w:t>
      </w:r>
      <w:r w:rsidR="00D803F0" w:rsidRPr="002D3CD2">
        <w:rPr>
          <w:rFonts w:ascii="Times New Roman" w:hAnsi="Times New Roman" w:cs="Times New Roman"/>
          <w:sz w:val="24"/>
          <w:szCs w:val="24"/>
        </w:rPr>
        <w:t>satisfied</w:t>
      </w:r>
      <w:r w:rsidR="00E1604F"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r w:rsidR="00E1604F" w:rsidRPr="002D3CD2">
        <w:rPr>
          <w:rFonts w:ascii="Times New Roman" w:hAnsi="Times New Roman" w:cs="Times New Roman"/>
          <w:sz w:val="24"/>
          <w:szCs w:val="24"/>
        </w:rPr>
        <w:t xml:space="preserve">However, this state of almost constant dissatisfaction from one or another interested group can be a positive as it provides the impetus for change and, hopefully, advancement towards </w:t>
      </w:r>
      <w:r w:rsidR="00596161" w:rsidRPr="002D3CD2">
        <w:rPr>
          <w:rFonts w:ascii="Times New Roman" w:hAnsi="Times New Roman" w:cs="Times New Roman"/>
          <w:sz w:val="24"/>
          <w:szCs w:val="24"/>
        </w:rPr>
        <w:t>ideal provision</w:t>
      </w:r>
      <w:r w:rsidR="00E1604F"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p>
    <w:p w:rsidR="00A673E7" w:rsidRPr="002D3CD2" w:rsidRDefault="00E1604F"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Interested parties, being frequently </w:t>
      </w:r>
      <w:r w:rsidR="00596161" w:rsidRPr="002D3CD2">
        <w:rPr>
          <w:rFonts w:ascii="Times New Roman" w:hAnsi="Times New Roman" w:cs="Times New Roman"/>
          <w:sz w:val="24"/>
          <w:szCs w:val="24"/>
        </w:rPr>
        <w:t>unhappy</w:t>
      </w:r>
      <w:r w:rsidRPr="002D3CD2">
        <w:rPr>
          <w:rFonts w:ascii="Times New Roman" w:hAnsi="Times New Roman" w:cs="Times New Roman"/>
          <w:sz w:val="24"/>
          <w:szCs w:val="24"/>
        </w:rPr>
        <w:t xml:space="preserve"> with elements of the existing scheme, are wont to propose changes and in doing so often look to the lessons of the past, either proposing a return to a previous arrangement or, more often, suggesting a radical departure. In addition to </w:t>
      </w:r>
      <w:r w:rsidRPr="002D3CD2">
        <w:rPr>
          <w:rFonts w:ascii="Times New Roman" w:hAnsi="Times New Roman" w:cs="Times New Roman"/>
          <w:sz w:val="24"/>
          <w:szCs w:val="24"/>
        </w:rPr>
        <w:lastRenderedPageBreak/>
        <w:t>such historical comparison, international comparison</w:t>
      </w:r>
      <w:r w:rsidR="00363402" w:rsidRPr="002D3CD2">
        <w:rPr>
          <w:rFonts w:ascii="Times New Roman" w:hAnsi="Times New Roman" w:cs="Times New Roman"/>
          <w:sz w:val="24"/>
          <w:szCs w:val="24"/>
        </w:rPr>
        <w:t xml:space="preserve"> is also a useful tool in legal aid law reform.</w:t>
      </w:r>
      <w:r w:rsidRPr="002D3CD2">
        <w:rPr>
          <w:rFonts w:ascii="Times New Roman" w:hAnsi="Times New Roman" w:cs="Times New Roman"/>
          <w:sz w:val="24"/>
          <w:szCs w:val="24"/>
        </w:rPr>
        <w:t xml:space="preserve"> </w:t>
      </w:r>
      <w:r w:rsidR="00363402" w:rsidRPr="002D3CD2">
        <w:rPr>
          <w:rFonts w:ascii="Times New Roman" w:hAnsi="Times New Roman" w:cs="Times New Roman"/>
          <w:sz w:val="24"/>
          <w:szCs w:val="24"/>
        </w:rPr>
        <w:t>Comparison can be a useful source of new law, if elements of a legal aid scheme in another jurisdiction are felt to be suitable for transposition.</w:t>
      </w:r>
      <w:r w:rsidR="00596161" w:rsidRPr="002D3CD2">
        <w:rPr>
          <w:rFonts w:ascii="Times New Roman" w:hAnsi="Times New Roman" w:cs="Times New Roman"/>
          <w:sz w:val="24"/>
          <w:szCs w:val="24"/>
        </w:rPr>
        <w:t xml:space="preserve"> </w:t>
      </w:r>
      <w:r w:rsidR="00363402" w:rsidRPr="002D3CD2">
        <w:rPr>
          <w:rFonts w:ascii="Times New Roman" w:hAnsi="Times New Roman" w:cs="Times New Roman"/>
          <w:sz w:val="24"/>
          <w:szCs w:val="24"/>
        </w:rPr>
        <w:t xml:space="preserve">However, it can also be useful </w:t>
      </w:r>
      <w:r w:rsidR="00777BAB" w:rsidRPr="002D3CD2">
        <w:rPr>
          <w:rFonts w:ascii="Times New Roman" w:hAnsi="Times New Roman" w:cs="Times New Roman"/>
          <w:sz w:val="24"/>
          <w:szCs w:val="24"/>
        </w:rPr>
        <w:t>in allowing us to question elements which from a domestic perspective appear inevitable.</w:t>
      </w:r>
      <w:r w:rsidR="00363402" w:rsidRPr="002D3CD2">
        <w:rPr>
          <w:rFonts w:ascii="Times New Roman" w:hAnsi="Times New Roman" w:cs="Times New Roman"/>
          <w:sz w:val="24"/>
          <w:szCs w:val="24"/>
        </w:rPr>
        <w:t xml:space="preserve"> More creative solutions are possible </w:t>
      </w:r>
      <w:r w:rsidR="00727AEE" w:rsidRPr="002D3CD2">
        <w:rPr>
          <w:rFonts w:ascii="Times New Roman" w:hAnsi="Times New Roman" w:cs="Times New Roman"/>
          <w:sz w:val="24"/>
          <w:szCs w:val="24"/>
        </w:rPr>
        <w:t xml:space="preserve">when </w:t>
      </w:r>
      <w:r w:rsidR="00A673E7" w:rsidRPr="002D3CD2">
        <w:rPr>
          <w:rFonts w:ascii="Times New Roman" w:hAnsi="Times New Roman" w:cs="Times New Roman"/>
          <w:sz w:val="24"/>
          <w:szCs w:val="24"/>
        </w:rPr>
        <w:t>‘</w:t>
      </w:r>
      <w:r w:rsidR="00727AEE" w:rsidRPr="002D3CD2">
        <w:rPr>
          <w:rFonts w:ascii="Times New Roman" w:hAnsi="Times New Roman" w:cs="Times New Roman"/>
          <w:sz w:val="24"/>
          <w:szCs w:val="24"/>
        </w:rPr>
        <w:t>c</w:t>
      </w:r>
      <w:r w:rsidR="00A673E7" w:rsidRPr="002D3CD2">
        <w:rPr>
          <w:rFonts w:ascii="Times New Roman" w:hAnsi="Times New Roman" w:cs="Times New Roman"/>
          <w:sz w:val="24"/>
          <w:szCs w:val="24"/>
        </w:rPr>
        <w:t>omparison enables a strong measure of objective neutrality and critical self-assessment to be applied’.</w:t>
      </w:r>
      <w:r w:rsidR="00A673E7" w:rsidRPr="002D3CD2">
        <w:rPr>
          <w:rStyle w:val="FootnoteReference"/>
          <w:rFonts w:ascii="Times New Roman" w:hAnsi="Times New Roman" w:cs="Times New Roman"/>
          <w:sz w:val="24"/>
          <w:szCs w:val="24"/>
        </w:rPr>
        <w:footnoteReference w:id="2"/>
      </w:r>
    </w:p>
    <w:p w:rsidR="0065675D" w:rsidRPr="002D3CD2" w:rsidRDefault="002F7AB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In this vein, doctoral research has recently been carried out at Åbo Akademi University in Finland, comparing legal aid in the Nordic countries, the Republic of Ireland and the jurisdictions of the UK. The comparison covers an unusually large number of jurisdictions</w:t>
      </w:r>
      <w:r w:rsidR="00596161" w:rsidRPr="002D3CD2">
        <w:rPr>
          <w:rFonts w:ascii="Times New Roman" w:hAnsi="Times New Roman" w:cs="Times New Roman"/>
          <w:sz w:val="24"/>
          <w:szCs w:val="24"/>
        </w:rPr>
        <w:t>;</w:t>
      </w:r>
      <w:r w:rsidRPr="002D3CD2">
        <w:rPr>
          <w:rFonts w:ascii="Times New Roman" w:hAnsi="Times New Roman" w:cs="Times New Roman"/>
          <w:sz w:val="24"/>
          <w:szCs w:val="24"/>
        </w:rPr>
        <w:t xml:space="preserve"> an intentional tactic to enable consideration of patterns which might be observable between and within legal aid schemes.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In order to make such a broad project feasible, the </w:t>
      </w:r>
      <w:r w:rsidR="00A673E7" w:rsidRPr="002D3CD2">
        <w:rPr>
          <w:rFonts w:ascii="Times New Roman" w:hAnsi="Times New Roman" w:cs="Times New Roman"/>
          <w:sz w:val="24"/>
          <w:szCs w:val="24"/>
        </w:rPr>
        <w:t xml:space="preserve">comparison </w:t>
      </w:r>
      <w:r w:rsidRPr="002D3CD2">
        <w:rPr>
          <w:rFonts w:ascii="Times New Roman" w:hAnsi="Times New Roman" w:cs="Times New Roman"/>
          <w:sz w:val="24"/>
          <w:szCs w:val="24"/>
        </w:rPr>
        <w:t>was restricted to</w:t>
      </w:r>
      <w:r w:rsidR="00A673E7" w:rsidRPr="002D3CD2">
        <w:rPr>
          <w:rFonts w:ascii="Times New Roman" w:hAnsi="Times New Roman" w:cs="Times New Roman"/>
          <w:sz w:val="24"/>
          <w:szCs w:val="24"/>
        </w:rPr>
        <w:t xml:space="preserve"> the procedural and material aspects of legal aid structures</w:t>
      </w:r>
      <w:r w:rsidRPr="002D3CD2">
        <w:rPr>
          <w:rFonts w:ascii="Times New Roman" w:hAnsi="Times New Roman" w:cs="Times New Roman"/>
          <w:sz w:val="24"/>
          <w:szCs w:val="24"/>
        </w:rPr>
        <w:t xml:space="preserve">, from </w:t>
      </w:r>
      <w:r w:rsidR="0065675D" w:rsidRPr="002D3CD2">
        <w:rPr>
          <w:rFonts w:ascii="Times New Roman" w:hAnsi="Times New Roman" w:cs="Times New Roman"/>
          <w:sz w:val="24"/>
          <w:szCs w:val="24"/>
        </w:rPr>
        <w:t xml:space="preserve">a public and administrative law </w:t>
      </w:r>
      <w:r w:rsidRPr="002D3CD2">
        <w:rPr>
          <w:rFonts w:ascii="Times New Roman" w:hAnsi="Times New Roman" w:cs="Times New Roman"/>
          <w:sz w:val="24"/>
          <w:szCs w:val="24"/>
        </w:rPr>
        <w:t>perspective.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A narrow </w:t>
      </w:r>
      <w:r w:rsidR="0065675D" w:rsidRPr="002D3CD2">
        <w:rPr>
          <w:rFonts w:ascii="Times New Roman" w:hAnsi="Times New Roman" w:cs="Times New Roman"/>
          <w:sz w:val="24"/>
          <w:szCs w:val="24"/>
        </w:rPr>
        <w:t>definition of legal aid</w:t>
      </w:r>
      <w:r w:rsidRPr="002D3CD2">
        <w:rPr>
          <w:rFonts w:ascii="Times New Roman" w:hAnsi="Times New Roman" w:cs="Times New Roman"/>
          <w:sz w:val="24"/>
          <w:szCs w:val="24"/>
        </w:rPr>
        <w:t xml:space="preserve"> was taken:</w:t>
      </w:r>
      <w:r w:rsidR="0065675D" w:rsidRPr="002D3CD2">
        <w:rPr>
          <w:rFonts w:ascii="Times New Roman" w:hAnsi="Times New Roman" w:cs="Times New Roman"/>
          <w:sz w:val="24"/>
          <w:szCs w:val="24"/>
        </w:rPr>
        <w:t xml:space="preserve"> the provision by the state of legal help and representation by lawyers, either through the provision of state employed lawyers or by paying for private lawyers. Other studies </w:t>
      </w:r>
      <w:r w:rsidRPr="002D3CD2">
        <w:rPr>
          <w:rFonts w:ascii="Times New Roman" w:hAnsi="Times New Roman" w:cs="Times New Roman"/>
          <w:sz w:val="24"/>
          <w:szCs w:val="24"/>
        </w:rPr>
        <w:t xml:space="preserve">of legal aid </w:t>
      </w:r>
      <w:r w:rsidR="0065675D" w:rsidRPr="002D3CD2">
        <w:rPr>
          <w:rFonts w:ascii="Times New Roman" w:hAnsi="Times New Roman" w:cs="Times New Roman"/>
          <w:sz w:val="24"/>
          <w:szCs w:val="24"/>
        </w:rPr>
        <w:t xml:space="preserve">have </w:t>
      </w:r>
      <w:r w:rsidRPr="002D3CD2">
        <w:rPr>
          <w:rFonts w:ascii="Times New Roman" w:hAnsi="Times New Roman" w:cs="Times New Roman"/>
          <w:sz w:val="24"/>
          <w:szCs w:val="24"/>
        </w:rPr>
        <w:t>taken a wider definition and include</w:t>
      </w:r>
      <w:r w:rsidR="0065675D" w:rsidRPr="002D3CD2">
        <w:rPr>
          <w:rFonts w:ascii="Times New Roman" w:hAnsi="Times New Roman" w:cs="Times New Roman"/>
          <w:sz w:val="24"/>
          <w:szCs w:val="24"/>
        </w:rPr>
        <w:t xml:space="preserve"> the assistance provided through insurance and by volunteer advice services,</w:t>
      </w:r>
      <w:r w:rsidR="0065675D" w:rsidRPr="002D3CD2">
        <w:rPr>
          <w:rFonts w:ascii="Times New Roman" w:hAnsi="Times New Roman" w:cs="Times New Roman"/>
          <w:sz w:val="24"/>
          <w:szCs w:val="24"/>
          <w:vertAlign w:val="superscript"/>
        </w:rPr>
        <w:footnoteReference w:id="3"/>
      </w:r>
      <w:r w:rsidR="0065675D" w:rsidRPr="002D3CD2">
        <w:rPr>
          <w:rFonts w:ascii="Times New Roman" w:hAnsi="Times New Roman" w:cs="Times New Roman"/>
          <w:sz w:val="24"/>
          <w:szCs w:val="24"/>
        </w:rPr>
        <w:t xml:space="preserve"> </w:t>
      </w:r>
      <w:r w:rsidRPr="002D3CD2">
        <w:rPr>
          <w:rFonts w:ascii="Times New Roman" w:hAnsi="Times New Roman" w:cs="Times New Roman"/>
          <w:sz w:val="24"/>
          <w:szCs w:val="24"/>
        </w:rPr>
        <w:t>and access to justice research is naturally much broader, including for example needs analysis, outcome measurement and a raft of other mechanisms in addition to legal aid.</w:t>
      </w:r>
      <w:r w:rsidR="00596161" w:rsidRPr="002D3CD2">
        <w:rPr>
          <w:rFonts w:ascii="Times New Roman" w:hAnsi="Times New Roman" w:cs="Times New Roman"/>
          <w:sz w:val="24"/>
          <w:szCs w:val="24"/>
        </w:rPr>
        <w:t xml:space="preserve"> </w:t>
      </w:r>
      <w:r w:rsidR="00FF79B0" w:rsidRPr="002D3CD2">
        <w:rPr>
          <w:rFonts w:ascii="Times New Roman" w:hAnsi="Times New Roman" w:cs="Times New Roman"/>
          <w:sz w:val="24"/>
          <w:szCs w:val="24"/>
        </w:rPr>
        <w:t xml:space="preserve">However, the study referred to here </w:t>
      </w:r>
      <w:r w:rsidR="0065675D" w:rsidRPr="002D3CD2">
        <w:rPr>
          <w:rFonts w:ascii="Times New Roman" w:hAnsi="Times New Roman" w:cs="Times New Roman"/>
          <w:sz w:val="24"/>
          <w:szCs w:val="24"/>
        </w:rPr>
        <w:t>is focused on instances where three criteria are met: assistance is provided by lawyers; those lawyers are paid for their work; and payment is by the state (albeit potentially with client contributions). Legal aid relating to civil, administrative and criminal law was considered, thus whilst in the Nordic countries publicly funded legal assistance for criminal defendants is not called ‘legal aid’, their public defence schemes were included.</w:t>
      </w:r>
      <w:r w:rsidR="00596161" w:rsidRPr="002D3CD2">
        <w:rPr>
          <w:rFonts w:ascii="Times New Roman" w:hAnsi="Times New Roman" w:cs="Times New Roman"/>
          <w:sz w:val="24"/>
          <w:szCs w:val="24"/>
        </w:rPr>
        <w:t xml:space="preserve"> </w:t>
      </w:r>
      <w:r w:rsidR="00FF79B0" w:rsidRPr="002D3CD2">
        <w:rPr>
          <w:rFonts w:ascii="Times New Roman" w:hAnsi="Times New Roman" w:cs="Times New Roman"/>
          <w:sz w:val="24"/>
          <w:szCs w:val="24"/>
        </w:rPr>
        <w:t xml:space="preserve">It is accepted that this is a restrictive approach, and the proposals to be made in this paper speak to the advantages to be gained in extending the scope, and suggest a framework for collating a broader range of research findings on legal aid. </w:t>
      </w:r>
    </w:p>
    <w:p w:rsidR="00596161" w:rsidRPr="002D3CD2" w:rsidRDefault="00FF79B0"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Before fully endorsing comparatism as an appropriate approach to legal aid research and policy development, some points should be made about the considerable challenges which arise from the structural complexity of legal aid schemes.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This can best be illustrated through brief descriptions of the contrasting legal aid systems in </w:t>
      </w:r>
      <w:r w:rsidR="00BD6AF5" w:rsidRPr="002D3CD2">
        <w:rPr>
          <w:rFonts w:ascii="Times New Roman" w:hAnsi="Times New Roman" w:cs="Times New Roman"/>
          <w:sz w:val="24"/>
          <w:szCs w:val="24"/>
        </w:rPr>
        <w:t xml:space="preserve">two jurisdictions: Finland and </w:t>
      </w:r>
      <w:r w:rsidR="00BD6AF5" w:rsidRPr="002D3CD2">
        <w:rPr>
          <w:rFonts w:ascii="Times New Roman" w:hAnsi="Times New Roman" w:cs="Times New Roman"/>
          <w:sz w:val="24"/>
          <w:szCs w:val="24"/>
        </w:rPr>
        <w:lastRenderedPageBreak/>
        <w:t>Sweden.</w:t>
      </w:r>
      <w:r w:rsidR="00596161" w:rsidRPr="002D3CD2">
        <w:rPr>
          <w:rFonts w:ascii="Times New Roman" w:hAnsi="Times New Roman" w:cs="Times New Roman"/>
          <w:sz w:val="24"/>
          <w:szCs w:val="24"/>
        </w:rPr>
        <w:t xml:space="preserve"> Finland and Sweden are not only neighbours; they have a long common history and their legal systems are very similar. Indeed, it is often suggested that these two jurisdictions form a discrete ‘East Nordic’ legal group. Despite this high level of congruence, their legal aid schemes are very different, which makes them an interesting case study. Furthermore, each scheme contains elements which will be novel to many readers, thus hopefully increasing awareness of the diversity of legal aid structures at the same time as enabling </w:t>
      </w:r>
      <w:r w:rsidR="00B32EA1" w:rsidRPr="002D3CD2">
        <w:rPr>
          <w:rFonts w:ascii="Times New Roman" w:hAnsi="Times New Roman" w:cs="Times New Roman"/>
          <w:sz w:val="24"/>
          <w:szCs w:val="24"/>
        </w:rPr>
        <w:t>greater</w:t>
      </w:r>
      <w:r w:rsidR="00596161" w:rsidRPr="002D3CD2">
        <w:rPr>
          <w:rFonts w:ascii="Times New Roman" w:hAnsi="Times New Roman" w:cs="Times New Roman"/>
          <w:sz w:val="24"/>
          <w:szCs w:val="24"/>
        </w:rPr>
        <w:t xml:space="preserve"> objectiv</w:t>
      </w:r>
      <w:r w:rsidR="00B32EA1" w:rsidRPr="002D3CD2">
        <w:rPr>
          <w:rFonts w:ascii="Times New Roman" w:hAnsi="Times New Roman" w:cs="Times New Roman"/>
          <w:sz w:val="24"/>
          <w:szCs w:val="24"/>
        </w:rPr>
        <w:t>ity when returning to</w:t>
      </w:r>
      <w:r w:rsidR="00596161" w:rsidRPr="002D3CD2">
        <w:rPr>
          <w:rFonts w:ascii="Times New Roman" w:hAnsi="Times New Roman" w:cs="Times New Roman"/>
          <w:sz w:val="24"/>
          <w:szCs w:val="24"/>
        </w:rPr>
        <w:t xml:space="preserve"> re-examine familiar systems.</w:t>
      </w:r>
    </w:p>
    <w:p w:rsidR="0062093C" w:rsidRPr="002D3CD2" w:rsidRDefault="00087CEA"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Following these descriptions, consideration will be given to whether it is possible to judge legal aid schemes themselves as ‘good’ or ‘bad’, given the complexity and variety observed.</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Attention will remain on the procedural aspects of the legal aid systems, rather than the inputs and outcomes which have been studied elsewhere.</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 xml:space="preserve">Thus, the question asked will be whether it is possible to identify </w:t>
      </w:r>
      <w:r w:rsidR="000118D7" w:rsidRPr="002D3CD2">
        <w:rPr>
          <w:rFonts w:ascii="Times New Roman" w:hAnsi="Times New Roman" w:cs="Times New Roman"/>
          <w:sz w:val="24"/>
          <w:szCs w:val="24"/>
        </w:rPr>
        <w:t xml:space="preserve">neutral </w:t>
      </w:r>
      <w:r w:rsidRPr="002D3CD2">
        <w:rPr>
          <w:rFonts w:ascii="Times New Roman" w:hAnsi="Times New Roman" w:cs="Times New Roman"/>
          <w:sz w:val="24"/>
          <w:szCs w:val="24"/>
        </w:rPr>
        <w:t xml:space="preserve">criteria which can be applied to varied legal aid schemes </w:t>
      </w:r>
      <w:r w:rsidR="000118D7" w:rsidRPr="002D3CD2">
        <w:rPr>
          <w:rFonts w:ascii="Times New Roman" w:hAnsi="Times New Roman" w:cs="Times New Roman"/>
          <w:sz w:val="24"/>
          <w:szCs w:val="24"/>
        </w:rPr>
        <w:t xml:space="preserve">despite the wide range of internal arrangements and different contexts of such schemes. Four criteria will be proposed: </w:t>
      </w:r>
      <w:r w:rsidR="00EB16F2" w:rsidRPr="002D3CD2">
        <w:rPr>
          <w:rFonts w:ascii="Times New Roman" w:hAnsi="Times New Roman" w:cs="Times New Roman"/>
          <w:sz w:val="24"/>
          <w:szCs w:val="24"/>
        </w:rPr>
        <w:t xml:space="preserve">that a scheme must be fit for its environment, coherent, logical and lawful. </w:t>
      </w:r>
    </w:p>
    <w:p w:rsidR="00087CEA" w:rsidRPr="002D3CD2" w:rsidRDefault="0062093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Finally, the need for a cohesive structure for the study and comparison of legal aid schemes will be </w:t>
      </w:r>
      <w:r w:rsidR="001C2A69">
        <w:rPr>
          <w:rFonts w:ascii="Times New Roman" w:hAnsi="Times New Roman" w:cs="Times New Roman"/>
          <w:sz w:val="24"/>
          <w:szCs w:val="24"/>
        </w:rPr>
        <w:t>suggested</w:t>
      </w:r>
      <w:r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Drawing on the descriptions of Finland and Sweden</w:t>
      </w:r>
      <w:r w:rsidR="00087CEA" w:rsidRPr="002D3CD2">
        <w:rPr>
          <w:rFonts w:ascii="Times New Roman" w:hAnsi="Times New Roman" w:cs="Times New Roman"/>
          <w:sz w:val="24"/>
          <w:szCs w:val="24"/>
        </w:rPr>
        <w:t xml:space="preserve"> as well as on the wider research referred to above, </w:t>
      </w:r>
      <w:r w:rsidRPr="002D3CD2">
        <w:rPr>
          <w:rFonts w:ascii="Times New Roman" w:hAnsi="Times New Roman" w:cs="Times New Roman"/>
          <w:sz w:val="24"/>
          <w:szCs w:val="24"/>
        </w:rPr>
        <w:t>a proposal will be made for a framework in the form of a pyramid, consisting of four levels: guiding principles, policy choices, delivery methods and context.</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This structure, it will be suggested, allows the consistent collection of relevant data from different jurisdiction and enables the criteria fo</w:t>
      </w:r>
      <w:r w:rsidR="001C2A69">
        <w:rPr>
          <w:rFonts w:ascii="Times New Roman" w:hAnsi="Times New Roman" w:cs="Times New Roman"/>
          <w:sz w:val="24"/>
          <w:szCs w:val="24"/>
        </w:rPr>
        <w:t xml:space="preserve">r evaluating legal aid schemes </w:t>
      </w:r>
      <w:r w:rsidRPr="002D3CD2">
        <w:rPr>
          <w:rFonts w:ascii="Times New Roman" w:hAnsi="Times New Roman" w:cs="Times New Roman"/>
          <w:sz w:val="24"/>
          <w:szCs w:val="24"/>
        </w:rPr>
        <w:t xml:space="preserve">to be </w:t>
      </w:r>
      <w:r w:rsidR="001C2A69">
        <w:rPr>
          <w:rFonts w:ascii="Times New Roman" w:hAnsi="Times New Roman" w:cs="Times New Roman"/>
          <w:sz w:val="24"/>
          <w:szCs w:val="24"/>
        </w:rPr>
        <w:t xml:space="preserve">more effectively </w:t>
      </w:r>
      <w:r w:rsidRPr="002D3CD2">
        <w:rPr>
          <w:rFonts w:ascii="Times New Roman" w:hAnsi="Times New Roman" w:cs="Times New Roman"/>
          <w:sz w:val="24"/>
          <w:szCs w:val="24"/>
        </w:rPr>
        <w:t>applied.</w:t>
      </w:r>
    </w:p>
    <w:p w:rsidR="001E5709" w:rsidRPr="002D3CD2" w:rsidRDefault="001E5709" w:rsidP="002D3CD2">
      <w:pPr>
        <w:pStyle w:val="ListParagraph"/>
        <w:numPr>
          <w:ilvl w:val="0"/>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Diverse legal aid schemes</w:t>
      </w:r>
    </w:p>
    <w:p w:rsidR="001E5709" w:rsidRPr="002D3CD2" w:rsidRDefault="001E5709"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Finland</w:t>
      </w:r>
    </w:p>
    <w:p w:rsidR="008D69FB" w:rsidRPr="002D3CD2" w:rsidRDefault="0067428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Finland has a legal aid scheme which covers civil, administrative and criminal cases, in addition to having a public defender scheme which, at the choice of the defendant, can be used instead of legal aid in criminal cases.</w:t>
      </w:r>
      <w:r w:rsidR="00596161" w:rsidRPr="002D3CD2">
        <w:rPr>
          <w:rFonts w:ascii="Times New Roman" w:hAnsi="Times New Roman" w:cs="Times New Roman"/>
          <w:sz w:val="24"/>
          <w:szCs w:val="24"/>
        </w:rPr>
        <w:t xml:space="preserve"> </w:t>
      </w:r>
      <w:r w:rsidR="008D69FB" w:rsidRPr="002D3CD2">
        <w:rPr>
          <w:rFonts w:ascii="Times New Roman" w:hAnsi="Times New Roman" w:cs="Times New Roman"/>
          <w:sz w:val="24"/>
          <w:szCs w:val="24"/>
        </w:rPr>
        <w:t>Approximately 75% of the population is eligible for legal aid,</w:t>
      </w:r>
      <w:r w:rsidR="008D69FB" w:rsidRPr="002D3CD2">
        <w:rPr>
          <w:rFonts w:ascii="Times New Roman" w:hAnsi="Times New Roman" w:cs="Times New Roman"/>
          <w:sz w:val="24"/>
          <w:szCs w:val="24"/>
          <w:vertAlign w:val="superscript"/>
        </w:rPr>
        <w:footnoteReference w:id="4"/>
      </w:r>
      <w:r w:rsidR="008D69FB" w:rsidRPr="002D3CD2">
        <w:rPr>
          <w:rFonts w:ascii="Times New Roman" w:hAnsi="Times New Roman" w:cs="Times New Roman"/>
          <w:sz w:val="24"/>
          <w:szCs w:val="24"/>
        </w:rPr>
        <w:t xml:space="preserve"> </w:t>
      </w:r>
      <w:r w:rsidR="000B05BC" w:rsidRPr="002D3CD2">
        <w:rPr>
          <w:rFonts w:ascii="Times New Roman" w:hAnsi="Times New Roman" w:cs="Times New Roman"/>
          <w:sz w:val="24"/>
          <w:szCs w:val="24"/>
        </w:rPr>
        <w:t>potentially</w:t>
      </w:r>
      <w:r w:rsidR="008D69FB" w:rsidRPr="002D3CD2">
        <w:rPr>
          <w:rFonts w:ascii="Times New Roman" w:hAnsi="Times New Roman" w:cs="Times New Roman"/>
          <w:sz w:val="24"/>
          <w:szCs w:val="24"/>
        </w:rPr>
        <w:t xml:space="preserve"> with a </w:t>
      </w:r>
      <w:r w:rsidR="000B05BC" w:rsidRPr="002D3CD2">
        <w:rPr>
          <w:rFonts w:ascii="Times New Roman" w:hAnsi="Times New Roman" w:cs="Times New Roman"/>
          <w:sz w:val="24"/>
          <w:szCs w:val="24"/>
        </w:rPr>
        <w:t xml:space="preserve">financial </w:t>
      </w:r>
      <w:r w:rsidR="008D69FB" w:rsidRPr="002D3CD2">
        <w:rPr>
          <w:rFonts w:ascii="Times New Roman" w:hAnsi="Times New Roman" w:cs="Times New Roman"/>
          <w:sz w:val="24"/>
          <w:szCs w:val="24"/>
        </w:rPr>
        <w:t>contribution which can be up to 100%.</w:t>
      </w:r>
      <w:r w:rsidR="00596161" w:rsidRPr="002D3CD2">
        <w:rPr>
          <w:rFonts w:ascii="Times New Roman" w:hAnsi="Times New Roman" w:cs="Times New Roman"/>
          <w:sz w:val="24"/>
          <w:szCs w:val="24"/>
        </w:rPr>
        <w:t xml:space="preserve"> </w:t>
      </w:r>
      <w:r w:rsidR="008D69FB" w:rsidRPr="002D3CD2">
        <w:rPr>
          <w:rFonts w:ascii="Times New Roman" w:hAnsi="Times New Roman" w:cs="Times New Roman"/>
          <w:sz w:val="24"/>
          <w:szCs w:val="24"/>
        </w:rPr>
        <w:t xml:space="preserve">Legal aid with high contributions </w:t>
      </w:r>
      <w:r w:rsidR="000B05BC" w:rsidRPr="002D3CD2">
        <w:rPr>
          <w:rFonts w:ascii="Times New Roman" w:hAnsi="Times New Roman" w:cs="Times New Roman"/>
          <w:sz w:val="24"/>
          <w:szCs w:val="24"/>
        </w:rPr>
        <w:t>has the</w:t>
      </w:r>
      <w:r w:rsidR="006D39BF" w:rsidRPr="002D3CD2">
        <w:rPr>
          <w:rFonts w:ascii="Times New Roman" w:hAnsi="Times New Roman" w:cs="Times New Roman"/>
          <w:sz w:val="24"/>
          <w:szCs w:val="24"/>
        </w:rPr>
        <w:t xml:space="preserve"> </w:t>
      </w:r>
      <w:r w:rsidR="008D69FB" w:rsidRPr="002D3CD2">
        <w:rPr>
          <w:rFonts w:ascii="Times New Roman" w:hAnsi="Times New Roman" w:cs="Times New Roman"/>
          <w:sz w:val="24"/>
          <w:szCs w:val="24"/>
        </w:rPr>
        <w:t xml:space="preserve">value to clients </w:t>
      </w:r>
      <w:r w:rsidR="000B05BC" w:rsidRPr="002D3CD2">
        <w:rPr>
          <w:rFonts w:ascii="Times New Roman" w:hAnsi="Times New Roman" w:cs="Times New Roman"/>
          <w:sz w:val="24"/>
          <w:szCs w:val="24"/>
        </w:rPr>
        <w:t>that</w:t>
      </w:r>
      <w:r w:rsidR="008D69FB" w:rsidRPr="002D3CD2">
        <w:rPr>
          <w:rFonts w:ascii="Times New Roman" w:hAnsi="Times New Roman" w:cs="Times New Roman"/>
          <w:sz w:val="24"/>
          <w:szCs w:val="24"/>
        </w:rPr>
        <w:t xml:space="preserve"> it fixes the rates of lawyer pay at legal aid levels </w:t>
      </w:r>
      <w:r w:rsidR="000B05BC" w:rsidRPr="002D3CD2">
        <w:rPr>
          <w:rFonts w:ascii="Times New Roman" w:hAnsi="Times New Roman" w:cs="Times New Roman"/>
          <w:sz w:val="24"/>
          <w:szCs w:val="24"/>
        </w:rPr>
        <w:t>(</w:t>
      </w:r>
      <w:r w:rsidR="008D69FB" w:rsidRPr="002D3CD2">
        <w:rPr>
          <w:rFonts w:ascii="Times New Roman" w:hAnsi="Times New Roman" w:cs="Times New Roman"/>
          <w:sz w:val="24"/>
          <w:szCs w:val="24"/>
        </w:rPr>
        <w:t>approximately half of private rates</w:t>
      </w:r>
      <w:r w:rsidR="000B05BC" w:rsidRPr="002D3CD2">
        <w:rPr>
          <w:rFonts w:ascii="Times New Roman" w:hAnsi="Times New Roman" w:cs="Times New Roman"/>
          <w:sz w:val="24"/>
          <w:szCs w:val="24"/>
        </w:rPr>
        <w:t>)</w:t>
      </w:r>
      <w:r w:rsidR="008D69FB" w:rsidRPr="002D3CD2">
        <w:rPr>
          <w:rFonts w:ascii="Times New Roman" w:hAnsi="Times New Roman" w:cs="Times New Roman"/>
          <w:sz w:val="24"/>
          <w:szCs w:val="24"/>
        </w:rPr>
        <w:t>, and in practice will enable at least a free initial advice session.</w:t>
      </w:r>
      <w:r w:rsidR="00596161" w:rsidRPr="002D3CD2">
        <w:rPr>
          <w:rFonts w:ascii="Times New Roman" w:hAnsi="Times New Roman" w:cs="Times New Roman"/>
          <w:sz w:val="24"/>
          <w:szCs w:val="24"/>
        </w:rPr>
        <w:t xml:space="preserve"> </w:t>
      </w:r>
    </w:p>
    <w:p w:rsidR="00674289" w:rsidRPr="002D3CD2" w:rsidRDefault="0067428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 xml:space="preserve">The core of the provision of legal aid </w:t>
      </w:r>
      <w:r w:rsidR="001C2A69">
        <w:rPr>
          <w:rFonts w:ascii="Times New Roman" w:hAnsi="Times New Roman" w:cs="Times New Roman"/>
          <w:sz w:val="24"/>
          <w:szCs w:val="24"/>
        </w:rPr>
        <w:t xml:space="preserve">in Finland </w:t>
      </w:r>
      <w:r w:rsidRPr="002D3CD2">
        <w:rPr>
          <w:rFonts w:ascii="Times New Roman" w:hAnsi="Times New Roman" w:cs="Times New Roman"/>
          <w:sz w:val="24"/>
          <w:szCs w:val="24"/>
        </w:rPr>
        <w:t>is a network of 23 Legal Aid Offices around the country, organised within six regions.</w:t>
      </w:r>
      <w:r w:rsidRPr="002D3CD2">
        <w:rPr>
          <w:rFonts w:ascii="Times New Roman" w:hAnsi="Times New Roman" w:cs="Times New Roman"/>
          <w:sz w:val="24"/>
          <w:szCs w:val="24"/>
          <w:vertAlign w:val="superscript"/>
        </w:rPr>
        <w:footnoteReference w:id="5"/>
      </w:r>
      <w:r w:rsidRPr="002D3CD2">
        <w:rPr>
          <w:rFonts w:ascii="Times New Roman" w:hAnsi="Times New Roman" w:cs="Times New Roman"/>
          <w:sz w:val="24"/>
          <w:szCs w:val="24"/>
        </w:rPr>
        <w:t xml:space="preserve"> The Offices employ altogether about 220 public legal aid attorneys who carry out all types of legal aid work: advice and representation in civil and criminal matters.</w:t>
      </w:r>
      <w:r w:rsidR="008D69FB" w:rsidRPr="002D3CD2">
        <w:rPr>
          <w:rFonts w:ascii="Times New Roman" w:hAnsi="Times New Roman" w:cs="Times New Roman"/>
          <w:sz w:val="24"/>
          <w:szCs w:val="24"/>
        </w:rPr>
        <w:t xml:space="preserve"> </w:t>
      </w:r>
      <w:r w:rsidRPr="002D3CD2">
        <w:rPr>
          <w:rFonts w:ascii="Times New Roman" w:hAnsi="Times New Roman" w:cs="Times New Roman"/>
          <w:sz w:val="24"/>
          <w:szCs w:val="24"/>
        </w:rPr>
        <w:t>However, legal aid in some cases can also be provided by private practitioners and a substantial minority of cases are dealt with this way; in 2013, 36% of legal aid matters were conducted by private practitioners.</w:t>
      </w:r>
      <w:r w:rsidRPr="002D3CD2">
        <w:rPr>
          <w:rFonts w:ascii="Times New Roman" w:hAnsi="Times New Roman" w:cs="Times New Roman"/>
          <w:sz w:val="24"/>
          <w:szCs w:val="24"/>
          <w:vertAlign w:val="superscript"/>
        </w:rPr>
        <w:footnoteReference w:id="6"/>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Whilst the starting point is that legal aid work is reserved to the Legal Aid Offices,</w:t>
      </w:r>
      <w:r w:rsidRPr="002D3CD2">
        <w:rPr>
          <w:rFonts w:ascii="Times New Roman" w:hAnsi="Times New Roman" w:cs="Times New Roman"/>
          <w:sz w:val="24"/>
          <w:szCs w:val="24"/>
          <w:vertAlign w:val="superscript"/>
        </w:rPr>
        <w:footnoteReference w:id="7"/>
      </w:r>
      <w:r w:rsidRPr="002D3CD2">
        <w:rPr>
          <w:rFonts w:ascii="Times New Roman" w:hAnsi="Times New Roman" w:cs="Times New Roman"/>
          <w:sz w:val="24"/>
          <w:szCs w:val="24"/>
        </w:rPr>
        <w:t xml:space="preserve"> private practitioners can act in cases which will go before a court</w:t>
      </w:r>
      <w:r w:rsidRPr="002D3CD2">
        <w:rPr>
          <w:rFonts w:ascii="Times New Roman" w:hAnsi="Times New Roman" w:cs="Times New Roman"/>
          <w:sz w:val="24"/>
          <w:szCs w:val="24"/>
          <w:vertAlign w:val="superscript"/>
        </w:rPr>
        <w:footnoteReference w:id="8"/>
      </w:r>
      <w:r w:rsidRPr="002D3CD2">
        <w:rPr>
          <w:rFonts w:ascii="Times New Roman" w:hAnsi="Times New Roman" w:cs="Times New Roman"/>
          <w:sz w:val="24"/>
          <w:szCs w:val="24"/>
        </w:rPr>
        <w:t xml:space="preserve"> or </w:t>
      </w:r>
      <w:r w:rsidR="000B05BC" w:rsidRPr="002D3CD2">
        <w:rPr>
          <w:rFonts w:ascii="Times New Roman" w:hAnsi="Times New Roman" w:cs="Times New Roman"/>
          <w:sz w:val="24"/>
          <w:szCs w:val="24"/>
        </w:rPr>
        <w:t xml:space="preserve">in non-court cases </w:t>
      </w:r>
      <w:r w:rsidRPr="002D3CD2">
        <w:rPr>
          <w:rFonts w:ascii="Times New Roman" w:hAnsi="Times New Roman" w:cs="Times New Roman"/>
          <w:sz w:val="24"/>
          <w:szCs w:val="24"/>
        </w:rPr>
        <w:t>where the Legal Aid Office cannot act because of lack of capacity, conflict of interests, breakdown of trust or inability to provide the service in the appropriate national language.</w:t>
      </w:r>
      <w:r w:rsidRPr="002D3CD2">
        <w:rPr>
          <w:rFonts w:ascii="Times New Roman" w:hAnsi="Times New Roman" w:cs="Times New Roman"/>
          <w:sz w:val="24"/>
          <w:szCs w:val="24"/>
          <w:vertAlign w:val="superscript"/>
        </w:rPr>
        <w:footnoteReference w:id="9"/>
      </w:r>
      <w:r w:rsidRPr="002D3CD2">
        <w:rPr>
          <w:rFonts w:ascii="Times New Roman" w:hAnsi="Times New Roman" w:cs="Times New Roman"/>
          <w:sz w:val="24"/>
          <w:szCs w:val="24"/>
        </w:rPr>
        <w:t xml:space="preserve"> </w:t>
      </w:r>
      <w:r w:rsidR="00611778" w:rsidRPr="002D3CD2">
        <w:rPr>
          <w:rFonts w:ascii="Times New Roman" w:hAnsi="Times New Roman" w:cs="Times New Roman"/>
          <w:sz w:val="24"/>
          <w:szCs w:val="24"/>
        </w:rPr>
        <w:t>Thus, client choice i</w:t>
      </w:r>
      <w:r w:rsidR="00BD40FA" w:rsidRPr="002D3CD2">
        <w:rPr>
          <w:rFonts w:ascii="Times New Roman" w:hAnsi="Times New Roman" w:cs="Times New Roman"/>
          <w:sz w:val="24"/>
          <w:szCs w:val="24"/>
        </w:rPr>
        <w:t>s in some cases restricted; whilst in court cases the client may freely choose whether to instruct a private practitioner or the Legal Aid Office, i</w:t>
      </w:r>
      <w:r w:rsidR="00611778" w:rsidRPr="002D3CD2">
        <w:rPr>
          <w:rFonts w:ascii="Times New Roman" w:hAnsi="Times New Roman" w:cs="Times New Roman"/>
          <w:sz w:val="24"/>
          <w:szCs w:val="24"/>
        </w:rPr>
        <w:t xml:space="preserve">n </w:t>
      </w:r>
      <w:r w:rsidR="00BD40FA" w:rsidRPr="002D3CD2">
        <w:rPr>
          <w:rFonts w:ascii="Times New Roman" w:hAnsi="Times New Roman" w:cs="Times New Roman"/>
          <w:sz w:val="24"/>
          <w:szCs w:val="24"/>
        </w:rPr>
        <w:t xml:space="preserve">cases which are not destined for court </w:t>
      </w:r>
      <w:r w:rsidR="00611778" w:rsidRPr="002D3CD2">
        <w:rPr>
          <w:rFonts w:ascii="Times New Roman" w:hAnsi="Times New Roman" w:cs="Times New Roman"/>
          <w:sz w:val="24"/>
          <w:szCs w:val="24"/>
        </w:rPr>
        <w:t xml:space="preserve">the </w:t>
      </w:r>
      <w:r w:rsidR="00BD40FA" w:rsidRPr="002D3CD2">
        <w:rPr>
          <w:rFonts w:ascii="Times New Roman" w:hAnsi="Times New Roman" w:cs="Times New Roman"/>
          <w:sz w:val="24"/>
          <w:szCs w:val="24"/>
        </w:rPr>
        <w:t xml:space="preserve">applicant may request a private attorney but this will only be granted if </w:t>
      </w:r>
      <w:r w:rsidR="001C2A69">
        <w:rPr>
          <w:rFonts w:ascii="Times New Roman" w:hAnsi="Times New Roman" w:cs="Times New Roman"/>
          <w:sz w:val="24"/>
          <w:szCs w:val="24"/>
        </w:rPr>
        <w:t xml:space="preserve">one of </w:t>
      </w:r>
      <w:r w:rsidR="00BD40FA" w:rsidRPr="002D3CD2">
        <w:rPr>
          <w:rFonts w:ascii="Times New Roman" w:hAnsi="Times New Roman" w:cs="Times New Roman"/>
          <w:sz w:val="24"/>
          <w:szCs w:val="24"/>
        </w:rPr>
        <w:t xml:space="preserve">the </w:t>
      </w:r>
      <w:r w:rsidR="001C2A69">
        <w:rPr>
          <w:rFonts w:ascii="Times New Roman" w:hAnsi="Times New Roman" w:cs="Times New Roman"/>
          <w:sz w:val="24"/>
          <w:szCs w:val="24"/>
        </w:rPr>
        <w:t xml:space="preserve">listed </w:t>
      </w:r>
      <w:r w:rsidRPr="002D3CD2">
        <w:rPr>
          <w:rFonts w:ascii="Times New Roman" w:hAnsi="Times New Roman" w:cs="Times New Roman"/>
          <w:sz w:val="24"/>
          <w:szCs w:val="24"/>
        </w:rPr>
        <w:t xml:space="preserve">grounds </w:t>
      </w:r>
      <w:r w:rsidR="001C2A69">
        <w:rPr>
          <w:rFonts w:ascii="Times New Roman" w:hAnsi="Times New Roman" w:cs="Times New Roman"/>
          <w:sz w:val="24"/>
          <w:szCs w:val="24"/>
        </w:rPr>
        <w:t>is</w:t>
      </w:r>
      <w:r w:rsidRPr="002D3CD2">
        <w:rPr>
          <w:rFonts w:ascii="Times New Roman" w:hAnsi="Times New Roman" w:cs="Times New Roman"/>
          <w:sz w:val="24"/>
          <w:szCs w:val="24"/>
        </w:rPr>
        <w:t xml:space="preserve"> present.</w:t>
      </w:r>
      <w:r w:rsidRPr="002D3CD2">
        <w:rPr>
          <w:rFonts w:ascii="Times New Roman" w:hAnsi="Times New Roman" w:cs="Times New Roman"/>
          <w:sz w:val="24"/>
          <w:szCs w:val="24"/>
          <w:vertAlign w:val="superscript"/>
        </w:rPr>
        <w:footnoteReference w:id="10"/>
      </w:r>
      <w:r w:rsidR="00BD40FA" w:rsidRPr="002D3CD2">
        <w:rPr>
          <w:rFonts w:ascii="Times New Roman" w:hAnsi="Times New Roman" w:cs="Times New Roman"/>
          <w:sz w:val="24"/>
          <w:szCs w:val="24"/>
        </w:rPr>
        <w:t xml:space="preserve"> Conversely, even if the client would prefer the Legal Aid Office to act, a private attorney may be appointed if the Office cannot act due to one of the listed difficulties.</w:t>
      </w:r>
      <w:r w:rsidR="00596161" w:rsidRPr="002D3CD2">
        <w:rPr>
          <w:rFonts w:ascii="Times New Roman" w:hAnsi="Times New Roman" w:cs="Times New Roman"/>
          <w:sz w:val="24"/>
          <w:szCs w:val="24"/>
        </w:rPr>
        <w:t xml:space="preserve"> </w:t>
      </w:r>
      <w:r w:rsidR="00BD40FA" w:rsidRPr="002D3CD2">
        <w:rPr>
          <w:rFonts w:ascii="Times New Roman" w:hAnsi="Times New Roman" w:cs="Times New Roman"/>
          <w:sz w:val="24"/>
          <w:szCs w:val="24"/>
        </w:rPr>
        <w:t>If legal aid is granted for a private practitioner, t</w:t>
      </w:r>
      <w:r w:rsidRPr="002D3CD2">
        <w:rPr>
          <w:rFonts w:ascii="Times New Roman" w:hAnsi="Times New Roman" w:cs="Times New Roman"/>
          <w:sz w:val="24"/>
          <w:szCs w:val="24"/>
        </w:rPr>
        <w:t xml:space="preserve">he </w:t>
      </w:r>
      <w:r w:rsidR="00BD40FA" w:rsidRPr="002D3CD2">
        <w:rPr>
          <w:rFonts w:ascii="Times New Roman" w:hAnsi="Times New Roman" w:cs="Times New Roman"/>
          <w:sz w:val="24"/>
          <w:szCs w:val="24"/>
        </w:rPr>
        <w:t>client</w:t>
      </w:r>
      <w:r w:rsidRPr="002D3CD2">
        <w:rPr>
          <w:rFonts w:ascii="Times New Roman" w:hAnsi="Times New Roman" w:cs="Times New Roman"/>
          <w:sz w:val="24"/>
          <w:szCs w:val="24"/>
        </w:rPr>
        <w:t xml:space="preserve"> may choose the person to be appointed and is entitled to have that choice respected unless there are special reasons.</w:t>
      </w:r>
      <w:r w:rsidRPr="002D3CD2">
        <w:rPr>
          <w:rFonts w:ascii="Times New Roman" w:hAnsi="Times New Roman" w:cs="Times New Roman"/>
          <w:sz w:val="24"/>
          <w:szCs w:val="24"/>
          <w:vertAlign w:val="superscript"/>
        </w:rPr>
        <w:footnoteReference w:id="11"/>
      </w:r>
    </w:p>
    <w:p w:rsidR="00300D57" w:rsidRPr="002D3CD2" w:rsidRDefault="00300D57"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This distribution of legal aid work causes dissatisfaction in the legal profession, with particular concern expressed in respect of some family cases.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As divorce and ancillary relief are not dealt with by the courts in Finland, these aspects of family law can only be dealt with by Legal Aid Offices unless conflict or capacity difficulties make this impossible.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This situation is seen by the Bar Association as unfair competition, which has a particularly detrimental effect</w:t>
      </w:r>
      <w:r w:rsidR="00DA2516" w:rsidRPr="002D3CD2">
        <w:rPr>
          <w:rFonts w:ascii="Times New Roman" w:hAnsi="Times New Roman" w:cs="Times New Roman"/>
          <w:sz w:val="24"/>
          <w:szCs w:val="24"/>
        </w:rPr>
        <w:t xml:space="preserve"> on practitioners</w:t>
      </w:r>
      <w:r w:rsidRPr="002D3CD2">
        <w:rPr>
          <w:rFonts w:ascii="Times New Roman" w:hAnsi="Times New Roman" w:cs="Times New Roman"/>
          <w:sz w:val="24"/>
          <w:szCs w:val="24"/>
        </w:rPr>
        <w:t xml:space="preserve"> because of the generous financial eligibility rules and the possibility of legal aid with a 100% contribution.</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It is argued that many clients currently reserved to the Legal Aid Offices could appropriately be dealt with by private practitioners; some already pay for their assistance, albeit at legal aid rates, and others could receive legal aid to be assisted by private practitioners. </w:t>
      </w:r>
    </w:p>
    <w:p w:rsidR="008A6BCA" w:rsidRPr="002D3CD2" w:rsidRDefault="00974C7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One aspect of the Fin</w:t>
      </w:r>
      <w:r w:rsidR="00D803F0" w:rsidRPr="002D3CD2">
        <w:rPr>
          <w:rFonts w:ascii="Times New Roman" w:hAnsi="Times New Roman" w:cs="Times New Roman"/>
          <w:sz w:val="24"/>
          <w:szCs w:val="24"/>
        </w:rPr>
        <w:t>n</w:t>
      </w:r>
      <w:r w:rsidRPr="002D3CD2">
        <w:rPr>
          <w:rFonts w:ascii="Times New Roman" w:hAnsi="Times New Roman" w:cs="Times New Roman"/>
          <w:sz w:val="24"/>
          <w:szCs w:val="24"/>
        </w:rPr>
        <w:t>ish legal aid scheme which is of note is that initial legal aid decision-making is in the hands of the lawyers in the Legal Aid Offices in both civil and criminal cases, and in advice as well as representation situations</w:t>
      </w:r>
      <w:r w:rsidR="00D803F0"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r w:rsidR="00D803F0" w:rsidRPr="002D3CD2">
        <w:rPr>
          <w:rFonts w:ascii="Times New Roman" w:hAnsi="Times New Roman" w:cs="Times New Roman"/>
          <w:sz w:val="24"/>
          <w:szCs w:val="24"/>
        </w:rPr>
        <w:t xml:space="preserve">This is the case whether the Legal Aid Office or </w:t>
      </w:r>
      <w:r w:rsidRPr="002D3CD2">
        <w:rPr>
          <w:rFonts w:ascii="Times New Roman" w:hAnsi="Times New Roman" w:cs="Times New Roman"/>
          <w:sz w:val="24"/>
          <w:szCs w:val="24"/>
        </w:rPr>
        <w:t>a private practitioner will be conducting the case.</w:t>
      </w:r>
      <w:r w:rsidR="00D803F0" w:rsidRPr="002D3CD2">
        <w:rPr>
          <w:rFonts w:ascii="Times New Roman" w:hAnsi="Times New Roman" w:cs="Times New Roman"/>
          <w:sz w:val="24"/>
          <w:szCs w:val="24"/>
          <w:vertAlign w:val="superscript"/>
        </w:rPr>
        <w:footnoteReference w:id="12"/>
      </w:r>
      <w:r w:rsidRPr="002D3CD2">
        <w:rPr>
          <w:rFonts w:ascii="Times New Roman" w:hAnsi="Times New Roman" w:cs="Times New Roman"/>
          <w:sz w:val="24"/>
          <w:szCs w:val="24"/>
        </w:rPr>
        <w:t xml:space="preserve"> </w:t>
      </w:r>
      <w:r w:rsidR="00814426" w:rsidRPr="002D3CD2">
        <w:rPr>
          <w:rFonts w:ascii="Times New Roman" w:hAnsi="Times New Roman" w:cs="Times New Roman"/>
          <w:sz w:val="24"/>
          <w:szCs w:val="24"/>
        </w:rPr>
        <w:t>Each legal aid office will make its own decisions on the cases which it is handling, but there is an allocation system for applications made electronically by private practitioners</w:t>
      </w:r>
      <w:r w:rsidR="000B05BC" w:rsidRPr="002D3CD2">
        <w:rPr>
          <w:rFonts w:ascii="Times New Roman" w:hAnsi="Times New Roman" w:cs="Times New Roman"/>
          <w:sz w:val="24"/>
          <w:szCs w:val="24"/>
        </w:rPr>
        <w:t xml:space="preserve">, which are </w:t>
      </w:r>
      <w:r w:rsidR="00814426" w:rsidRPr="002D3CD2">
        <w:rPr>
          <w:rFonts w:ascii="Times New Roman" w:hAnsi="Times New Roman" w:cs="Times New Roman"/>
          <w:sz w:val="24"/>
          <w:szCs w:val="24"/>
        </w:rPr>
        <w:t xml:space="preserve">dealt with by a smaller number of </w:t>
      </w:r>
      <w:bookmarkStart w:id="1" w:name="_Hlk513978602"/>
      <w:r w:rsidR="00814426" w:rsidRPr="002D3CD2">
        <w:rPr>
          <w:rFonts w:ascii="Times New Roman" w:hAnsi="Times New Roman" w:cs="Times New Roman"/>
          <w:sz w:val="24"/>
          <w:szCs w:val="24"/>
        </w:rPr>
        <w:t>Legal Aid Offices</w:t>
      </w:r>
      <w:bookmarkEnd w:id="1"/>
      <w:r w:rsidR="00814426" w:rsidRPr="002D3CD2">
        <w:rPr>
          <w:rFonts w:ascii="Times New Roman" w:hAnsi="Times New Roman" w:cs="Times New Roman"/>
          <w:sz w:val="24"/>
          <w:szCs w:val="24"/>
        </w:rPr>
        <w:t>, on a rotating allocation</w:t>
      </w:r>
      <w:r w:rsidR="000B05BC" w:rsidRPr="002D3CD2">
        <w:rPr>
          <w:rFonts w:ascii="Times New Roman" w:hAnsi="Times New Roman" w:cs="Times New Roman"/>
          <w:sz w:val="24"/>
          <w:szCs w:val="24"/>
        </w:rPr>
        <w:t>. T</w:t>
      </w:r>
      <w:r w:rsidR="00814426" w:rsidRPr="002D3CD2">
        <w:rPr>
          <w:rFonts w:ascii="Times New Roman" w:hAnsi="Times New Roman" w:cs="Times New Roman"/>
          <w:sz w:val="24"/>
          <w:szCs w:val="24"/>
        </w:rPr>
        <w:t xml:space="preserve">he system </w:t>
      </w:r>
      <w:r w:rsidR="000B05BC" w:rsidRPr="002D3CD2">
        <w:rPr>
          <w:rFonts w:ascii="Times New Roman" w:hAnsi="Times New Roman" w:cs="Times New Roman"/>
          <w:sz w:val="24"/>
          <w:szCs w:val="24"/>
        </w:rPr>
        <w:t>results in</w:t>
      </w:r>
      <w:r w:rsidR="00814426" w:rsidRPr="002D3CD2">
        <w:rPr>
          <w:rFonts w:ascii="Times New Roman" w:hAnsi="Times New Roman" w:cs="Times New Roman"/>
          <w:sz w:val="24"/>
          <w:szCs w:val="24"/>
        </w:rPr>
        <w:t xml:space="preserve"> private practitioners submit</w:t>
      </w:r>
      <w:r w:rsidR="000B05BC" w:rsidRPr="002D3CD2">
        <w:rPr>
          <w:rFonts w:ascii="Times New Roman" w:hAnsi="Times New Roman" w:cs="Times New Roman"/>
          <w:sz w:val="24"/>
          <w:szCs w:val="24"/>
        </w:rPr>
        <w:t>ting</w:t>
      </w:r>
      <w:r w:rsidR="00814426" w:rsidRPr="002D3CD2">
        <w:rPr>
          <w:rFonts w:ascii="Times New Roman" w:hAnsi="Times New Roman" w:cs="Times New Roman"/>
          <w:sz w:val="24"/>
          <w:szCs w:val="24"/>
        </w:rPr>
        <w:t xml:space="preserve"> claims for legal aid to the Legal Aid Offices, which are in competition with </w:t>
      </w:r>
      <w:r w:rsidR="000B05BC" w:rsidRPr="002D3CD2">
        <w:rPr>
          <w:rFonts w:ascii="Times New Roman" w:hAnsi="Times New Roman" w:cs="Times New Roman"/>
          <w:sz w:val="24"/>
          <w:szCs w:val="24"/>
        </w:rPr>
        <w:t>them for</w:t>
      </w:r>
      <w:r w:rsidR="00814426" w:rsidRPr="002D3CD2">
        <w:rPr>
          <w:rFonts w:ascii="Times New Roman" w:hAnsi="Times New Roman" w:cs="Times New Roman"/>
          <w:sz w:val="24"/>
          <w:szCs w:val="24"/>
        </w:rPr>
        <w:t xml:space="preserve"> case</w:t>
      </w:r>
      <w:r w:rsidR="000B05BC" w:rsidRPr="002D3CD2">
        <w:rPr>
          <w:rFonts w:ascii="Times New Roman" w:hAnsi="Times New Roman" w:cs="Times New Roman"/>
          <w:sz w:val="24"/>
          <w:szCs w:val="24"/>
        </w:rPr>
        <w:t>s</w:t>
      </w:r>
      <w:r w:rsidR="00814426" w:rsidRPr="002D3CD2">
        <w:rPr>
          <w:rFonts w:ascii="Times New Roman" w:hAnsi="Times New Roman" w:cs="Times New Roman"/>
          <w:sz w:val="24"/>
          <w:szCs w:val="24"/>
        </w:rPr>
        <w:t>; an arrangement which would be surprising in many jurisdictions.</w:t>
      </w:r>
      <w:r w:rsidR="000B05BC" w:rsidRPr="002D3CD2">
        <w:rPr>
          <w:rFonts w:ascii="Times New Roman" w:hAnsi="Times New Roman" w:cs="Times New Roman"/>
          <w:sz w:val="24"/>
          <w:szCs w:val="24"/>
        </w:rPr>
        <w:t xml:space="preserve"> </w:t>
      </w:r>
      <w:r w:rsidR="003B3DF0" w:rsidRPr="002D3CD2">
        <w:rPr>
          <w:rFonts w:ascii="Times New Roman" w:hAnsi="Times New Roman" w:cs="Times New Roman"/>
          <w:sz w:val="24"/>
          <w:szCs w:val="24"/>
        </w:rPr>
        <w:t>Refusals of legal aid by the Legal Aid Offices can be submitted to court for ‘reconsideration’</w:t>
      </w:r>
      <w:r w:rsidR="003B3DF0" w:rsidRPr="002D3CD2">
        <w:rPr>
          <w:rFonts w:ascii="Times New Roman" w:hAnsi="Times New Roman" w:cs="Times New Roman"/>
          <w:sz w:val="24"/>
          <w:szCs w:val="24"/>
          <w:vertAlign w:val="superscript"/>
        </w:rPr>
        <w:footnoteReference w:id="13"/>
      </w:r>
      <w:r w:rsidR="003B3DF0" w:rsidRPr="002D3CD2">
        <w:rPr>
          <w:rFonts w:ascii="Times New Roman" w:hAnsi="Times New Roman" w:cs="Times New Roman"/>
          <w:sz w:val="24"/>
          <w:szCs w:val="24"/>
        </w:rPr>
        <w:t xml:space="preserve"> in a specific process outside the normal appeal process for administrative decisions.</w:t>
      </w:r>
    </w:p>
    <w:p w:rsidR="00974C7E" w:rsidRPr="002D3CD2" w:rsidRDefault="00974C7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Responsibility for legal aid at government level sits with the Ministry of Justice </w:t>
      </w:r>
      <w:r w:rsidR="003F374D" w:rsidRPr="002D3CD2">
        <w:rPr>
          <w:rFonts w:ascii="Times New Roman" w:hAnsi="Times New Roman" w:cs="Times New Roman"/>
          <w:sz w:val="24"/>
          <w:szCs w:val="24"/>
        </w:rPr>
        <w:t xml:space="preserve">but the involvement of government is limited to oversight by </w:t>
      </w:r>
      <w:r w:rsidRPr="002D3CD2">
        <w:rPr>
          <w:rFonts w:ascii="Times New Roman" w:hAnsi="Times New Roman" w:cs="Times New Roman"/>
          <w:sz w:val="24"/>
          <w:szCs w:val="24"/>
        </w:rPr>
        <w:t>a</w:t>
      </w:r>
      <w:r w:rsidR="003F374D" w:rsidRPr="002D3CD2">
        <w:rPr>
          <w:rFonts w:ascii="Times New Roman" w:hAnsi="Times New Roman" w:cs="Times New Roman"/>
          <w:sz w:val="24"/>
          <w:szCs w:val="24"/>
        </w:rPr>
        <w:t xml:space="preserve"> very</w:t>
      </w:r>
      <w:r w:rsidRPr="002D3CD2">
        <w:rPr>
          <w:rFonts w:ascii="Times New Roman" w:hAnsi="Times New Roman" w:cs="Times New Roman"/>
          <w:sz w:val="24"/>
          <w:szCs w:val="24"/>
        </w:rPr>
        <w:t xml:space="preserve"> small team (4 or 5 dedicated legal aid staff, plus assistance from others).</w:t>
      </w:r>
      <w:r w:rsidR="00596161" w:rsidRPr="002D3CD2">
        <w:rPr>
          <w:rFonts w:ascii="Times New Roman" w:hAnsi="Times New Roman" w:cs="Times New Roman"/>
          <w:sz w:val="24"/>
          <w:szCs w:val="24"/>
        </w:rPr>
        <w:t xml:space="preserve"> </w:t>
      </w:r>
      <w:r w:rsidR="003F374D" w:rsidRPr="002D3CD2">
        <w:rPr>
          <w:rFonts w:ascii="Times New Roman" w:hAnsi="Times New Roman" w:cs="Times New Roman"/>
          <w:sz w:val="24"/>
          <w:szCs w:val="24"/>
        </w:rPr>
        <w:t>T</w:t>
      </w:r>
      <w:r w:rsidRPr="002D3CD2">
        <w:rPr>
          <w:rFonts w:ascii="Times New Roman" w:hAnsi="Times New Roman" w:cs="Times New Roman"/>
          <w:sz w:val="24"/>
          <w:szCs w:val="24"/>
        </w:rPr>
        <w:t xml:space="preserve">he Ministry has no role in legal aid decision-making and even training on legal aid grants, arranged by the Ministry, is delivered by Legal Aid Office lawyers. </w:t>
      </w:r>
      <w:r w:rsidR="00D702BD" w:rsidRPr="002D3CD2">
        <w:rPr>
          <w:rFonts w:ascii="Times New Roman" w:hAnsi="Times New Roman" w:cs="Times New Roman"/>
          <w:sz w:val="24"/>
          <w:szCs w:val="24"/>
        </w:rPr>
        <w:t>Non-binding guidance on the application of legal aid rules is published online by the Ministry,</w:t>
      </w:r>
      <w:r w:rsidR="00D702BD" w:rsidRPr="002D3CD2">
        <w:rPr>
          <w:rFonts w:ascii="Times New Roman" w:hAnsi="Times New Roman" w:cs="Times New Roman"/>
          <w:sz w:val="24"/>
          <w:szCs w:val="24"/>
          <w:vertAlign w:val="superscript"/>
        </w:rPr>
        <w:footnoteReference w:id="14"/>
      </w:r>
      <w:r w:rsidR="00D702BD" w:rsidRPr="002D3CD2">
        <w:rPr>
          <w:rFonts w:ascii="Times New Roman" w:hAnsi="Times New Roman" w:cs="Times New Roman"/>
          <w:sz w:val="24"/>
          <w:szCs w:val="24"/>
        </w:rPr>
        <w:t xml:space="preserve"> but was drafted by a </w:t>
      </w:r>
      <w:r w:rsidRPr="002D3CD2">
        <w:rPr>
          <w:rFonts w:ascii="Times New Roman" w:hAnsi="Times New Roman" w:cs="Times New Roman"/>
          <w:sz w:val="24"/>
          <w:szCs w:val="24"/>
        </w:rPr>
        <w:t>working group o</w:t>
      </w:r>
      <w:r w:rsidR="00D702BD" w:rsidRPr="002D3CD2">
        <w:rPr>
          <w:rFonts w:ascii="Times New Roman" w:hAnsi="Times New Roman" w:cs="Times New Roman"/>
          <w:sz w:val="24"/>
          <w:szCs w:val="24"/>
        </w:rPr>
        <w:t>f Senior Legal Aid Office staff.</w:t>
      </w:r>
    </w:p>
    <w:p w:rsidR="00DA2516" w:rsidRPr="002D3CD2" w:rsidRDefault="00DA2516"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scope of legal aid in Finland is extremely wide. As a matter of overarching principle all types of matter will be covered but</w:t>
      </w:r>
      <w:r w:rsidR="00613FAA" w:rsidRPr="002D3CD2">
        <w:rPr>
          <w:rFonts w:ascii="Times New Roman" w:hAnsi="Times New Roman" w:cs="Times New Roman"/>
          <w:sz w:val="24"/>
          <w:szCs w:val="24"/>
        </w:rPr>
        <w:t xml:space="preserve"> the statutory</w:t>
      </w:r>
      <w:r w:rsidRPr="002D3CD2">
        <w:rPr>
          <w:rFonts w:ascii="Times New Roman" w:hAnsi="Times New Roman" w:cs="Times New Roman"/>
          <w:sz w:val="24"/>
          <w:szCs w:val="24"/>
        </w:rPr>
        <w:t xml:space="preserve"> provisions set out a number of types of case for which legal aid will generally not be provided, on the basis that such matters do not require the help of an attorney. </w:t>
      </w:r>
      <w:r w:rsidR="00613FAA" w:rsidRPr="002D3CD2">
        <w:rPr>
          <w:rFonts w:ascii="Times New Roman" w:hAnsi="Times New Roman" w:cs="Times New Roman"/>
          <w:sz w:val="24"/>
          <w:szCs w:val="24"/>
        </w:rPr>
        <w:t>Simple criminal cases are excluded, in addition to t</w:t>
      </w:r>
      <w:r w:rsidRPr="002D3CD2">
        <w:rPr>
          <w:rFonts w:ascii="Times New Roman" w:hAnsi="Times New Roman" w:cs="Times New Roman"/>
          <w:sz w:val="24"/>
          <w:szCs w:val="24"/>
        </w:rPr>
        <w:t>hree civil case types: cases related to membership of a municipality or other public body; tax matters; and cases involving the registration of documents and records. In the latter two categories, legal aid can nonetheless be granted if there are especially weighty reasons for providing it.</w:t>
      </w:r>
      <w:r w:rsidRPr="002D3CD2">
        <w:rPr>
          <w:rFonts w:ascii="Times New Roman" w:hAnsi="Times New Roman" w:cs="Times New Roman"/>
          <w:sz w:val="24"/>
          <w:szCs w:val="24"/>
          <w:vertAlign w:val="superscript"/>
        </w:rPr>
        <w:footnoteReference w:id="15"/>
      </w:r>
      <w:r w:rsidRPr="002D3CD2">
        <w:rPr>
          <w:rFonts w:ascii="Times New Roman" w:hAnsi="Times New Roman" w:cs="Times New Roman"/>
          <w:sz w:val="24"/>
          <w:szCs w:val="24"/>
        </w:rPr>
        <w:t xml:space="preserve"> None of the exclusions are absolute, though, as in all three categories advice and assistance with preparation of documents can be provided.</w:t>
      </w:r>
      <w:r w:rsidRPr="002D3CD2">
        <w:rPr>
          <w:rFonts w:ascii="Times New Roman" w:hAnsi="Times New Roman" w:cs="Times New Roman"/>
          <w:sz w:val="24"/>
          <w:szCs w:val="24"/>
          <w:vertAlign w:val="superscript"/>
        </w:rPr>
        <w:footnoteReference w:id="16"/>
      </w:r>
      <w:r w:rsidRPr="002D3CD2">
        <w:rPr>
          <w:rFonts w:ascii="Times New Roman" w:hAnsi="Times New Roman" w:cs="Times New Roman"/>
          <w:sz w:val="24"/>
          <w:szCs w:val="24"/>
        </w:rPr>
        <w:t xml:space="preserve"> Thus, all questions of Finnish law can be </w:t>
      </w:r>
      <w:r w:rsidRPr="002D3CD2">
        <w:rPr>
          <w:rFonts w:ascii="Times New Roman" w:hAnsi="Times New Roman" w:cs="Times New Roman"/>
          <w:sz w:val="24"/>
          <w:szCs w:val="24"/>
        </w:rPr>
        <w:lastRenderedPageBreak/>
        <w:t>the subject of legally aided assistance at the advice level, and representation is available in almost all types of case.</w:t>
      </w:r>
    </w:p>
    <w:p w:rsidR="00C01A31" w:rsidRPr="002D3CD2" w:rsidRDefault="00D53D42" w:rsidP="002D3CD2">
      <w:pPr>
        <w:spacing w:line="360" w:lineRule="auto"/>
        <w:jc w:val="both"/>
        <w:rPr>
          <w:rFonts w:ascii="Times New Roman" w:hAnsi="Times New Roman" w:cs="Times New Roman"/>
          <w:sz w:val="24"/>
          <w:szCs w:val="24"/>
        </w:rPr>
      </w:pPr>
      <w:proofErr w:type="gramStart"/>
      <w:r w:rsidRPr="002D3CD2">
        <w:rPr>
          <w:rFonts w:ascii="Times New Roman" w:hAnsi="Times New Roman" w:cs="Times New Roman"/>
          <w:sz w:val="24"/>
          <w:szCs w:val="24"/>
        </w:rPr>
        <w:t>Merits testing is</w:t>
      </w:r>
      <w:proofErr w:type="gramEnd"/>
      <w:r w:rsidRPr="002D3CD2">
        <w:rPr>
          <w:rFonts w:ascii="Times New Roman" w:hAnsi="Times New Roman" w:cs="Times New Roman"/>
          <w:sz w:val="24"/>
          <w:szCs w:val="24"/>
        </w:rPr>
        <w:t xml:space="preserve"> also generous in the Finnish legal aid system</w:t>
      </w:r>
      <w:r w:rsidR="00A21C68" w:rsidRPr="002D3CD2">
        <w:rPr>
          <w:rFonts w:ascii="Times New Roman" w:hAnsi="Times New Roman" w:cs="Times New Roman"/>
          <w:sz w:val="24"/>
          <w:szCs w:val="24"/>
        </w:rPr>
        <w:t>, and l</w:t>
      </w:r>
      <w:r w:rsidRPr="002D3CD2">
        <w:rPr>
          <w:rFonts w:ascii="Times New Roman" w:hAnsi="Times New Roman" w:cs="Times New Roman"/>
          <w:sz w:val="24"/>
          <w:szCs w:val="24"/>
        </w:rPr>
        <w:t xml:space="preserve">egal aid will generally be granted </w:t>
      </w:r>
      <w:r w:rsidR="00A21C68" w:rsidRPr="002D3CD2">
        <w:rPr>
          <w:rFonts w:ascii="Times New Roman" w:hAnsi="Times New Roman" w:cs="Times New Roman"/>
          <w:sz w:val="24"/>
          <w:szCs w:val="24"/>
        </w:rPr>
        <w:t>regardless of the merits of the</w:t>
      </w:r>
      <w:r w:rsidRPr="002D3CD2">
        <w:rPr>
          <w:rFonts w:ascii="Times New Roman" w:hAnsi="Times New Roman" w:cs="Times New Roman"/>
          <w:sz w:val="24"/>
          <w:szCs w:val="24"/>
        </w:rPr>
        <w:t xml:space="preserve"> case. The </w:t>
      </w:r>
      <w:r w:rsidR="00C01A31" w:rsidRPr="002D3CD2">
        <w:rPr>
          <w:rFonts w:ascii="Times New Roman" w:hAnsi="Times New Roman" w:cs="Times New Roman"/>
          <w:sz w:val="24"/>
          <w:szCs w:val="24"/>
        </w:rPr>
        <w:t xml:space="preserve">statutory provisions state </w:t>
      </w:r>
      <w:r w:rsidRPr="002D3CD2">
        <w:rPr>
          <w:rFonts w:ascii="Times New Roman" w:hAnsi="Times New Roman" w:cs="Times New Roman"/>
          <w:sz w:val="24"/>
          <w:szCs w:val="24"/>
        </w:rPr>
        <w:t>that assistance will not be provided if: the matter is of minor importance to the applicant; it would be manifestly pointless in proportion to the benefit that would ensue to the applicant; pleading the case would constitute an abuse of process; or the matter is based on an assigned right and there is reason to believe that the purpose of the assignment was to receive legal aid.</w:t>
      </w:r>
      <w:r w:rsidRPr="002D3CD2">
        <w:rPr>
          <w:rFonts w:ascii="Times New Roman" w:hAnsi="Times New Roman" w:cs="Times New Roman"/>
          <w:sz w:val="24"/>
          <w:szCs w:val="24"/>
          <w:vertAlign w:val="superscript"/>
        </w:rPr>
        <w:footnoteReference w:id="17"/>
      </w:r>
      <w:r w:rsidRPr="002D3CD2">
        <w:rPr>
          <w:rFonts w:ascii="Times New Roman" w:hAnsi="Times New Roman" w:cs="Times New Roman"/>
          <w:sz w:val="24"/>
          <w:szCs w:val="24"/>
        </w:rPr>
        <w:t xml:space="preserve"> Unlike in other jurisdictions, no additional guidance is provided by the Ministry of Justice and no secondary legislation contains any merits tests. However, the handbook described </w:t>
      </w:r>
      <w:r w:rsidR="003B3DF0" w:rsidRPr="002D3CD2">
        <w:rPr>
          <w:rFonts w:ascii="Times New Roman" w:hAnsi="Times New Roman" w:cs="Times New Roman"/>
          <w:sz w:val="24"/>
          <w:szCs w:val="24"/>
        </w:rPr>
        <w:t>above</w:t>
      </w:r>
      <w:r w:rsidRPr="002D3CD2">
        <w:rPr>
          <w:rFonts w:ascii="Times New Roman" w:hAnsi="Times New Roman" w:cs="Times New Roman"/>
          <w:sz w:val="24"/>
          <w:szCs w:val="24"/>
        </w:rPr>
        <w:t>, designed to assist consistency of application of the law, suggests an agreed interpretation of the relevant paragraphs.</w:t>
      </w:r>
      <w:r w:rsidRPr="002D3CD2">
        <w:rPr>
          <w:rFonts w:ascii="Times New Roman" w:hAnsi="Times New Roman" w:cs="Times New Roman"/>
          <w:sz w:val="24"/>
          <w:szCs w:val="24"/>
          <w:vertAlign w:val="superscript"/>
        </w:rPr>
        <w:footnoteReference w:id="18"/>
      </w:r>
      <w:r w:rsidRPr="002D3CD2">
        <w:rPr>
          <w:rFonts w:ascii="Times New Roman" w:hAnsi="Times New Roman" w:cs="Times New Roman"/>
          <w:sz w:val="24"/>
          <w:szCs w:val="24"/>
        </w:rPr>
        <w:t xml:space="preserve"> </w:t>
      </w:r>
    </w:p>
    <w:p w:rsidR="00006AD2" w:rsidRPr="002D3CD2" w:rsidRDefault="00C01A31"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In </w:t>
      </w:r>
      <w:r w:rsidR="001C2A69">
        <w:rPr>
          <w:rFonts w:ascii="Times New Roman" w:hAnsi="Times New Roman" w:cs="Times New Roman"/>
          <w:sz w:val="24"/>
          <w:szCs w:val="24"/>
        </w:rPr>
        <w:t xml:space="preserve">referring to </w:t>
      </w:r>
      <w:r w:rsidRPr="002D3CD2">
        <w:rPr>
          <w:rFonts w:ascii="Times New Roman" w:hAnsi="Times New Roman" w:cs="Times New Roman"/>
          <w:sz w:val="24"/>
          <w:szCs w:val="24"/>
        </w:rPr>
        <w:t>the requirement that legal aid cannot be granted if the matter is of minor importance to the applicant, the handbook suggests that the criterion is to be applied by considering whether a reasonably prudent person would bear the costs of taking the case privately, bearing in mind the advantage sought and the means of the applicant.</w:t>
      </w:r>
      <w:r w:rsidRPr="002D3CD2">
        <w:rPr>
          <w:rFonts w:ascii="Times New Roman" w:hAnsi="Times New Roman" w:cs="Times New Roman"/>
          <w:sz w:val="24"/>
          <w:szCs w:val="24"/>
          <w:vertAlign w:val="superscript"/>
        </w:rPr>
        <w:footnoteReference w:id="19"/>
      </w:r>
      <w:r w:rsidRPr="002D3CD2">
        <w:rPr>
          <w:rFonts w:ascii="Times New Roman" w:hAnsi="Times New Roman" w:cs="Times New Roman"/>
          <w:sz w:val="24"/>
          <w:szCs w:val="24"/>
        </w:rPr>
        <w:t xml:space="preserve"> Thus</w:t>
      </w:r>
      <w:r w:rsidR="00D53D42" w:rsidRPr="002D3CD2">
        <w:rPr>
          <w:rFonts w:ascii="Times New Roman" w:hAnsi="Times New Roman" w:cs="Times New Roman"/>
          <w:sz w:val="24"/>
          <w:szCs w:val="24"/>
        </w:rPr>
        <w:t>, whilst there is no ‘reasonable privately paying person’ test on the face of the legislation</w:t>
      </w:r>
      <w:r w:rsidR="002624C2" w:rsidRPr="002D3CD2">
        <w:rPr>
          <w:rFonts w:ascii="Times New Roman" w:hAnsi="Times New Roman" w:cs="Times New Roman"/>
          <w:sz w:val="24"/>
          <w:szCs w:val="24"/>
        </w:rPr>
        <w:t>, such a criterion is applied in practice, i</w:t>
      </w:r>
      <w:r w:rsidR="00D53D42" w:rsidRPr="002D3CD2">
        <w:rPr>
          <w:rFonts w:ascii="Times New Roman" w:hAnsi="Times New Roman" w:cs="Times New Roman"/>
          <w:sz w:val="24"/>
          <w:szCs w:val="24"/>
        </w:rPr>
        <w:t>n line with the intention expressed in the legislative proposal</w:t>
      </w:r>
      <w:r w:rsidR="002624C2" w:rsidRPr="002D3CD2">
        <w:rPr>
          <w:rFonts w:ascii="Times New Roman" w:hAnsi="Times New Roman" w:cs="Times New Roman"/>
          <w:sz w:val="24"/>
          <w:szCs w:val="24"/>
        </w:rPr>
        <w:t>,</w:t>
      </w:r>
      <w:r w:rsidR="00D53D42" w:rsidRPr="002D3CD2">
        <w:rPr>
          <w:rFonts w:ascii="Times New Roman" w:hAnsi="Times New Roman" w:cs="Times New Roman"/>
          <w:sz w:val="24"/>
          <w:szCs w:val="24"/>
          <w:vertAlign w:val="superscript"/>
        </w:rPr>
        <w:footnoteReference w:id="20"/>
      </w:r>
      <w:r w:rsidR="002624C2" w:rsidRPr="002D3CD2">
        <w:rPr>
          <w:rFonts w:ascii="Times New Roman" w:hAnsi="Times New Roman" w:cs="Times New Roman"/>
          <w:sz w:val="24"/>
          <w:szCs w:val="24"/>
        </w:rPr>
        <w:t xml:space="preserve"> although generously interpreted.</w:t>
      </w:r>
      <w:r w:rsidR="00596161" w:rsidRPr="002D3CD2">
        <w:rPr>
          <w:rFonts w:ascii="Times New Roman" w:hAnsi="Times New Roman" w:cs="Times New Roman"/>
          <w:sz w:val="24"/>
          <w:szCs w:val="24"/>
        </w:rPr>
        <w:t xml:space="preserve"> </w:t>
      </w:r>
      <w:r w:rsidR="00006AD2" w:rsidRPr="002D3CD2">
        <w:rPr>
          <w:rFonts w:ascii="Times New Roman" w:hAnsi="Times New Roman" w:cs="Times New Roman"/>
          <w:sz w:val="24"/>
          <w:szCs w:val="24"/>
        </w:rPr>
        <w:t>The test is to be applied subjectively, i.e. by considering whether for that individual the matter is particularly important despite its objectively low value.</w:t>
      </w:r>
      <w:r w:rsidR="00006AD2" w:rsidRPr="002D3CD2">
        <w:rPr>
          <w:rFonts w:ascii="Times New Roman" w:hAnsi="Times New Roman" w:cs="Times New Roman"/>
          <w:sz w:val="24"/>
          <w:szCs w:val="24"/>
          <w:vertAlign w:val="superscript"/>
        </w:rPr>
        <w:footnoteReference w:id="21"/>
      </w:r>
      <w:r w:rsidR="00006AD2" w:rsidRPr="002D3CD2">
        <w:rPr>
          <w:rFonts w:ascii="Times New Roman" w:hAnsi="Times New Roman" w:cs="Times New Roman"/>
          <w:sz w:val="24"/>
          <w:szCs w:val="24"/>
        </w:rPr>
        <w:t xml:space="preserve"> However, there is also a provision that legal aid should be refused if a grant would be clearly meaningless in relation to the benefit to be gained, which according to the suggested interpretation should include cases where “the benefit to the applicant is objectively estimated to be so low, that legal aid would not be appropriate”, even if the applicant considers the claim important.</w:t>
      </w:r>
      <w:r w:rsidR="00006AD2" w:rsidRPr="002D3CD2">
        <w:rPr>
          <w:rFonts w:ascii="Times New Roman" w:hAnsi="Times New Roman" w:cs="Times New Roman"/>
          <w:sz w:val="24"/>
          <w:szCs w:val="24"/>
          <w:vertAlign w:val="superscript"/>
        </w:rPr>
        <w:footnoteReference w:id="22"/>
      </w:r>
      <w:r w:rsidR="00006AD2" w:rsidRPr="002D3CD2">
        <w:rPr>
          <w:rFonts w:ascii="Times New Roman" w:hAnsi="Times New Roman" w:cs="Times New Roman"/>
          <w:sz w:val="24"/>
          <w:szCs w:val="24"/>
        </w:rPr>
        <w:t xml:space="preserve"> This </w:t>
      </w:r>
      <w:r w:rsidR="001C2A69">
        <w:rPr>
          <w:rFonts w:ascii="Times New Roman" w:hAnsi="Times New Roman" w:cs="Times New Roman"/>
          <w:sz w:val="24"/>
          <w:szCs w:val="24"/>
        </w:rPr>
        <w:t xml:space="preserve">latter </w:t>
      </w:r>
      <w:r w:rsidR="00006AD2" w:rsidRPr="002D3CD2">
        <w:rPr>
          <w:rFonts w:ascii="Times New Roman" w:hAnsi="Times New Roman" w:cs="Times New Roman"/>
          <w:sz w:val="24"/>
          <w:szCs w:val="24"/>
        </w:rPr>
        <w:t xml:space="preserve">test does not appear to be very significant in practice and is not expanded upon further in the </w:t>
      </w:r>
      <w:proofErr w:type="gramStart"/>
      <w:r w:rsidR="00006AD2" w:rsidRPr="002D3CD2">
        <w:rPr>
          <w:rFonts w:ascii="Times New Roman" w:hAnsi="Times New Roman" w:cs="Times New Roman"/>
          <w:sz w:val="24"/>
          <w:szCs w:val="24"/>
        </w:rPr>
        <w:t>handbook,</w:t>
      </w:r>
      <w:proofErr w:type="gramEnd"/>
      <w:r w:rsidR="00006AD2" w:rsidRPr="002D3CD2">
        <w:rPr>
          <w:rFonts w:ascii="Times New Roman" w:hAnsi="Times New Roman" w:cs="Times New Roman"/>
          <w:sz w:val="24"/>
          <w:szCs w:val="24"/>
        </w:rPr>
        <w:t xml:space="preserve"> however it is of note that there is no equivalence to a cost-benefit test, as there is no reference to the cost of the case.</w:t>
      </w:r>
      <w:r w:rsidR="002624C2" w:rsidRPr="002D3CD2">
        <w:rPr>
          <w:rFonts w:ascii="Times New Roman" w:hAnsi="Times New Roman" w:cs="Times New Roman"/>
          <w:sz w:val="24"/>
          <w:szCs w:val="24"/>
        </w:rPr>
        <w:t xml:space="preserve"> </w:t>
      </w:r>
    </w:p>
    <w:p w:rsidR="00D53D42" w:rsidRPr="002D3CD2" w:rsidRDefault="002624C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The legal aid eligibility criteria do not include any measure of likelihood of success and thus legal aid is available for very weak or even hopeless cases. This omission, which is a significant and unusual characteristic of the Finnish system, is partly possible because a grant of Finnish legal aid does not protect against inter-parties costs if the case is lost; the risk of having to pay the other side’s costs acts as a deterrent to clients wanting to pursue cases with low chances of success. This may also to a certain degree explain how the decision-makers can maintain a light touch on all the merits-testing without unacceptably pushing up expenditure.</w:t>
      </w:r>
      <w:r w:rsidR="00D53D42" w:rsidRPr="002D3CD2">
        <w:rPr>
          <w:rFonts w:ascii="Times New Roman" w:hAnsi="Times New Roman" w:cs="Times New Roman"/>
          <w:sz w:val="24"/>
          <w:szCs w:val="24"/>
        </w:rPr>
        <w:t xml:space="preserve"> </w:t>
      </w:r>
    </w:p>
    <w:p w:rsidR="00DA2516" w:rsidRPr="002D3CD2" w:rsidRDefault="00DA2516"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A Finnish legal aid certificate covers work on the case at all levels of the court hierarchy; thus, appeals are covered by the same certificate.</w:t>
      </w:r>
      <w:r w:rsidRPr="002D3CD2">
        <w:rPr>
          <w:rFonts w:ascii="Times New Roman" w:hAnsi="Times New Roman" w:cs="Times New Roman"/>
          <w:sz w:val="24"/>
          <w:szCs w:val="24"/>
          <w:vertAlign w:val="superscript"/>
        </w:rPr>
        <w:footnoteReference w:id="23"/>
      </w:r>
      <w:r w:rsidR="00596161" w:rsidRPr="002D3CD2">
        <w:rPr>
          <w:rFonts w:ascii="Times New Roman" w:hAnsi="Times New Roman" w:cs="Times New Roman"/>
          <w:sz w:val="24"/>
          <w:szCs w:val="24"/>
        </w:rPr>
        <w:t xml:space="preserve"> </w:t>
      </w:r>
      <w:r w:rsidR="00CD43B2" w:rsidRPr="002D3CD2">
        <w:rPr>
          <w:rFonts w:ascii="Times New Roman" w:hAnsi="Times New Roman" w:cs="Times New Roman"/>
          <w:sz w:val="24"/>
          <w:szCs w:val="24"/>
        </w:rPr>
        <w:t>A grant can be made retrospectively</w:t>
      </w:r>
      <w:r w:rsidR="00CD43B2" w:rsidRPr="002D3CD2">
        <w:rPr>
          <w:rFonts w:ascii="Times New Roman" w:hAnsi="Times New Roman" w:cs="Times New Roman"/>
          <w:sz w:val="24"/>
          <w:szCs w:val="24"/>
          <w:vertAlign w:val="superscript"/>
        </w:rPr>
        <w:footnoteReference w:id="24"/>
      </w:r>
      <w:r w:rsidR="00CD43B2" w:rsidRPr="002D3CD2">
        <w:rPr>
          <w:rFonts w:ascii="Times New Roman" w:hAnsi="Times New Roman" w:cs="Times New Roman"/>
          <w:sz w:val="24"/>
          <w:szCs w:val="24"/>
        </w:rPr>
        <w:t xml:space="preserve"> although as a general rule an application should be made as soon as possible and in any event before the case is concluded.</w:t>
      </w:r>
      <w:r w:rsidR="00CD43B2" w:rsidRPr="002D3CD2">
        <w:rPr>
          <w:rFonts w:ascii="Times New Roman" w:hAnsi="Times New Roman" w:cs="Times New Roman"/>
          <w:sz w:val="24"/>
          <w:szCs w:val="24"/>
          <w:vertAlign w:val="superscript"/>
        </w:rPr>
        <w:footnoteReference w:id="25"/>
      </w:r>
      <w:r w:rsidR="00CD43B2" w:rsidRPr="002D3CD2">
        <w:rPr>
          <w:rFonts w:ascii="Times New Roman" w:hAnsi="Times New Roman" w:cs="Times New Roman"/>
          <w:sz w:val="24"/>
          <w:szCs w:val="24"/>
        </w:rPr>
        <w:t xml:space="preserve"> </w:t>
      </w:r>
      <w:r w:rsidR="00ED136B" w:rsidRPr="002D3CD2">
        <w:rPr>
          <w:rFonts w:ascii="Times New Roman" w:hAnsi="Times New Roman" w:cs="Times New Roman"/>
          <w:sz w:val="24"/>
          <w:szCs w:val="24"/>
        </w:rPr>
        <w:t>L</w:t>
      </w:r>
      <w:r w:rsidRPr="002D3CD2">
        <w:rPr>
          <w:rFonts w:ascii="Times New Roman" w:hAnsi="Times New Roman" w:cs="Times New Roman"/>
          <w:sz w:val="24"/>
          <w:szCs w:val="24"/>
        </w:rPr>
        <w:t xml:space="preserve">egal aid is limited to 80 hours’ lawyer time in most cases and if work cannot be completed within this limit, an application </w:t>
      </w:r>
      <w:r w:rsidR="00ED136B" w:rsidRPr="002D3CD2">
        <w:rPr>
          <w:rFonts w:ascii="Times New Roman" w:hAnsi="Times New Roman" w:cs="Times New Roman"/>
          <w:sz w:val="24"/>
          <w:szCs w:val="24"/>
        </w:rPr>
        <w:t>can</w:t>
      </w:r>
      <w:r w:rsidRPr="002D3CD2">
        <w:rPr>
          <w:rFonts w:ascii="Times New Roman" w:hAnsi="Times New Roman" w:cs="Times New Roman"/>
          <w:sz w:val="24"/>
          <w:szCs w:val="24"/>
        </w:rPr>
        <w:t xml:space="preserve"> be made for a time extension of up to 30 hours at a time.</w:t>
      </w:r>
      <w:r w:rsidR="00596161" w:rsidRPr="002D3CD2">
        <w:rPr>
          <w:rFonts w:ascii="Times New Roman" w:hAnsi="Times New Roman" w:cs="Times New Roman"/>
          <w:sz w:val="24"/>
          <w:szCs w:val="24"/>
        </w:rPr>
        <w:t xml:space="preserve"> </w:t>
      </w:r>
      <w:r w:rsidR="00ED136B" w:rsidRPr="002D3CD2">
        <w:rPr>
          <w:rFonts w:ascii="Times New Roman" w:hAnsi="Times New Roman" w:cs="Times New Roman"/>
          <w:sz w:val="24"/>
          <w:szCs w:val="24"/>
        </w:rPr>
        <w:t xml:space="preserve">These provisions </w:t>
      </w:r>
      <w:r w:rsidR="003B3DF0" w:rsidRPr="002D3CD2">
        <w:rPr>
          <w:rFonts w:ascii="Times New Roman" w:hAnsi="Times New Roman" w:cs="Times New Roman"/>
          <w:sz w:val="24"/>
          <w:szCs w:val="24"/>
        </w:rPr>
        <w:t>would seem luxurious to legal aid lawyers in</w:t>
      </w:r>
      <w:r w:rsidR="00ED136B" w:rsidRPr="002D3CD2">
        <w:rPr>
          <w:rFonts w:ascii="Times New Roman" w:hAnsi="Times New Roman" w:cs="Times New Roman"/>
          <w:sz w:val="24"/>
          <w:szCs w:val="24"/>
        </w:rPr>
        <w:t xml:space="preserve"> many other jurisdictions.</w:t>
      </w:r>
    </w:p>
    <w:p w:rsidR="008D69FB" w:rsidRPr="002D3CD2" w:rsidRDefault="008D69FB"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Finnish legal aid scheme is therefore very generous in terms of coverage and content, yet is cheap compared to its neighbours.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In 2014, the legal aid spend per capita in Finland was </w:t>
      </w:r>
      <w:r w:rsidR="00B46B60" w:rsidRPr="002D3CD2">
        <w:rPr>
          <w:rFonts w:ascii="Times New Roman" w:hAnsi="Times New Roman" w:cs="Times New Roman"/>
          <w:sz w:val="24"/>
          <w:szCs w:val="24"/>
        </w:rPr>
        <w:t xml:space="preserve">approximately 12 euros, the lowest in </w:t>
      </w:r>
      <w:r w:rsidR="000C73B3" w:rsidRPr="002D3CD2">
        <w:rPr>
          <w:rFonts w:ascii="Times New Roman" w:hAnsi="Times New Roman" w:cs="Times New Roman"/>
          <w:sz w:val="24"/>
          <w:szCs w:val="24"/>
        </w:rPr>
        <w:t xml:space="preserve">all of </w:t>
      </w:r>
      <w:r w:rsidR="00B46B60" w:rsidRPr="002D3CD2">
        <w:rPr>
          <w:rFonts w:ascii="Times New Roman" w:hAnsi="Times New Roman" w:cs="Times New Roman"/>
          <w:sz w:val="24"/>
          <w:szCs w:val="24"/>
        </w:rPr>
        <w:t>the Nordic countries, the UK and the Republic of Ireland.</w:t>
      </w:r>
      <w:r w:rsidR="00B46B60" w:rsidRPr="002D3CD2">
        <w:rPr>
          <w:rStyle w:val="FootnoteReference"/>
          <w:rFonts w:ascii="Times New Roman" w:hAnsi="Times New Roman" w:cs="Times New Roman"/>
          <w:sz w:val="24"/>
          <w:szCs w:val="24"/>
        </w:rPr>
        <w:footnoteReference w:id="26"/>
      </w:r>
      <w:r w:rsidR="00596161" w:rsidRPr="002D3CD2">
        <w:rPr>
          <w:rFonts w:ascii="Times New Roman" w:hAnsi="Times New Roman" w:cs="Times New Roman"/>
          <w:sz w:val="24"/>
          <w:szCs w:val="24"/>
        </w:rPr>
        <w:t xml:space="preserve"> </w:t>
      </w:r>
    </w:p>
    <w:p w:rsidR="001E5709" w:rsidRPr="002D3CD2" w:rsidRDefault="008C69C7"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Sweden</w:t>
      </w:r>
    </w:p>
    <w:p w:rsidR="001C43CC" w:rsidRPr="002D3CD2" w:rsidRDefault="006D39BF"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Sweden has a legal aid scheme which covers civil and, to a lesser extent, administrative cases.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Legal aid cannot be granted for criminal cases, for which assistance is instead given through a public attorney scheme. Public Attorneys are also provided in other cases where the state is taking proceedings against an individual such as child care proceedings, compulsory treatment of addicts and incarceration under mental health legislation.</w:t>
      </w:r>
      <w:r w:rsidRPr="002D3CD2">
        <w:rPr>
          <w:rFonts w:ascii="Times New Roman" w:hAnsi="Times New Roman" w:cs="Times New Roman"/>
          <w:sz w:val="24"/>
          <w:szCs w:val="24"/>
          <w:vertAlign w:val="superscript"/>
        </w:rPr>
        <w:footnoteReference w:id="27"/>
      </w:r>
      <w:r w:rsidR="00596161" w:rsidRPr="002D3CD2">
        <w:rPr>
          <w:rFonts w:ascii="Times New Roman" w:hAnsi="Times New Roman" w:cs="Times New Roman"/>
          <w:sz w:val="24"/>
          <w:szCs w:val="24"/>
        </w:rPr>
        <w:t xml:space="preserve"> </w:t>
      </w:r>
      <w:r w:rsidR="001C43CC" w:rsidRPr="002D3CD2">
        <w:rPr>
          <w:rFonts w:ascii="Times New Roman" w:hAnsi="Times New Roman" w:cs="Times New Roman"/>
          <w:sz w:val="24"/>
          <w:szCs w:val="24"/>
        </w:rPr>
        <w:t>The public attorney scheme is not means-tested, but for cases where legal aid is the appropriate source of assistance, a financial eligibility test is applied.</w:t>
      </w:r>
      <w:r w:rsidR="00596161" w:rsidRPr="002D3CD2">
        <w:rPr>
          <w:rFonts w:ascii="Times New Roman" w:hAnsi="Times New Roman" w:cs="Times New Roman"/>
          <w:sz w:val="24"/>
          <w:szCs w:val="24"/>
        </w:rPr>
        <w:t xml:space="preserve"> </w:t>
      </w:r>
      <w:r w:rsidR="001C43CC" w:rsidRPr="002D3CD2">
        <w:rPr>
          <w:rFonts w:ascii="Times New Roman" w:hAnsi="Times New Roman" w:cs="Times New Roman"/>
          <w:sz w:val="24"/>
          <w:szCs w:val="24"/>
        </w:rPr>
        <w:t xml:space="preserve">In 2013 approximately 43% of the Swedish </w:t>
      </w:r>
      <w:r w:rsidR="001C43CC" w:rsidRPr="002D3CD2">
        <w:rPr>
          <w:rFonts w:ascii="Times New Roman" w:hAnsi="Times New Roman" w:cs="Times New Roman"/>
          <w:sz w:val="24"/>
          <w:szCs w:val="24"/>
        </w:rPr>
        <w:lastRenderedPageBreak/>
        <w:t>population was eligible for legal aid,</w:t>
      </w:r>
      <w:r w:rsidR="001C43CC" w:rsidRPr="002D3CD2">
        <w:rPr>
          <w:rFonts w:ascii="Times New Roman" w:hAnsi="Times New Roman" w:cs="Times New Roman"/>
          <w:sz w:val="24"/>
          <w:szCs w:val="24"/>
          <w:vertAlign w:val="superscript"/>
        </w:rPr>
        <w:footnoteReference w:id="28"/>
      </w:r>
      <w:r w:rsidR="001C43CC" w:rsidRPr="002D3CD2">
        <w:rPr>
          <w:rFonts w:ascii="Times New Roman" w:hAnsi="Times New Roman" w:cs="Times New Roman"/>
          <w:sz w:val="24"/>
          <w:szCs w:val="24"/>
        </w:rPr>
        <w:t xml:space="preserve"> considerably lower than the </w:t>
      </w:r>
      <w:r w:rsidR="00123675" w:rsidRPr="002D3CD2">
        <w:rPr>
          <w:rFonts w:ascii="Times New Roman" w:hAnsi="Times New Roman" w:cs="Times New Roman"/>
          <w:sz w:val="24"/>
          <w:szCs w:val="24"/>
        </w:rPr>
        <w:t>75% eligible in Finland, but still generous compare</w:t>
      </w:r>
      <w:r w:rsidR="000C73B3" w:rsidRPr="002D3CD2">
        <w:rPr>
          <w:rFonts w:ascii="Times New Roman" w:hAnsi="Times New Roman" w:cs="Times New Roman"/>
          <w:sz w:val="24"/>
          <w:szCs w:val="24"/>
        </w:rPr>
        <w:t>d</w:t>
      </w:r>
      <w:r w:rsidR="00123675" w:rsidRPr="002D3CD2">
        <w:rPr>
          <w:rFonts w:ascii="Times New Roman" w:hAnsi="Times New Roman" w:cs="Times New Roman"/>
          <w:sz w:val="24"/>
          <w:szCs w:val="24"/>
        </w:rPr>
        <w:t xml:space="preserve"> to many other jurisdictions.</w:t>
      </w:r>
    </w:p>
    <w:p w:rsidR="00123675" w:rsidRPr="002D3CD2" w:rsidRDefault="000731D8"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There have been no public law offices in Sweden since reforms in 1997; all lawyers providing services to members of the public are in private practice. There is </w:t>
      </w:r>
      <w:r w:rsidR="000C73B3" w:rsidRPr="002D3CD2">
        <w:rPr>
          <w:rFonts w:ascii="Times New Roman" w:hAnsi="Times New Roman" w:cs="Times New Roman"/>
          <w:sz w:val="24"/>
          <w:szCs w:val="24"/>
        </w:rPr>
        <w:t>in theory a</w:t>
      </w:r>
      <w:r w:rsidRPr="002D3CD2">
        <w:rPr>
          <w:rFonts w:ascii="Times New Roman" w:hAnsi="Times New Roman" w:cs="Times New Roman"/>
          <w:sz w:val="24"/>
          <w:szCs w:val="24"/>
        </w:rPr>
        <w:t xml:space="preserve"> wide choice of </w:t>
      </w:r>
      <w:r w:rsidR="001A3C6E" w:rsidRPr="002D3CD2">
        <w:rPr>
          <w:rFonts w:ascii="Times New Roman" w:hAnsi="Times New Roman" w:cs="Times New Roman"/>
          <w:sz w:val="24"/>
          <w:szCs w:val="24"/>
        </w:rPr>
        <w:t>representative</w:t>
      </w:r>
      <w:r w:rsidRPr="002D3CD2">
        <w:rPr>
          <w:rFonts w:ascii="Times New Roman" w:hAnsi="Times New Roman" w:cs="Times New Roman"/>
          <w:sz w:val="24"/>
          <w:szCs w:val="24"/>
        </w:rPr>
        <w:t xml:space="preserve"> for the legally-aided party in Sweden </w:t>
      </w:r>
      <w:r w:rsidR="001A3C6E" w:rsidRPr="002D3CD2">
        <w:rPr>
          <w:rFonts w:ascii="Times New Roman" w:hAnsi="Times New Roman" w:cs="Times New Roman"/>
          <w:sz w:val="24"/>
          <w:szCs w:val="24"/>
        </w:rPr>
        <w:t>as any lawyer and even</w:t>
      </w:r>
      <w:r w:rsidRPr="002D3CD2">
        <w:rPr>
          <w:rFonts w:ascii="Times New Roman" w:hAnsi="Times New Roman" w:cs="Times New Roman"/>
          <w:sz w:val="24"/>
          <w:szCs w:val="24"/>
        </w:rPr>
        <w:t xml:space="preserve"> </w:t>
      </w:r>
      <w:r w:rsidR="001A3C6E" w:rsidRPr="002D3CD2">
        <w:rPr>
          <w:rFonts w:ascii="Times New Roman" w:hAnsi="Times New Roman" w:cs="Times New Roman"/>
          <w:sz w:val="24"/>
          <w:szCs w:val="24"/>
        </w:rPr>
        <w:t>a legally unqualified person may be paid for by legal aid.</w:t>
      </w:r>
      <w:r w:rsidR="001A3C6E" w:rsidRPr="002D3CD2">
        <w:rPr>
          <w:rFonts w:ascii="Times New Roman" w:hAnsi="Times New Roman" w:cs="Times New Roman"/>
          <w:sz w:val="24"/>
          <w:szCs w:val="24"/>
          <w:vertAlign w:val="superscript"/>
        </w:rPr>
        <w:footnoteReference w:id="29"/>
      </w:r>
      <w:r w:rsidR="001C2A69">
        <w:rPr>
          <w:rFonts w:ascii="Times New Roman" w:hAnsi="Times New Roman" w:cs="Times New Roman"/>
          <w:sz w:val="24"/>
          <w:szCs w:val="24"/>
        </w:rPr>
        <w:t xml:space="preserve"> This choice is, however, depende</w:t>
      </w:r>
      <w:r w:rsidR="001A3C6E" w:rsidRPr="002D3CD2">
        <w:rPr>
          <w:rFonts w:ascii="Times New Roman" w:hAnsi="Times New Roman" w:cs="Times New Roman"/>
          <w:sz w:val="24"/>
          <w:szCs w:val="24"/>
        </w:rPr>
        <w:t xml:space="preserve">nt </w:t>
      </w:r>
      <w:r w:rsidR="001C2A69">
        <w:rPr>
          <w:rFonts w:ascii="Times New Roman" w:hAnsi="Times New Roman" w:cs="Times New Roman"/>
          <w:sz w:val="24"/>
          <w:szCs w:val="24"/>
        </w:rPr>
        <w:t xml:space="preserve">on </w:t>
      </w:r>
      <w:r w:rsidR="001A3C6E" w:rsidRPr="002D3CD2">
        <w:rPr>
          <w:rFonts w:ascii="Times New Roman" w:hAnsi="Times New Roman" w:cs="Times New Roman"/>
          <w:sz w:val="24"/>
          <w:szCs w:val="24"/>
        </w:rPr>
        <w:t xml:space="preserve">the desired representative, whether legally qualified or not, being prepared to take the case at legal aid rates. </w:t>
      </w:r>
      <w:r w:rsidR="00123675" w:rsidRPr="002D3CD2">
        <w:rPr>
          <w:rFonts w:ascii="Times New Roman" w:hAnsi="Times New Roman" w:cs="Times New Roman"/>
          <w:sz w:val="24"/>
          <w:szCs w:val="24"/>
        </w:rPr>
        <w:t>If the client proposes a</w:t>
      </w:r>
      <w:r w:rsidRPr="002D3CD2">
        <w:rPr>
          <w:rFonts w:ascii="Times New Roman" w:hAnsi="Times New Roman" w:cs="Times New Roman"/>
          <w:sz w:val="24"/>
          <w:szCs w:val="24"/>
        </w:rPr>
        <w:t xml:space="preserve"> </w:t>
      </w:r>
      <w:r w:rsidR="00123675" w:rsidRPr="002D3CD2">
        <w:rPr>
          <w:rFonts w:ascii="Times New Roman" w:hAnsi="Times New Roman" w:cs="Times New Roman"/>
          <w:sz w:val="24"/>
          <w:szCs w:val="24"/>
        </w:rPr>
        <w:t xml:space="preserve">suitable </w:t>
      </w:r>
      <w:r w:rsidR="001A3C6E" w:rsidRPr="002D3CD2">
        <w:rPr>
          <w:rFonts w:ascii="Times New Roman" w:hAnsi="Times New Roman" w:cs="Times New Roman"/>
          <w:sz w:val="24"/>
          <w:szCs w:val="24"/>
        </w:rPr>
        <w:t xml:space="preserve">unqualified </w:t>
      </w:r>
      <w:r w:rsidR="00123675" w:rsidRPr="002D3CD2">
        <w:rPr>
          <w:rFonts w:ascii="Times New Roman" w:hAnsi="Times New Roman" w:cs="Times New Roman"/>
          <w:sz w:val="24"/>
          <w:szCs w:val="24"/>
        </w:rPr>
        <w:t>person, they must be appointed unless there are special reasons for not doing so</w:t>
      </w:r>
      <w:r w:rsidRPr="002D3CD2">
        <w:rPr>
          <w:rFonts w:ascii="Times New Roman" w:hAnsi="Times New Roman" w:cs="Times New Roman"/>
          <w:sz w:val="24"/>
          <w:szCs w:val="24"/>
        </w:rPr>
        <w:t>,</w:t>
      </w:r>
      <w:r w:rsidR="00123675" w:rsidRPr="002D3CD2">
        <w:rPr>
          <w:rFonts w:ascii="Times New Roman" w:hAnsi="Times New Roman" w:cs="Times New Roman"/>
          <w:sz w:val="24"/>
          <w:szCs w:val="24"/>
          <w:vertAlign w:val="superscript"/>
        </w:rPr>
        <w:footnoteReference w:id="30"/>
      </w:r>
      <w:r w:rsidR="00123675" w:rsidRPr="002D3CD2">
        <w:rPr>
          <w:rFonts w:ascii="Times New Roman" w:hAnsi="Times New Roman" w:cs="Times New Roman"/>
          <w:sz w:val="24"/>
          <w:szCs w:val="24"/>
        </w:rPr>
        <w:t xml:space="preserve"> in keeping with the unregulated nature of the practice of law in Sweden. </w:t>
      </w:r>
    </w:p>
    <w:p w:rsidR="00123675" w:rsidRPr="002D3CD2" w:rsidRDefault="00123675"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Sweden </w:t>
      </w:r>
      <w:r w:rsidR="001A3C6E" w:rsidRPr="002D3CD2">
        <w:rPr>
          <w:rFonts w:ascii="Times New Roman" w:hAnsi="Times New Roman" w:cs="Times New Roman"/>
          <w:sz w:val="24"/>
          <w:szCs w:val="24"/>
        </w:rPr>
        <w:t>takes the</w:t>
      </w:r>
      <w:r w:rsidRPr="002D3CD2">
        <w:rPr>
          <w:rFonts w:ascii="Times New Roman" w:hAnsi="Times New Roman" w:cs="Times New Roman"/>
          <w:sz w:val="24"/>
          <w:szCs w:val="24"/>
        </w:rPr>
        <w:t xml:space="preserve"> distinctive approach </w:t>
      </w:r>
      <w:r w:rsidR="001A3C6E" w:rsidRPr="002D3CD2">
        <w:rPr>
          <w:rFonts w:ascii="Times New Roman" w:hAnsi="Times New Roman" w:cs="Times New Roman"/>
          <w:sz w:val="24"/>
          <w:szCs w:val="24"/>
        </w:rPr>
        <w:t>of mandating b</w:t>
      </w:r>
      <w:r w:rsidR="00867DEB" w:rsidRPr="002D3CD2">
        <w:rPr>
          <w:rFonts w:ascii="Times New Roman" w:hAnsi="Times New Roman" w:cs="Times New Roman"/>
          <w:sz w:val="24"/>
          <w:szCs w:val="24"/>
        </w:rPr>
        <w:t xml:space="preserve">etween one and two hours’ legal advice </w:t>
      </w:r>
      <w:r w:rsidR="001A3C6E" w:rsidRPr="002D3CD2">
        <w:rPr>
          <w:rFonts w:ascii="Times New Roman" w:hAnsi="Times New Roman" w:cs="Times New Roman"/>
          <w:sz w:val="24"/>
          <w:szCs w:val="24"/>
        </w:rPr>
        <w:t>a</w:t>
      </w:r>
      <w:r w:rsidR="00867DEB" w:rsidRPr="002D3CD2">
        <w:rPr>
          <w:rFonts w:ascii="Times New Roman" w:hAnsi="Times New Roman" w:cs="Times New Roman"/>
          <w:sz w:val="24"/>
          <w:szCs w:val="24"/>
        </w:rPr>
        <w:t>s a pre-condition of legal aid</w:t>
      </w:r>
      <w:r w:rsidRPr="002D3CD2">
        <w:rPr>
          <w:rFonts w:ascii="Times New Roman" w:hAnsi="Times New Roman" w:cs="Times New Roman"/>
          <w:sz w:val="24"/>
          <w:szCs w:val="24"/>
        </w:rPr>
        <w:t>, unless this is clearly unnecessary or there are special reasons why legal aid should nonetheless be granted.</w:t>
      </w:r>
      <w:r w:rsidRPr="002D3CD2">
        <w:rPr>
          <w:rFonts w:ascii="Times New Roman" w:hAnsi="Times New Roman" w:cs="Times New Roman"/>
          <w:sz w:val="24"/>
          <w:szCs w:val="24"/>
          <w:vertAlign w:val="superscript"/>
        </w:rPr>
        <w:footnoteReference w:id="31"/>
      </w:r>
      <w:r w:rsidRPr="002D3CD2">
        <w:rPr>
          <w:rFonts w:ascii="Times New Roman" w:hAnsi="Times New Roman" w:cs="Times New Roman"/>
          <w:sz w:val="24"/>
          <w:szCs w:val="24"/>
        </w:rPr>
        <w:t xml:space="preserve"> The requirement is strictly applied and decided cases show, for example, that the applicant having already been in receipt of legal aid for a related matter</w:t>
      </w:r>
      <w:r w:rsidRPr="002D3CD2">
        <w:rPr>
          <w:rFonts w:ascii="Times New Roman" w:hAnsi="Times New Roman" w:cs="Times New Roman"/>
          <w:sz w:val="24"/>
          <w:szCs w:val="24"/>
          <w:vertAlign w:val="superscript"/>
        </w:rPr>
        <w:footnoteReference w:id="32"/>
      </w:r>
      <w:r w:rsidRPr="002D3CD2">
        <w:rPr>
          <w:rFonts w:ascii="Times New Roman" w:hAnsi="Times New Roman" w:cs="Times New Roman"/>
          <w:sz w:val="24"/>
          <w:szCs w:val="24"/>
        </w:rPr>
        <w:t xml:space="preserve"> or being outside the country</w:t>
      </w:r>
      <w:r w:rsidRPr="002D3CD2">
        <w:rPr>
          <w:rFonts w:ascii="Times New Roman" w:hAnsi="Times New Roman" w:cs="Times New Roman"/>
          <w:sz w:val="24"/>
          <w:szCs w:val="24"/>
          <w:vertAlign w:val="superscript"/>
        </w:rPr>
        <w:footnoteReference w:id="33"/>
      </w:r>
      <w:r w:rsidRPr="002D3CD2">
        <w:rPr>
          <w:rFonts w:ascii="Times New Roman" w:hAnsi="Times New Roman" w:cs="Times New Roman"/>
          <w:sz w:val="24"/>
          <w:szCs w:val="24"/>
        </w:rPr>
        <w:t xml:space="preserve"> will not result in preliminary advice being held clearly unnecessary. </w:t>
      </w:r>
      <w:r w:rsidR="000731D8" w:rsidRPr="002D3CD2">
        <w:rPr>
          <w:rFonts w:ascii="Times New Roman" w:hAnsi="Times New Roman" w:cs="Times New Roman"/>
          <w:sz w:val="24"/>
          <w:szCs w:val="24"/>
        </w:rPr>
        <w:t>The com</w:t>
      </w:r>
      <w:r w:rsidR="00EC339F" w:rsidRPr="002D3CD2">
        <w:rPr>
          <w:rFonts w:ascii="Times New Roman" w:hAnsi="Times New Roman" w:cs="Times New Roman"/>
          <w:sz w:val="24"/>
          <w:szCs w:val="24"/>
        </w:rPr>
        <w:t>pulsory nature of the advice may be troublesome, as advice is not free to the client, however low his means. At most, half of the fixed advice fee will be paid by legal aid, which means that all clients (with the exception of indigent minors, for whom legal aid will pay the whole advice fee) must pay at least half an hour’s lawyer’s fee before entering the legal aid scheme. At 2017 rates, this amounts to a payment of at least 615 Swedish kronor.</w:t>
      </w:r>
      <w:r w:rsidR="00EC339F" w:rsidRPr="002D3CD2">
        <w:rPr>
          <w:rFonts w:ascii="Times New Roman" w:hAnsi="Times New Roman" w:cs="Times New Roman"/>
          <w:sz w:val="24"/>
          <w:szCs w:val="24"/>
          <w:vertAlign w:val="superscript"/>
        </w:rPr>
        <w:footnoteReference w:id="34"/>
      </w:r>
      <w:r w:rsidR="00EC339F" w:rsidRPr="002D3CD2">
        <w:rPr>
          <w:rFonts w:ascii="Times New Roman" w:hAnsi="Times New Roman" w:cs="Times New Roman"/>
          <w:sz w:val="24"/>
          <w:szCs w:val="24"/>
        </w:rPr>
        <w:t xml:space="preserve"> However, in practice lawyers do not always insist upon payment of the fee and some municipalities may pay the advice fee from their social security budget if a client cannot afford to pay. The requirement to pay towards </w:t>
      </w:r>
      <w:r w:rsidR="001C2A69">
        <w:rPr>
          <w:rFonts w:ascii="Times New Roman" w:hAnsi="Times New Roman" w:cs="Times New Roman"/>
          <w:sz w:val="24"/>
          <w:szCs w:val="24"/>
        </w:rPr>
        <w:t>legal</w:t>
      </w:r>
      <w:r w:rsidR="00EC339F" w:rsidRPr="002D3CD2">
        <w:rPr>
          <w:rFonts w:ascii="Times New Roman" w:hAnsi="Times New Roman" w:cs="Times New Roman"/>
          <w:sz w:val="24"/>
          <w:szCs w:val="24"/>
        </w:rPr>
        <w:t xml:space="preserve"> assistance continues into </w:t>
      </w:r>
      <w:r w:rsidR="00E40BF4" w:rsidRPr="002D3CD2">
        <w:rPr>
          <w:rFonts w:ascii="Times New Roman" w:hAnsi="Times New Roman" w:cs="Times New Roman"/>
          <w:sz w:val="24"/>
          <w:szCs w:val="24"/>
        </w:rPr>
        <w:t xml:space="preserve">full </w:t>
      </w:r>
      <w:r w:rsidR="00EC339F" w:rsidRPr="002D3CD2">
        <w:rPr>
          <w:rFonts w:ascii="Times New Roman" w:hAnsi="Times New Roman" w:cs="Times New Roman"/>
          <w:sz w:val="24"/>
          <w:szCs w:val="24"/>
        </w:rPr>
        <w:t xml:space="preserve">legal aid </w:t>
      </w:r>
      <w:r w:rsidR="00E40BF4" w:rsidRPr="002D3CD2">
        <w:rPr>
          <w:rFonts w:ascii="Times New Roman" w:hAnsi="Times New Roman" w:cs="Times New Roman"/>
          <w:sz w:val="24"/>
          <w:szCs w:val="24"/>
        </w:rPr>
        <w:t>(covering all work beyond the initial 2 hours’ advice)</w:t>
      </w:r>
      <w:r w:rsidR="00EC339F" w:rsidRPr="002D3CD2">
        <w:rPr>
          <w:rFonts w:ascii="Times New Roman" w:hAnsi="Times New Roman" w:cs="Times New Roman"/>
          <w:sz w:val="24"/>
          <w:szCs w:val="24"/>
        </w:rPr>
        <w:t>, where there is a minimum 2% contribution. In the relevant legislative preparatory materials, the government stressed the importance of an assisted person being aware of the costs of the help being given, through the imposition of easily understood contributions.</w:t>
      </w:r>
      <w:r w:rsidR="00EC339F" w:rsidRPr="002D3CD2">
        <w:rPr>
          <w:rFonts w:ascii="Times New Roman" w:hAnsi="Times New Roman" w:cs="Times New Roman"/>
          <w:sz w:val="24"/>
          <w:szCs w:val="24"/>
          <w:vertAlign w:val="superscript"/>
        </w:rPr>
        <w:footnoteReference w:id="35"/>
      </w:r>
      <w:r w:rsidR="00596161" w:rsidRPr="002D3CD2">
        <w:rPr>
          <w:rFonts w:ascii="Times New Roman" w:hAnsi="Times New Roman" w:cs="Times New Roman"/>
          <w:sz w:val="24"/>
          <w:szCs w:val="24"/>
        </w:rPr>
        <w:t xml:space="preserve"> </w:t>
      </w:r>
      <w:r w:rsidR="009A733B" w:rsidRPr="002D3CD2">
        <w:rPr>
          <w:rFonts w:ascii="Times New Roman" w:hAnsi="Times New Roman" w:cs="Times New Roman"/>
          <w:sz w:val="24"/>
          <w:szCs w:val="24"/>
        </w:rPr>
        <w:t xml:space="preserve">The stance is at odds with that in Finland, </w:t>
      </w:r>
      <w:r w:rsidR="009A733B" w:rsidRPr="002D3CD2">
        <w:rPr>
          <w:rFonts w:ascii="Times New Roman" w:hAnsi="Times New Roman" w:cs="Times New Roman"/>
          <w:sz w:val="24"/>
          <w:szCs w:val="24"/>
        </w:rPr>
        <w:lastRenderedPageBreak/>
        <w:t xml:space="preserve">where </w:t>
      </w:r>
      <w:r w:rsidR="003C6910" w:rsidRPr="002D3CD2">
        <w:rPr>
          <w:rFonts w:ascii="Times New Roman" w:hAnsi="Times New Roman" w:cs="Times New Roman"/>
          <w:sz w:val="24"/>
          <w:szCs w:val="24"/>
        </w:rPr>
        <w:t xml:space="preserve">the poorest clients will receive assistance without a financial </w:t>
      </w:r>
      <w:r w:rsidR="009A733B" w:rsidRPr="002D3CD2">
        <w:rPr>
          <w:rFonts w:ascii="Times New Roman" w:hAnsi="Times New Roman" w:cs="Times New Roman"/>
          <w:sz w:val="24"/>
          <w:szCs w:val="24"/>
        </w:rPr>
        <w:t>contribution</w:t>
      </w:r>
      <w:r w:rsidR="003C6910" w:rsidRPr="002D3CD2">
        <w:rPr>
          <w:rFonts w:ascii="Times New Roman" w:hAnsi="Times New Roman" w:cs="Times New Roman"/>
          <w:sz w:val="24"/>
          <w:szCs w:val="24"/>
        </w:rPr>
        <w:t>,</w:t>
      </w:r>
      <w:r w:rsidR="009A733B" w:rsidRPr="002D3CD2">
        <w:rPr>
          <w:rFonts w:ascii="Times New Roman" w:hAnsi="Times New Roman" w:cs="Times New Roman"/>
          <w:sz w:val="24"/>
          <w:szCs w:val="24"/>
        </w:rPr>
        <w:t xml:space="preserve"> at all levels of assistance</w:t>
      </w:r>
      <w:r w:rsidR="003C6910" w:rsidRPr="002D3CD2">
        <w:rPr>
          <w:rFonts w:ascii="Times New Roman" w:hAnsi="Times New Roman" w:cs="Times New Roman"/>
          <w:sz w:val="24"/>
          <w:szCs w:val="24"/>
        </w:rPr>
        <w:t>.</w:t>
      </w:r>
    </w:p>
    <w:p w:rsidR="00D4221D" w:rsidRPr="002D3CD2" w:rsidRDefault="003C6910"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Applications for full </w:t>
      </w:r>
      <w:r w:rsidR="00867DEB" w:rsidRPr="002D3CD2">
        <w:rPr>
          <w:rFonts w:ascii="Times New Roman" w:hAnsi="Times New Roman" w:cs="Times New Roman"/>
          <w:sz w:val="24"/>
          <w:szCs w:val="24"/>
        </w:rPr>
        <w:t xml:space="preserve">legal aid are decided in </w:t>
      </w:r>
      <w:r w:rsidR="00123675" w:rsidRPr="002D3CD2">
        <w:rPr>
          <w:rFonts w:ascii="Times New Roman" w:hAnsi="Times New Roman" w:cs="Times New Roman"/>
          <w:sz w:val="24"/>
          <w:szCs w:val="24"/>
        </w:rPr>
        <w:t>most cases by the courts. The Legal Aid Authority (</w:t>
      </w:r>
      <w:proofErr w:type="spellStart"/>
      <w:r w:rsidR="00123675" w:rsidRPr="002D3CD2">
        <w:rPr>
          <w:rFonts w:ascii="Times New Roman" w:hAnsi="Times New Roman" w:cs="Times New Roman"/>
          <w:sz w:val="24"/>
          <w:szCs w:val="24"/>
        </w:rPr>
        <w:t>Rättshjälpsmyndigheten</w:t>
      </w:r>
      <w:proofErr w:type="spellEnd"/>
      <w:r w:rsidR="00123675" w:rsidRPr="002D3CD2">
        <w:rPr>
          <w:rFonts w:ascii="Times New Roman" w:hAnsi="Times New Roman" w:cs="Times New Roman"/>
          <w:sz w:val="24"/>
          <w:szCs w:val="24"/>
        </w:rPr>
        <w:t xml:space="preserve">), which is a relatively small </w:t>
      </w:r>
      <w:r w:rsidR="00867DEB" w:rsidRPr="002D3CD2">
        <w:rPr>
          <w:rFonts w:ascii="Times New Roman" w:hAnsi="Times New Roman" w:cs="Times New Roman"/>
          <w:sz w:val="24"/>
          <w:szCs w:val="24"/>
        </w:rPr>
        <w:t xml:space="preserve">government </w:t>
      </w:r>
      <w:r w:rsidR="00123675" w:rsidRPr="002D3CD2">
        <w:rPr>
          <w:rFonts w:ascii="Times New Roman" w:hAnsi="Times New Roman" w:cs="Times New Roman"/>
          <w:sz w:val="24"/>
          <w:szCs w:val="24"/>
        </w:rPr>
        <w:t xml:space="preserve">department, decides only applications for legal aid in cases </w:t>
      </w:r>
      <w:r w:rsidR="00867DEB" w:rsidRPr="002D3CD2">
        <w:rPr>
          <w:rFonts w:ascii="Times New Roman" w:hAnsi="Times New Roman" w:cs="Times New Roman"/>
          <w:sz w:val="24"/>
          <w:szCs w:val="24"/>
        </w:rPr>
        <w:t>where court proceedings have not been issued and are not anticipated</w:t>
      </w:r>
      <w:r w:rsidRPr="002D3CD2">
        <w:rPr>
          <w:rFonts w:ascii="Times New Roman" w:hAnsi="Times New Roman" w:cs="Times New Roman"/>
          <w:sz w:val="24"/>
          <w:szCs w:val="24"/>
        </w:rPr>
        <w:t>; a</w:t>
      </w:r>
      <w:r w:rsidR="00123675" w:rsidRPr="002D3CD2">
        <w:rPr>
          <w:rFonts w:ascii="Times New Roman" w:hAnsi="Times New Roman" w:cs="Times New Roman"/>
          <w:sz w:val="24"/>
          <w:szCs w:val="24"/>
        </w:rPr>
        <w:t>n application for legal aid in most civil cases will be made to the court which is or will be dealing with the substantive case.</w:t>
      </w:r>
      <w:r w:rsidR="00123675" w:rsidRPr="002D3CD2">
        <w:rPr>
          <w:rFonts w:ascii="Times New Roman" w:hAnsi="Times New Roman" w:cs="Times New Roman"/>
          <w:sz w:val="24"/>
          <w:szCs w:val="24"/>
          <w:vertAlign w:val="superscript"/>
        </w:rPr>
        <w:footnoteReference w:id="36"/>
      </w:r>
      <w:r w:rsidR="00123675" w:rsidRPr="002D3CD2">
        <w:rPr>
          <w:rFonts w:ascii="Times New Roman" w:hAnsi="Times New Roman" w:cs="Times New Roman"/>
          <w:sz w:val="24"/>
          <w:szCs w:val="24"/>
        </w:rPr>
        <w:t xml:space="preserve"> The court makes the decision taking into account the guidance contained in online handbooks issued by the National Courts Administration and in decided cases, which are also collated into handbooks.</w:t>
      </w:r>
      <w:r w:rsidR="00123675" w:rsidRPr="002D3CD2">
        <w:rPr>
          <w:rFonts w:ascii="Times New Roman" w:hAnsi="Times New Roman" w:cs="Times New Roman"/>
          <w:sz w:val="24"/>
          <w:szCs w:val="24"/>
          <w:vertAlign w:val="superscript"/>
        </w:rPr>
        <w:footnoteReference w:id="37"/>
      </w:r>
      <w:r w:rsidR="00123675" w:rsidRPr="002D3CD2">
        <w:rPr>
          <w:rFonts w:ascii="Times New Roman" w:hAnsi="Times New Roman" w:cs="Times New Roman"/>
          <w:sz w:val="24"/>
          <w:szCs w:val="24"/>
        </w:rPr>
        <w:t xml:space="preserve"> </w:t>
      </w:r>
      <w:r w:rsidR="001C2A69">
        <w:rPr>
          <w:rFonts w:ascii="Times New Roman" w:hAnsi="Times New Roman" w:cs="Times New Roman"/>
          <w:sz w:val="24"/>
          <w:szCs w:val="24"/>
        </w:rPr>
        <w:t>The</w:t>
      </w:r>
      <w:r w:rsidR="00D4221D" w:rsidRPr="002D3CD2">
        <w:rPr>
          <w:rFonts w:ascii="Times New Roman" w:hAnsi="Times New Roman" w:cs="Times New Roman"/>
          <w:sz w:val="24"/>
          <w:szCs w:val="24"/>
        </w:rPr>
        <w:t xml:space="preserve"> bifurcation in grant decisions is continued into the appeal process; appeals against court decisions on legal aid are to the higher court, whilst the Legal Aid Authority has its own appeal instance, the Legal Aid Board (</w:t>
      </w:r>
      <w:proofErr w:type="spellStart"/>
      <w:r w:rsidR="00D4221D" w:rsidRPr="002D3CD2">
        <w:rPr>
          <w:rFonts w:ascii="Times New Roman" w:hAnsi="Times New Roman" w:cs="Times New Roman"/>
          <w:sz w:val="24"/>
          <w:szCs w:val="24"/>
        </w:rPr>
        <w:t>Rättshjälpsnämnden</w:t>
      </w:r>
      <w:proofErr w:type="spellEnd"/>
      <w:r w:rsidR="00D4221D" w:rsidRPr="002D3CD2">
        <w:rPr>
          <w:rFonts w:ascii="Times New Roman" w:hAnsi="Times New Roman" w:cs="Times New Roman"/>
          <w:sz w:val="24"/>
          <w:szCs w:val="24"/>
        </w:rPr>
        <w:t>),</w:t>
      </w:r>
      <w:r w:rsidR="00D4221D" w:rsidRPr="002D3CD2">
        <w:rPr>
          <w:rFonts w:ascii="Times New Roman" w:hAnsi="Times New Roman" w:cs="Times New Roman"/>
          <w:sz w:val="24"/>
          <w:szCs w:val="24"/>
          <w:vertAlign w:val="superscript"/>
        </w:rPr>
        <w:footnoteReference w:id="38"/>
      </w:r>
      <w:r w:rsidR="00D4221D" w:rsidRPr="002D3CD2">
        <w:rPr>
          <w:rFonts w:ascii="Times New Roman" w:hAnsi="Times New Roman" w:cs="Times New Roman"/>
          <w:sz w:val="24"/>
          <w:szCs w:val="24"/>
        </w:rPr>
        <w:t xml:space="preserve"> a public administrative body which falls within the remit of the Department of Justice. The Legal Aid Board</w:t>
      </w:r>
      <w:r w:rsidR="007070F7" w:rsidRPr="002D3CD2">
        <w:rPr>
          <w:rFonts w:ascii="Times New Roman" w:hAnsi="Times New Roman" w:cs="Times New Roman"/>
          <w:sz w:val="24"/>
          <w:szCs w:val="24"/>
        </w:rPr>
        <w:t>, whilst no</w:t>
      </w:r>
      <w:r w:rsidR="00D4221D" w:rsidRPr="002D3CD2">
        <w:rPr>
          <w:rFonts w:ascii="Times New Roman" w:hAnsi="Times New Roman" w:cs="Times New Roman"/>
          <w:sz w:val="24"/>
          <w:szCs w:val="24"/>
        </w:rPr>
        <w:t xml:space="preserve">t </w:t>
      </w:r>
      <w:r w:rsidR="007070F7" w:rsidRPr="002D3CD2">
        <w:rPr>
          <w:rFonts w:ascii="Times New Roman" w:hAnsi="Times New Roman" w:cs="Times New Roman"/>
          <w:sz w:val="24"/>
          <w:szCs w:val="24"/>
        </w:rPr>
        <w:t xml:space="preserve">itself </w:t>
      </w:r>
      <w:r w:rsidR="00D4221D" w:rsidRPr="002D3CD2">
        <w:rPr>
          <w:rFonts w:ascii="Times New Roman" w:hAnsi="Times New Roman" w:cs="Times New Roman"/>
          <w:sz w:val="24"/>
          <w:szCs w:val="24"/>
        </w:rPr>
        <w:t>a court, shares buildings and administration with one of the regional Courts of Appeal</w:t>
      </w:r>
      <w:r w:rsidR="00D4221D" w:rsidRPr="002D3CD2">
        <w:rPr>
          <w:rFonts w:ascii="Times New Roman" w:hAnsi="Times New Roman" w:cs="Times New Roman"/>
          <w:sz w:val="24"/>
          <w:szCs w:val="24"/>
          <w:vertAlign w:val="superscript"/>
        </w:rPr>
        <w:footnoteReference w:id="39"/>
      </w:r>
      <w:r w:rsidR="00D4221D" w:rsidRPr="002D3CD2">
        <w:rPr>
          <w:rFonts w:ascii="Times New Roman" w:hAnsi="Times New Roman" w:cs="Times New Roman"/>
          <w:sz w:val="24"/>
          <w:szCs w:val="24"/>
        </w:rPr>
        <w:t xml:space="preserve"> and is chaired by a judge. </w:t>
      </w:r>
    </w:p>
    <w:p w:rsidR="00D4221D" w:rsidRPr="002D3CD2" w:rsidRDefault="00D4221D"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In addition to making decisions on a minority of applications for legal aid, the </w:t>
      </w:r>
      <w:r w:rsidR="00123675" w:rsidRPr="002D3CD2">
        <w:rPr>
          <w:rFonts w:ascii="Times New Roman" w:hAnsi="Times New Roman" w:cs="Times New Roman"/>
          <w:sz w:val="24"/>
          <w:szCs w:val="24"/>
        </w:rPr>
        <w:t xml:space="preserve">Legal Aid Authority </w:t>
      </w:r>
      <w:r w:rsidRPr="002D3CD2">
        <w:rPr>
          <w:rFonts w:ascii="Times New Roman" w:hAnsi="Times New Roman" w:cs="Times New Roman"/>
          <w:sz w:val="24"/>
          <w:szCs w:val="24"/>
        </w:rPr>
        <w:t>also has a role in gathering information about legal aid.</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All</w:t>
      </w:r>
      <w:r w:rsidR="00123675" w:rsidRPr="002D3CD2">
        <w:rPr>
          <w:rFonts w:ascii="Times New Roman" w:hAnsi="Times New Roman" w:cs="Times New Roman"/>
          <w:sz w:val="24"/>
          <w:szCs w:val="24"/>
        </w:rPr>
        <w:t xml:space="preserve"> grants of legal aid </w:t>
      </w:r>
      <w:r w:rsidRPr="002D3CD2">
        <w:rPr>
          <w:rFonts w:ascii="Times New Roman" w:hAnsi="Times New Roman" w:cs="Times New Roman"/>
          <w:sz w:val="24"/>
          <w:szCs w:val="24"/>
        </w:rPr>
        <w:t xml:space="preserve">by courts </w:t>
      </w:r>
      <w:r w:rsidR="00123675" w:rsidRPr="002D3CD2">
        <w:rPr>
          <w:rFonts w:ascii="Times New Roman" w:hAnsi="Times New Roman" w:cs="Times New Roman"/>
          <w:sz w:val="24"/>
          <w:szCs w:val="24"/>
        </w:rPr>
        <w:t xml:space="preserve">must be reported to </w:t>
      </w:r>
      <w:r w:rsidRPr="002D3CD2">
        <w:rPr>
          <w:rFonts w:ascii="Times New Roman" w:hAnsi="Times New Roman" w:cs="Times New Roman"/>
          <w:sz w:val="24"/>
          <w:szCs w:val="24"/>
        </w:rPr>
        <w:t>the Authority,</w:t>
      </w:r>
      <w:r w:rsidR="00123675" w:rsidRPr="002D3CD2">
        <w:rPr>
          <w:rFonts w:ascii="Times New Roman" w:hAnsi="Times New Roman" w:cs="Times New Roman"/>
          <w:sz w:val="24"/>
          <w:szCs w:val="24"/>
          <w:vertAlign w:val="superscript"/>
        </w:rPr>
        <w:footnoteReference w:id="40"/>
      </w:r>
      <w:r w:rsidR="00123675" w:rsidRPr="002D3CD2">
        <w:rPr>
          <w:rFonts w:ascii="Times New Roman" w:hAnsi="Times New Roman" w:cs="Times New Roman"/>
          <w:sz w:val="24"/>
          <w:szCs w:val="24"/>
        </w:rPr>
        <w:t xml:space="preserve"> </w:t>
      </w:r>
      <w:r w:rsidRPr="002D3CD2">
        <w:rPr>
          <w:rFonts w:ascii="Times New Roman" w:hAnsi="Times New Roman" w:cs="Times New Roman"/>
          <w:sz w:val="24"/>
          <w:szCs w:val="24"/>
        </w:rPr>
        <w:t>as must changes to legal aid certificates,</w:t>
      </w:r>
      <w:r w:rsidRPr="002D3CD2">
        <w:rPr>
          <w:rStyle w:val="FootnoteReference"/>
          <w:rFonts w:ascii="Times New Roman" w:hAnsi="Times New Roman" w:cs="Times New Roman"/>
          <w:sz w:val="24"/>
          <w:szCs w:val="24"/>
        </w:rPr>
        <w:footnoteReference w:id="41"/>
      </w:r>
      <w:r w:rsidRPr="002D3CD2">
        <w:rPr>
          <w:rFonts w:ascii="Times New Roman" w:hAnsi="Times New Roman" w:cs="Times New Roman"/>
          <w:sz w:val="24"/>
          <w:szCs w:val="24"/>
        </w:rPr>
        <w:t xml:space="preserve"> and a</w:t>
      </w:r>
      <w:r w:rsidR="00123675" w:rsidRPr="002D3CD2">
        <w:rPr>
          <w:rFonts w:ascii="Times New Roman" w:hAnsi="Times New Roman" w:cs="Times New Roman"/>
          <w:sz w:val="24"/>
          <w:szCs w:val="24"/>
        </w:rPr>
        <w:t>t the conclusion of a court case the outcome of the proceedings and the court’s decision on the legal aid costs to be paid must be sent to the Legal Aid Authority for payment of the bill.</w:t>
      </w:r>
      <w:r w:rsidR="00123675" w:rsidRPr="002D3CD2">
        <w:rPr>
          <w:rFonts w:ascii="Times New Roman" w:hAnsi="Times New Roman" w:cs="Times New Roman"/>
          <w:sz w:val="24"/>
          <w:szCs w:val="24"/>
          <w:vertAlign w:val="superscript"/>
        </w:rPr>
        <w:footnoteReference w:id="42"/>
      </w:r>
      <w:r w:rsidRPr="002D3CD2">
        <w:rPr>
          <w:rFonts w:ascii="Times New Roman" w:hAnsi="Times New Roman" w:cs="Times New Roman"/>
          <w:sz w:val="24"/>
          <w:szCs w:val="24"/>
        </w:rPr>
        <w:t xml:space="preserve"> The Legal Aid Authority does not have any policy role or budgetary responsibility.</w:t>
      </w:r>
    </w:p>
    <w:p w:rsidR="00797C6E" w:rsidRPr="002D3CD2" w:rsidRDefault="00797C6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There is an interesting oversight mechanism operating in Sweden in addition to the appeals processes </w:t>
      </w:r>
      <w:r w:rsidR="00337683" w:rsidRPr="002D3CD2">
        <w:rPr>
          <w:rFonts w:ascii="Times New Roman" w:hAnsi="Times New Roman" w:cs="Times New Roman"/>
          <w:sz w:val="24"/>
          <w:szCs w:val="24"/>
        </w:rPr>
        <w:t>referred to</w:t>
      </w:r>
      <w:r w:rsidRPr="002D3CD2">
        <w:rPr>
          <w:rFonts w:ascii="Times New Roman" w:hAnsi="Times New Roman" w:cs="Times New Roman"/>
          <w:sz w:val="24"/>
          <w:szCs w:val="24"/>
        </w:rPr>
        <w:t xml:space="preserve"> above. </w:t>
      </w:r>
      <w:r w:rsidR="00D4221D" w:rsidRPr="002D3CD2">
        <w:rPr>
          <w:rFonts w:ascii="Times New Roman" w:hAnsi="Times New Roman" w:cs="Times New Roman"/>
          <w:sz w:val="24"/>
          <w:szCs w:val="24"/>
        </w:rPr>
        <w:t>T</w:t>
      </w:r>
      <w:r w:rsidRPr="002D3CD2">
        <w:rPr>
          <w:rFonts w:ascii="Times New Roman" w:hAnsi="Times New Roman" w:cs="Times New Roman"/>
          <w:sz w:val="24"/>
          <w:szCs w:val="24"/>
        </w:rPr>
        <w:t>he Chancellor of Justice (</w:t>
      </w:r>
      <w:proofErr w:type="spellStart"/>
      <w:r w:rsidRPr="002D3CD2">
        <w:rPr>
          <w:rFonts w:ascii="Times New Roman" w:hAnsi="Times New Roman" w:cs="Times New Roman"/>
          <w:sz w:val="24"/>
          <w:szCs w:val="24"/>
        </w:rPr>
        <w:t>Justitiekanslern</w:t>
      </w:r>
      <w:proofErr w:type="spellEnd"/>
      <w:r w:rsidRPr="002D3CD2">
        <w:rPr>
          <w:rFonts w:ascii="Times New Roman" w:hAnsi="Times New Roman" w:cs="Times New Roman"/>
          <w:sz w:val="24"/>
          <w:szCs w:val="24"/>
        </w:rPr>
        <w:t>)</w:t>
      </w:r>
      <w:r w:rsidRPr="002D3CD2">
        <w:rPr>
          <w:rFonts w:ascii="Times New Roman" w:hAnsi="Times New Roman" w:cs="Times New Roman"/>
          <w:sz w:val="24"/>
          <w:szCs w:val="24"/>
          <w:vertAlign w:val="superscript"/>
        </w:rPr>
        <w:footnoteReference w:id="43"/>
      </w:r>
      <w:r w:rsidRPr="002D3CD2">
        <w:rPr>
          <w:rFonts w:ascii="Times New Roman" w:hAnsi="Times New Roman" w:cs="Times New Roman"/>
          <w:sz w:val="24"/>
          <w:szCs w:val="24"/>
        </w:rPr>
        <w:t xml:space="preserve"> </w:t>
      </w:r>
      <w:r w:rsidR="00D4221D" w:rsidRPr="002D3CD2">
        <w:rPr>
          <w:rFonts w:ascii="Times New Roman" w:hAnsi="Times New Roman" w:cs="Times New Roman"/>
          <w:sz w:val="24"/>
          <w:szCs w:val="24"/>
        </w:rPr>
        <w:t>receives</w:t>
      </w:r>
      <w:r w:rsidRPr="002D3CD2">
        <w:rPr>
          <w:rFonts w:ascii="Times New Roman" w:hAnsi="Times New Roman" w:cs="Times New Roman"/>
          <w:sz w:val="24"/>
          <w:szCs w:val="24"/>
        </w:rPr>
        <w:t xml:space="preserve"> reports on particular types of legal aid decisions felt to indicate a possible risk to the public purse,</w:t>
      </w:r>
      <w:r w:rsidRPr="002D3CD2">
        <w:rPr>
          <w:rFonts w:ascii="Times New Roman" w:hAnsi="Times New Roman" w:cs="Times New Roman"/>
          <w:sz w:val="24"/>
          <w:szCs w:val="24"/>
          <w:vertAlign w:val="superscript"/>
        </w:rPr>
        <w:t xml:space="preserve"> </w:t>
      </w:r>
      <w:r w:rsidRPr="002D3CD2">
        <w:rPr>
          <w:rFonts w:ascii="Times New Roman" w:hAnsi="Times New Roman" w:cs="Times New Roman"/>
          <w:sz w:val="24"/>
          <w:szCs w:val="24"/>
        </w:rPr>
        <w:t xml:space="preserve">such </w:t>
      </w:r>
      <w:r w:rsidRPr="002D3CD2">
        <w:rPr>
          <w:rFonts w:ascii="Times New Roman" w:hAnsi="Times New Roman" w:cs="Times New Roman"/>
          <w:sz w:val="24"/>
          <w:szCs w:val="24"/>
        </w:rPr>
        <w:lastRenderedPageBreak/>
        <w:t xml:space="preserve">as grants made in exception to the usual rules concerning legal </w:t>
      </w:r>
      <w:r w:rsidR="00D4221D" w:rsidRPr="002D3CD2">
        <w:rPr>
          <w:rFonts w:ascii="Times New Roman" w:hAnsi="Times New Roman" w:cs="Times New Roman"/>
          <w:sz w:val="24"/>
          <w:szCs w:val="24"/>
        </w:rPr>
        <w:t>expenses</w:t>
      </w:r>
      <w:r w:rsidRPr="002D3CD2">
        <w:rPr>
          <w:rFonts w:ascii="Times New Roman" w:hAnsi="Times New Roman" w:cs="Times New Roman"/>
          <w:sz w:val="24"/>
          <w:szCs w:val="24"/>
        </w:rPr>
        <w:t xml:space="preserve"> insurance, grants of legal aid in certain exceptional cases and cases where costs exceed 150,000 SEK.</w:t>
      </w:r>
      <w:r w:rsidRPr="002D3CD2">
        <w:rPr>
          <w:rFonts w:ascii="Times New Roman" w:hAnsi="Times New Roman" w:cs="Times New Roman"/>
          <w:sz w:val="24"/>
          <w:szCs w:val="24"/>
          <w:vertAlign w:val="superscript"/>
        </w:rPr>
        <w:footnoteReference w:id="44"/>
      </w:r>
      <w:r w:rsidRPr="002D3CD2">
        <w:rPr>
          <w:rFonts w:ascii="Times New Roman" w:hAnsi="Times New Roman" w:cs="Times New Roman"/>
          <w:sz w:val="24"/>
          <w:szCs w:val="24"/>
        </w:rPr>
        <w:t xml:space="preserve"> Reports come from both the courts</w:t>
      </w:r>
      <w:r w:rsidRPr="002D3CD2">
        <w:rPr>
          <w:rFonts w:ascii="Times New Roman" w:hAnsi="Times New Roman" w:cs="Times New Roman"/>
          <w:sz w:val="24"/>
          <w:szCs w:val="24"/>
          <w:vertAlign w:val="superscript"/>
        </w:rPr>
        <w:footnoteReference w:id="45"/>
      </w:r>
      <w:r w:rsidRPr="002D3CD2">
        <w:rPr>
          <w:rFonts w:ascii="Times New Roman" w:hAnsi="Times New Roman" w:cs="Times New Roman"/>
          <w:sz w:val="24"/>
          <w:szCs w:val="24"/>
        </w:rPr>
        <w:t xml:space="preserve"> and the Legal Aid Authority and if it is concerned about the decision, the Chancellor’s office has locus standi to make an appeal to the Appeal Court or Administrative Appeal Court against the decision in question.</w:t>
      </w:r>
      <w:r w:rsidRPr="002D3CD2">
        <w:rPr>
          <w:rFonts w:ascii="Times New Roman" w:hAnsi="Times New Roman" w:cs="Times New Roman"/>
          <w:sz w:val="24"/>
          <w:szCs w:val="24"/>
          <w:vertAlign w:val="superscript"/>
        </w:rPr>
        <w:footnoteReference w:id="46"/>
      </w:r>
      <w:r w:rsidRPr="002D3CD2">
        <w:rPr>
          <w:rFonts w:ascii="Times New Roman" w:hAnsi="Times New Roman" w:cs="Times New Roman"/>
          <w:sz w:val="24"/>
          <w:szCs w:val="24"/>
        </w:rPr>
        <w:t xml:space="preserve"> This standing in appeals is a general one and applies equally to decisions for which there is no reporting duty;</w:t>
      </w:r>
      <w:r w:rsidRPr="002D3CD2">
        <w:rPr>
          <w:rFonts w:ascii="Times New Roman" w:hAnsi="Times New Roman" w:cs="Times New Roman"/>
          <w:sz w:val="24"/>
          <w:szCs w:val="24"/>
          <w:vertAlign w:val="superscript"/>
        </w:rPr>
        <w:footnoteReference w:id="47"/>
      </w:r>
      <w:r w:rsidRPr="002D3CD2">
        <w:rPr>
          <w:rFonts w:ascii="Times New Roman" w:hAnsi="Times New Roman" w:cs="Times New Roman"/>
          <w:sz w:val="24"/>
          <w:szCs w:val="24"/>
        </w:rPr>
        <w:t xml:space="preserve"> however, such decisions are of course highly unlikely to come to the attention of the Chancellor in order for an appeal to be contemplated by her. The intended effect of this arrangement is not only the saving of funds in particular individual cases but also wider benefits to the legal aid system. The original decision-makers will in principle think more carefully about their high-impact and high-value decisions as they know these are being monitored. Furthermore, it is believed that consistency of decisions between the numerous courts and the Legal Aid Authority can be improved by having a central body scrutinising decisions and taking appeals which will clarify the proper application of funding rules. Approximately 2,500 decisions are reported to the Chancellor’s office each year and about 35-40 appeals are brought by them annually.</w:t>
      </w:r>
    </w:p>
    <w:p w:rsidR="00797C6E" w:rsidRPr="002D3CD2" w:rsidRDefault="009C3936"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Legal advice, partly paid for by legal aid, can be given </w:t>
      </w:r>
      <w:r w:rsidR="00337683" w:rsidRPr="002D3CD2">
        <w:rPr>
          <w:rFonts w:ascii="Times New Roman" w:hAnsi="Times New Roman" w:cs="Times New Roman"/>
          <w:sz w:val="24"/>
          <w:szCs w:val="24"/>
        </w:rPr>
        <w:t>in any type of case</w:t>
      </w:r>
      <w:r w:rsidR="005576B7" w:rsidRPr="002D3CD2">
        <w:rPr>
          <w:rFonts w:ascii="Times New Roman" w:hAnsi="Times New Roman" w:cs="Times New Roman"/>
          <w:sz w:val="24"/>
          <w:szCs w:val="24"/>
        </w:rPr>
        <w:t>.</w:t>
      </w:r>
      <w:r w:rsidR="00797C6E" w:rsidRPr="002D3CD2">
        <w:rPr>
          <w:rFonts w:ascii="Times New Roman" w:hAnsi="Times New Roman" w:cs="Times New Roman"/>
          <w:sz w:val="24"/>
          <w:szCs w:val="24"/>
          <w:vertAlign w:val="superscript"/>
        </w:rPr>
        <w:footnoteReference w:id="48"/>
      </w:r>
      <w:r w:rsidR="00797C6E" w:rsidRPr="002D3CD2">
        <w:rPr>
          <w:rFonts w:ascii="Times New Roman" w:hAnsi="Times New Roman" w:cs="Times New Roman"/>
          <w:sz w:val="24"/>
          <w:szCs w:val="24"/>
        </w:rPr>
        <w:t xml:space="preserve"> However, in respect of </w:t>
      </w:r>
      <w:r w:rsidR="00337683" w:rsidRPr="002D3CD2">
        <w:rPr>
          <w:rFonts w:ascii="Times New Roman" w:hAnsi="Times New Roman" w:cs="Times New Roman"/>
          <w:sz w:val="24"/>
          <w:szCs w:val="24"/>
        </w:rPr>
        <w:t>full legal aid</w:t>
      </w:r>
      <w:r w:rsidR="00797C6E" w:rsidRPr="002D3CD2">
        <w:rPr>
          <w:rFonts w:ascii="Times New Roman" w:hAnsi="Times New Roman" w:cs="Times New Roman"/>
          <w:sz w:val="24"/>
          <w:szCs w:val="24"/>
        </w:rPr>
        <w:t xml:space="preserve"> scope is more limited than in Finland, and the list identifying types of matter which are completely excluded from scope is considerably longer: the preparation of certain documents such as tax returns, marriage contracts and wills; registration of a property upon inheritance; debt restructuring; land registration and some other property related matters; registration of commercial shipping; the division of property after divorce or separation, apart from appeals against the decision of a division of property official; and cases seeking compensation from an insurance company for personal injury following a traffic accident.</w:t>
      </w:r>
      <w:r w:rsidR="00797C6E" w:rsidRPr="002D3CD2">
        <w:rPr>
          <w:rFonts w:ascii="Times New Roman" w:hAnsi="Times New Roman" w:cs="Times New Roman"/>
          <w:sz w:val="24"/>
          <w:szCs w:val="24"/>
          <w:vertAlign w:val="superscript"/>
        </w:rPr>
        <w:t xml:space="preserve"> </w:t>
      </w:r>
      <w:r w:rsidR="00797C6E" w:rsidRPr="002D3CD2">
        <w:rPr>
          <w:rFonts w:ascii="Times New Roman" w:hAnsi="Times New Roman" w:cs="Times New Roman"/>
          <w:sz w:val="24"/>
          <w:szCs w:val="24"/>
          <w:vertAlign w:val="superscript"/>
        </w:rPr>
        <w:footnoteReference w:id="49"/>
      </w:r>
      <w:r w:rsidR="00797C6E" w:rsidRPr="002D3CD2">
        <w:rPr>
          <w:rFonts w:ascii="Times New Roman" w:hAnsi="Times New Roman" w:cs="Times New Roman"/>
          <w:sz w:val="24"/>
          <w:szCs w:val="24"/>
        </w:rPr>
        <w:t xml:space="preserve"> </w:t>
      </w:r>
    </w:p>
    <w:p w:rsidR="00797C6E" w:rsidRPr="002D3CD2" w:rsidRDefault="00797C6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A further group of matter types is excluded unless there are special reasons to grant legal aid:</w:t>
      </w:r>
      <w:r w:rsidRPr="002D3CD2">
        <w:rPr>
          <w:rFonts w:ascii="Times New Roman" w:hAnsi="Times New Roman" w:cs="Times New Roman"/>
          <w:sz w:val="24"/>
          <w:szCs w:val="24"/>
          <w:vertAlign w:val="superscript"/>
        </w:rPr>
        <w:footnoteReference w:id="50"/>
      </w:r>
      <w:r w:rsidRPr="002D3CD2">
        <w:rPr>
          <w:rFonts w:ascii="Times New Roman" w:hAnsi="Times New Roman" w:cs="Times New Roman"/>
          <w:sz w:val="24"/>
          <w:szCs w:val="24"/>
        </w:rPr>
        <w:t xml:space="preserve"> divorce and child support matters, tax and customs issues, matters worth below a </w:t>
      </w:r>
      <w:r w:rsidRPr="002D3CD2">
        <w:rPr>
          <w:rFonts w:ascii="Times New Roman" w:hAnsi="Times New Roman" w:cs="Times New Roman"/>
          <w:sz w:val="24"/>
          <w:szCs w:val="24"/>
        </w:rPr>
        <w:lastRenderedPageBreak/>
        <w:t>certain sum</w:t>
      </w:r>
      <w:r w:rsidRPr="002D3CD2">
        <w:rPr>
          <w:rFonts w:ascii="Times New Roman" w:hAnsi="Times New Roman" w:cs="Times New Roman"/>
          <w:sz w:val="24"/>
          <w:szCs w:val="24"/>
          <w:vertAlign w:val="superscript"/>
        </w:rPr>
        <w:footnoteReference w:id="51"/>
      </w:r>
      <w:r w:rsidRPr="002D3CD2">
        <w:rPr>
          <w:rFonts w:ascii="Times New Roman" w:hAnsi="Times New Roman" w:cs="Times New Roman"/>
          <w:sz w:val="24"/>
          <w:szCs w:val="24"/>
        </w:rPr>
        <w:t xml:space="preserve"> and cases which will be dealt with outside Sweden. </w:t>
      </w:r>
      <w:proofErr w:type="gramStart"/>
      <w:r w:rsidRPr="002D3CD2">
        <w:rPr>
          <w:rFonts w:ascii="Times New Roman" w:hAnsi="Times New Roman" w:cs="Times New Roman"/>
          <w:sz w:val="24"/>
          <w:szCs w:val="24"/>
        </w:rPr>
        <w:t>The interpretation of ‘special reasons’ is a matter for the decision-maker, but guidance is available from the online handbook.</w:t>
      </w:r>
      <w:proofErr w:type="gramEnd"/>
      <w:r w:rsidRPr="002D3CD2">
        <w:rPr>
          <w:rFonts w:ascii="Times New Roman" w:hAnsi="Times New Roman" w:cs="Times New Roman"/>
          <w:sz w:val="24"/>
          <w:szCs w:val="24"/>
        </w:rPr>
        <w:t xml:space="preserve"> Examples of special circumstances which may justify a grant of legal aid in divorce cases and child support cases are: subsequently arising disputes over the care of children;</w:t>
      </w:r>
      <w:r w:rsidRPr="002D3CD2">
        <w:rPr>
          <w:rFonts w:ascii="Times New Roman" w:hAnsi="Times New Roman" w:cs="Times New Roman"/>
          <w:sz w:val="24"/>
          <w:szCs w:val="24"/>
          <w:vertAlign w:val="superscript"/>
        </w:rPr>
        <w:footnoteReference w:id="52"/>
      </w:r>
      <w:r w:rsidRPr="002D3CD2">
        <w:rPr>
          <w:rFonts w:ascii="Times New Roman" w:hAnsi="Times New Roman" w:cs="Times New Roman"/>
          <w:sz w:val="24"/>
          <w:szCs w:val="24"/>
        </w:rPr>
        <w:t xml:space="preserve"> issues of right to reside in the family home;</w:t>
      </w:r>
      <w:r w:rsidRPr="002D3CD2">
        <w:rPr>
          <w:rFonts w:ascii="Times New Roman" w:hAnsi="Times New Roman" w:cs="Times New Roman"/>
          <w:sz w:val="24"/>
          <w:szCs w:val="24"/>
          <w:vertAlign w:val="superscript"/>
        </w:rPr>
        <w:footnoteReference w:id="53"/>
      </w:r>
      <w:r w:rsidRPr="002D3CD2">
        <w:rPr>
          <w:rFonts w:ascii="Times New Roman" w:hAnsi="Times New Roman" w:cs="Times New Roman"/>
          <w:sz w:val="24"/>
          <w:szCs w:val="24"/>
        </w:rPr>
        <w:t xml:space="preserve"> the existence of domestic violence</w:t>
      </w:r>
      <w:r w:rsidRPr="002D3CD2">
        <w:rPr>
          <w:rFonts w:ascii="Times New Roman" w:hAnsi="Times New Roman" w:cs="Times New Roman"/>
          <w:sz w:val="24"/>
          <w:szCs w:val="24"/>
          <w:vertAlign w:val="superscript"/>
        </w:rPr>
        <w:footnoteReference w:id="54"/>
      </w:r>
      <w:r w:rsidRPr="002D3CD2">
        <w:rPr>
          <w:rFonts w:ascii="Times New Roman" w:hAnsi="Times New Roman" w:cs="Times New Roman"/>
          <w:sz w:val="24"/>
          <w:szCs w:val="24"/>
        </w:rPr>
        <w:t xml:space="preserve"> or of an injunction prohibiting contact between the parties.</w:t>
      </w:r>
      <w:r w:rsidRPr="002D3CD2">
        <w:rPr>
          <w:rFonts w:ascii="Times New Roman" w:hAnsi="Times New Roman" w:cs="Times New Roman"/>
          <w:sz w:val="24"/>
          <w:szCs w:val="24"/>
          <w:vertAlign w:val="superscript"/>
        </w:rPr>
        <w:footnoteReference w:id="55"/>
      </w:r>
      <w:r w:rsidRPr="002D3CD2">
        <w:rPr>
          <w:rFonts w:ascii="Times New Roman" w:hAnsi="Times New Roman" w:cs="Times New Roman"/>
          <w:sz w:val="24"/>
          <w:szCs w:val="24"/>
        </w:rPr>
        <w:t xml:space="preserve"> However, the fact that the applicant was an asylum seeker with limited knowledge of the Swedish language</w:t>
      </w:r>
      <w:r w:rsidRPr="002D3CD2">
        <w:rPr>
          <w:rFonts w:ascii="Times New Roman" w:hAnsi="Times New Roman" w:cs="Times New Roman"/>
          <w:sz w:val="24"/>
          <w:szCs w:val="24"/>
          <w:vertAlign w:val="superscript"/>
        </w:rPr>
        <w:footnoteReference w:id="56"/>
      </w:r>
      <w:r w:rsidRPr="002D3CD2">
        <w:rPr>
          <w:rFonts w:ascii="Times New Roman" w:hAnsi="Times New Roman" w:cs="Times New Roman"/>
          <w:sz w:val="24"/>
          <w:szCs w:val="24"/>
        </w:rPr>
        <w:t xml:space="preserve"> or in another case that there was no known address for the respondent</w:t>
      </w:r>
      <w:r w:rsidRPr="002D3CD2">
        <w:rPr>
          <w:rFonts w:ascii="Times New Roman" w:hAnsi="Times New Roman" w:cs="Times New Roman"/>
          <w:sz w:val="24"/>
          <w:szCs w:val="24"/>
          <w:vertAlign w:val="superscript"/>
        </w:rPr>
        <w:footnoteReference w:id="57"/>
      </w:r>
      <w:r w:rsidRPr="002D3CD2">
        <w:rPr>
          <w:rFonts w:ascii="Times New Roman" w:hAnsi="Times New Roman" w:cs="Times New Roman"/>
          <w:sz w:val="24"/>
          <w:szCs w:val="24"/>
        </w:rPr>
        <w:t xml:space="preserve"> did not amount to special grounds for the granting of legal aid. The length of time taken by a lawyer in ultimately dealing with the divorce is also relevant; where this was under five hours the Court of Appeal decided that the matter cannot have been so complex that special reasons existed.</w:t>
      </w:r>
      <w:r w:rsidRPr="002D3CD2">
        <w:rPr>
          <w:rFonts w:ascii="Times New Roman" w:hAnsi="Times New Roman" w:cs="Times New Roman"/>
          <w:sz w:val="24"/>
          <w:szCs w:val="24"/>
          <w:vertAlign w:val="superscript"/>
        </w:rPr>
        <w:footnoteReference w:id="58"/>
      </w:r>
    </w:p>
    <w:p w:rsidR="00797C6E" w:rsidRPr="002D3CD2" w:rsidRDefault="00E40BF4" w:rsidP="002D3CD2">
      <w:pPr>
        <w:spacing w:line="360" w:lineRule="auto"/>
        <w:jc w:val="both"/>
        <w:rPr>
          <w:rFonts w:ascii="Times New Roman" w:hAnsi="Times New Roman" w:cs="Times New Roman"/>
          <w:sz w:val="24"/>
          <w:szCs w:val="24"/>
        </w:rPr>
      </w:pPr>
      <w:proofErr w:type="gramStart"/>
      <w:r w:rsidRPr="002D3CD2">
        <w:rPr>
          <w:rFonts w:ascii="Times New Roman" w:hAnsi="Times New Roman" w:cs="Times New Roman"/>
          <w:sz w:val="24"/>
          <w:szCs w:val="24"/>
        </w:rPr>
        <w:t>Merits testing within the Swedish legal aid scheme is</w:t>
      </w:r>
      <w:proofErr w:type="gramEnd"/>
      <w:r w:rsidRPr="002D3CD2">
        <w:rPr>
          <w:rFonts w:ascii="Times New Roman" w:hAnsi="Times New Roman" w:cs="Times New Roman"/>
          <w:sz w:val="24"/>
          <w:szCs w:val="24"/>
        </w:rPr>
        <w:t xml:space="preserve"> also more restrictive than that in Finland.</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The </w:t>
      </w:r>
      <w:r w:rsidR="00797C6E" w:rsidRPr="002D3CD2">
        <w:rPr>
          <w:rFonts w:ascii="Times New Roman" w:hAnsi="Times New Roman" w:cs="Times New Roman"/>
          <w:sz w:val="24"/>
          <w:szCs w:val="24"/>
        </w:rPr>
        <w:t xml:space="preserve">primary merits criteria </w:t>
      </w:r>
      <w:r w:rsidRPr="002D3CD2">
        <w:rPr>
          <w:rFonts w:ascii="Times New Roman" w:hAnsi="Times New Roman" w:cs="Times New Roman"/>
          <w:sz w:val="24"/>
          <w:szCs w:val="24"/>
        </w:rPr>
        <w:t xml:space="preserve">in Sweden </w:t>
      </w:r>
      <w:r w:rsidR="00797C6E" w:rsidRPr="002D3CD2">
        <w:rPr>
          <w:rFonts w:ascii="Times New Roman" w:hAnsi="Times New Roman" w:cs="Times New Roman"/>
          <w:sz w:val="24"/>
          <w:szCs w:val="24"/>
        </w:rPr>
        <w:t>are that the applicant has a need for a legal representative which cannot be met in another way</w:t>
      </w:r>
      <w:r w:rsidR="00797C6E" w:rsidRPr="002D3CD2">
        <w:rPr>
          <w:rFonts w:ascii="Times New Roman" w:hAnsi="Times New Roman" w:cs="Times New Roman"/>
          <w:sz w:val="24"/>
          <w:szCs w:val="24"/>
          <w:vertAlign w:val="superscript"/>
        </w:rPr>
        <w:footnoteReference w:id="59"/>
      </w:r>
      <w:r w:rsidR="00797C6E" w:rsidRPr="002D3CD2">
        <w:rPr>
          <w:rFonts w:ascii="Times New Roman" w:hAnsi="Times New Roman" w:cs="Times New Roman"/>
          <w:sz w:val="24"/>
          <w:szCs w:val="24"/>
        </w:rPr>
        <w:t xml:space="preserve"> and that it is reasonable for the state to pay the legal costs, having regard to the type, importance, value and other circumstances of the case.</w:t>
      </w:r>
      <w:r w:rsidR="00797C6E" w:rsidRPr="002D3CD2">
        <w:rPr>
          <w:rFonts w:ascii="Times New Roman" w:hAnsi="Times New Roman" w:cs="Times New Roman"/>
          <w:sz w:val="24"/>
          <w:szCs w:val="24"/>
          <w:vertAlign w:val="superscript"/>
        </w:rPr>
        <w:footnoteReference w:id="60"/>
      </w:r>
      <w:r w:rsidR="00797C6E" w:rsidRPr="002D3CD2">
        <w:rPr>
          <w:rFonts w:ascii="Times New Roman" w:hAnsi="Times New Roman" w:cs="Times New Roman"/>
          <w:sz w:val="24"/>
          <w:szCs w:val="24"/>
        </w:rPr>
        <w:t xml:space="preserve"> Certain types of case are only eligible for a grant of legal aid if there are special reasons, as </w:t>
      </w:r>
      <w:r w:rsidRPr="002D3CD2">
        <w:rPr>
          <w:rFonts w:ascii="Times New Roman" w:hAnsi="Times New Roman" w:cs="Times New Roman"/>
          <w:sz w:val="24"/>
          <w:szCs w:val="24"/>
        </w:rPr>
        <w:t>seen above</w:t>
      </w:r>
      <w:r w:rsidR="00797C6E" w:rsidRPr="002D3CD2">
        <w:rPr>
          <w:rFonts w:ascii="Times New Roman" w:hAnsi="Times New Roman" w:cs="Times New Roman"/>
          <w:sz w:val="24"/>
          <w:szCs w:val="24"/>
        </w:rPr>
        <w:t>.</w:t>
      </w:r>
      <w:r w:rsidR="00797C6E" w:rsidRPr="002D3CD2">
        <w:rPr>
          <w:rFonts w:ascii="Times New Roman" w:hAnsi="Times New Roman" w:cs="Times New Roman"/>
          <w:sz w:val="24"/>
          <w:szCs w:val="24"/>
          <w:vertAlign w:val="superscript"/>
        </w:rPr>
        <w:footnoteReference w:id="61"/>
      </w:r>
      <w:r w:rsidR="00797C6E" w:rsidRPr="002D3CD2">
        <w:rPr>
          <w:rFonts w:ascii="Times New Roman" w:hAnsi="Times New Roman" w:cs="Times New Roman"/>
          <w:sz w:val="24"/>
          <w:szCs w:val="24"/>
        </w:rPr>
        <w:t xml:space="preserve"> In addition, legal aid will not be granted if the matter can wait until the outcome of a similar case currently going through the courts or for claims relating to rights which have been transferred to the legal aid applicant where the transfer appears to have been for the purpose of obtaining eligibility for legal aid.</w:t>
      </w:r>
      <w:r w:rsidR="00797C6E" w:rsidRPr="002D3CD2">
        <w:rPr>
          <w:rFonts w:ascii="Times New Roman" w:hAnsi="Times New Roman" w:cs="Times New Roman"/>
          <w:sz w:val="24"/>
          <w:szCs w:val="24"/>
          <w:vertAlign w:val="superscript"/>
        </w:rPr>
        <w:footnoteReference w:id="62"/>
      </w:r>
      <w:r w:rsidR="00797C6E" w:rsidRPr="002D3CD2">
        <w:rPr>
          <w:rFonts w:ascii="Times New Roman" w:hAnsi="Times New Roman" w:cs="Times New Roman"/>
          <w:sz w:val="24"/>
          <w:szCs w:val="24"/>
        </w:rPr>
        <w:t xml:space="preserve"> These criteria apply equally to all decisions whether being taken by the courts or by the Legal Aid Authority. </w:t>
      </w:r>
    </w:p>
    <w:p w:rsidR="00797C6E" w:rsidRPr="002D3CD2" w:rsidRDefault="00797C6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non-binding Swedish online handbook provides assistance with the interpretation of the reasonableness requirement; the starting point being the nature of the case including </w:t>
      </w:r>
      <w:r w:rsidRPr="002D3CD2">
        <w:rPr>
          <w:rFonts w:ascii="Times New Roman" w:hAnsi="Times New Roman" w:cs="Times New Roman"/>
          <w:sz w:val="24"/>
          <w:szCs w:val="24"/>
        </w:rPr>
        <w:lastRenderedPageBreak/>
        <w:t>prospects of success,</w:t>
      </w:r>
      <w:r w:rsidRPr="002D3CD2">
        <w:rPr>
          <w:rFonts w:ascii="Times New Roman" w:hAnsi="Times New Roman" w:cs="Times New Roman"/>
          <w:sz w:val="24"/>
          <w:szCs w:val="24"/>
          <w:vertAlign w:val="superscript"/>
        </w:rPr>
        <w:footnoteReference w:id="63"/>
      </w:r>
      <w:r w:rsidRPr="002D3CD2">
        <w:rPr>
          <w:rFonts w:ascii="Times New Roman" w:hAnsi="Times New Roman" w:cs="Times New Roman"/>
          <w:sz w:val="24"/>
          <w:szCs w:val="24"/>
        </w:rPr>
        <w:t xml:space="preserve"> and it is advised that cases where the chances of success are very low may be refused legal aid. </w:t>
      </w:r>
      <w:r w:rsidR="00B15D0F" w:rsidRPr="002D3CD2">
        <w:rPr>
          <w:rFonts w:ascii="Times New Roman" w:hAnsi="Times New Roman" w:cs="Times New Roman"/>
          <w:sz w:val="24"/>
          <w:szCs w:val="24"/>
        </w:rPr>
        <w:t xml:space="preserve">However, </w:t>
      </w:r>
      <w:r w:rsidRPr="002D3CD2">
        <w:rPr>
          <w:rFonts w:ascii="Times New Roman" w:hAnsi="Times New Roman" w:cs="Times New Roman"/>
          <w:sz w:val="24"/>
          <w:szCs w:val="24"/>
        </w:rPr>
        <w:t>when the court which is dealing with the substantive matter is assessing a legal aid application, it must be careful to comply with the general principle that a court must not form an opinion on a case before hearing all the evidence and arguments. This makes assessment of chances of success sensitive, and only in cases where the case is evidently hopeless or of meaningless value should legal aid be refused on this ground.</w:t>
      </w:r>
      <w:r w:rsidRPr="002D3CD2">
        <w:rPr>
          <w:rFonts w:ascii="Times New Roman" w:hAnsi="Times New Roman" w:cs="Times New Roman"/>
          <w:sz w:val="24"/>
          <w:szCs w:val="24"/>
          <w:vertAlign w:val="superscript"/>
        </w:rPr>
        <w:footnoteReference w:id="64"/>
      </w:r>
      <w:r w:rsidRPr="002D3CD2">
        <w:rPr>
          <w:rFonts w:ascii="Times New Roman" w:hAnsi="Times New Roman" w:cs="Times New Roman"/>
          <w:sz w:val="24"/>
          <w:szCs w:val="24"/>
        </w:rPr>
        <w:t xml:space="preserve"> A matter which has already been decided by a court and in which no relevant new circumstances exist may be refused on the grounds that funding is not reasonable,</w:t>
      </w:r>
      <w:r w:rsidRPr="002D3CD2">
        <w:rPr>
          <w:rFonts w:ascii="Times New Roman" w:hAnsi="Times New Roman" w:cs="Times New Roman"/>
          <w:sz w:val="24"/>
          <w:szCs w:val="24"/>
          <w:vertAlign w:val="superscript"/>
        </w:rPr>
        <w:footnoteReference w:id="65"/>
      </w:r>
      <w:r w:rsidRPr="002D3CD2">
        <w:rPr>
          <w:rFonts w:ascii="Times New Roman" w:hAnsi="Times New Roman" w:cs="Times New Roman"/>
          <w:sz w:val="24"/>
          <w:szCs w:val="24"/>
        </w:rPr>
        <w:t xml:space="preserve"> even where the original court decision is not being honoured by the opponent.</w:t>
      </w:r>
      <w:r w:rsidRPr="002D3CD2">
        <w:rPr>
          <w:rFonts w:ascii="Times New Roman" w:hAnsi="Times New Roman" w:cs="Times New Roman"/>
          <w:sz w:val="24"/>
          <w:szCs w:val="24"/>
          <w:vertAlign w:val="superscript"/>
        </w:rPr>
        <w:footnoteReference w:id="66"/>
      </w:r>
      <w:r w:rsidRPr="002D3CD2">
        <w:rPr>
          <w:rFonts w:ascii="Times New Roman" w:hAnsi="Times New Roman" w:cs="Times New Roman"/>
          <w:sz w:val="24"/>
          <w:szCs w:val="24"/>
        </w:rPr>
        <w:t xml:space="preserve"> However, a wider public interest can make funding reasonable in cases which otherwise would not be eligible.</w:t>
      </w:r>
      <w:r w:rsidRPr="002D3CD2">
        <w:rPr>
          <w:rFonts w:ascii="Times New Roman" w:hAnsi="Times New Roman" w:cs="Times New Roman"/>
          <w:sz w:val="24"/>
          <w:szCs w:val="24"/>
          <w:vertAlign w:val="superscript"/>
        </w:rPr>
        <w:footnoteReference w:id="67"/>
      </w:r>
      <w:r w:rsidRPr="002D3CD2">
        <w:rPr>
          <w:rFonts w:ascii="Times New Roman" w:hAnsi="Times New Roman" w:cs="Times New Roman"/>
          <w:sz w:val="24"/>
          <w:szCs w:val="24"/>
        </w:rPr>
        <w:t xml:space="preserve"> As elsewhere in the handbook, specific examples are given of decided cases in which legal aid has and has not been authorised. It appears that to some extent a common usage approach is taken to the term ‘reasonable’; legal aid has for example been refused for a dispute over a leisure boat</w:t>
      </w:r>
      <w:r w:rsidRPr="002D3CD2">
        <w:rPr>
          <w:rFonts w:ascii="Times New Roman" w:hAnsi="Times New Roman" w:cs="Times New Roman"/>
          <w:sz w:val="24"/>
          <w:szCs w:val="24"/>
          <w:vertAlign w:val="superscript"/>
        </w:rPr>
        <w:footnoteReference w:id="68"/>
      </w:r>
      <w:r w:rsidRPr="002D3CD2">
        <w:rPr>
          <w:rFonts w:ascii="Times New Roman" w:hAnsi="Times New Roman" w:cs="Times New Roman"/>
          <w:sz w:val="24"/>
          <w:szCs w:val="24"/>
        </w:rPr>
        <w:t xml:space="preserve"> and for a claim for compensation for negligent advice from a stockbroker.</w:t>
      </w:r>
      <w:r w:rsidRPr="002D3CD2">
        <w:rPr>
          <w:rFonts w:ascii="Times New Roman" w:hAnsi="Times New Roman" w:cs="Times New Roman"/>
          <w:sz w:val="24"/>
          <w:szCs w:val="24"/>
          <w:vertAlign w:val="superscript"/>
        </w:rPr>
        <w:footnoteReference w:id="69"/>
      </w:r>
      <w:r w:rsidRPr="002D3CD2">
        <w:rPr>
          <w:rFonts w:ascii="Times New Roman" w:hAnsi="Times New Roman" w:cs="Times New Roman"/>
          <w:sz w:val="24"/>
          <w:szCs w:val="24"/>
        </w:rPr>
        <w:t xml:space="preserve"> </w:t>
      </w:r>
    </w:p>
    <w:p w:rsidR="00123675" w:rsidRPr="002D3CD2" w:rsidRDefault="00F91613"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It is not possible in Sweden to limit legal aid to only one judicial instance and thus</w:t>
      </w:r>
      <w:r w:rsidR="00B15D0F" w:rsidRPr="002D3CD2">
        <w:rPr>
          <w:rFonts w:ascii="Times New Roman" w:hAnsi="Times New Roman" w:cs="Times New Roman"/>
          <w:sz w:val="24"/>
          <w:szCs w:val="24"/>
        </w:rPr>
        <w:t>,</w:t>
      </w:r>
      <w:r w:rsidRPr="002D3CD2">
        <w:rPr>
          <w:rFonts w:ascii="Times New Roman" w:hAnsi="Times New Roman" w:cs="Times New Roman"/>
          <w:sz w:val="24"/>
          <w:szCs w:val="24"/>
        </w:rPr>
        <w:t xml:space="preserve"> </w:t>
      </w:r>
      <w:r w:rsidR="00B15D0F" w:rsidRPr="002D3CD2">
        <w:rPr>
          <w:rFonts w:ascii="Times New Roman" w:hAnsi="Times New Roman" w:cs="Times New Roman"/>
          <w:sz w:val="24"/>
          <w:szCs w:val="24"/>
        </w:rPr>
        <w:t xml:space="preserve">as in Finland, </w:t>
      </w:r>
      <w:r w:rsidRPr="002D3CD2">
        <w:rPr>
          <w:rFonts w:ascii="Times New Roman" w:hAnsi="Times New Roman" w:cs="Times New Roman"/>
          <w:sz w:val="24"/>
          <w:szCs w:val="24"/>
        </w:rPr>
        <w:t>appeals are automatically included in the original grant.</w:t>
      </w:r>
      <w:r w:rsidRPr="002D3CD2">
        <w:rPr>
          <w:rFonts w:ascii="Times New Roman" w:hAnsi="Times New Roman" w:cs="Times New Roman"/>
          <w:sz w:val="24"/>
          <w:szCs w:val="24"/>
          <w:vertAlign w:val="superscript"/>
        </w:rPr>
        <w:footnoteReference w:id="70"/>
      </w:r>
      <w:r w:rsidRPr="002D3CD2">
        <w:rPr>
          <w:rFonts w:ascii="Times New Roman" w:hAnsi="Times New Roman" w:cs="Times New Roman"/>
          <w:sz w:val="24"/>
          <w:szCs w:val="24"/>
        </w:rPr>
        <w:t xml:space="preserve"> </w:t>
      </w:r>
      <w:r w:rsidR="00C130EA" w:rsidRPr="002D3CD2">
        <w:rPr>
          <w:rFonts w:ascii="Times New Roman" w:hAnsi="Times New Roman" w:cs="Times New Roman"/>
          <w:sz w:val="24"/>
          <w:szCs w:val="24"/>
        </w:rPr>
        <w:t>Work carried out before the date of the application for legal aid can be paid for under the legal aid bill but only to the extent that it was urgent or small-scale.</w:t>
      </w:r>
      <w:r w:rsidR="00C130EA" w:rsidRPr="002D3CD2">
        <w:rPr>
          <w:rFonts w:ascii="Times New Roman" w:hAnsi="Times New Roman" w:cs="Times New Roman"/>
          <w:sz w:val="24"/>
          <w:szCs w:val="24"/>
          <w:vertAlign w:val="superscript"/>
        </w:rPr>
        <w:footnoteReference w:id="71"/>
      </w:r>
      <w:r w:rsidR="00C130EA" w:rsidRPr="002D3CD2">
        <w:rPr>
          <w:rFonts w:ascii="Times New Roman" w:hAnsi="Times New Roman" w:cs="Times New Roman"/>
          <w:sz w:val="24"/>
          <w:szCs w:val="24"/>
        </w:rPr>
        <w:t xml:space="preserve"> </w:t>
      </w:r>
      <w:r w:rsidR="00123675" w:rsidRPr="002D3CD2">
        <w:rPr>
          <w:rFonts w:ascii="Times New Roman" w:hAnsi="Times New Roman" w:cs="Times New Roman"/>
          <w:sz w:val="24"/>
          <w:szCs w:val="24"/>
        </w:rPr>
        <w:t>Under legal aid there is a standard ceiling of 100 hours of work,</w:t>
      </w:r>
      <w:r w:rsidR="00123675" w:rsidRPr="002D3CD2">
        <w:rPr>
          <w:rFonts w:ascii="Times New Roman" w:hAnsi="Times New Roman" w:cs="Times New Roman"/>
          <w:sz w:val="24"/>
          <w:szCs w:val="24"/>
          <w:vertAlign w:val="superscript"/>
        </w:rPr>
        <w:footnoteReference w:id="72"/>
      </w:r>
      <w:r w:rsidR="00123675" w:rsidRPr="002D3CD2">
        <w:rPr>
          <w:rFonts w:ascii="Times New Roman" w:hAnsi="Times New Roman" w:cs="Times New Roman"/>
          <w:sz w:val="24"/>
          <w:szCs w:val="24"/>
        </w:rPr>
        <w:t xml:space="preserve"> </w:t>
      </w:r>
      <w:r w:rsidR="00B15D0F" w:rsidRPr="002D3CD2">
        <w:rPr>
          <w:rFonts w:ascii="Times New Roman" w:hAnsi="Times New Roman" w:cs="Times New Roman"/>
          <w:sz w:val="24"/>
          <w:szCs w:val="24"/>
        </w:rPr>
        <w:t>although this</w:t>
      </w:r>
      <w:r w:rsidR="00123675" w:rsidRPr="002D3CD2">
        <w:rPr>
          <w:rFonts w:ascii="Times New Roman" w:hAnsi="Times New Roman" w:cs="Times New Roman"/>
          <w:sz w:val="24"/>
          <w:szCs w:val="24"/>
        </w:rPr>
        <w:t xml:space="preserve"> can be extended by the granting authority (court or Legal Aid Authority)</w:t>
      </w:r>
      <w:r w:rsidR="00123675" w:rsidRPr="002D3CD2">
        <w:rPr>
          <w:rFonts w:ascii="Times New Roman" w:hAnsi="Times New Roman" w:cs="Times New Roman"/>
          <w:sz w:val="24"/>
          <w:szCs w:val="24"/>
          <w:vertAlign w:val="superscript"/>
        </w:rPr>
        <w:footnoteReference w:id="73"/>
      </w:r>
      <w:r w:rsidR="00123675" w:rsidRPr="002D3CD2">
        <w:rPr>
          <w:rFonts w:ascii="Times New Roman" w:hAnsi="Times New Roman" w:cs="Times New Roman"/>
          <w:sz w:val="24"/>
          <w:szCs w:val="24"/>
        </w:rPr>
        <w:t xml:space="preserve"> by a number of hours to be specified in the decision</w:t>
      </w:r>
      <w:r w:rsidR="00B15D0F" w:rsidRPr="002D3CD2">
        <w:rPr>
          <w:rFonts w:ascii="Times New Roman" w:hAnsi="Times New Roman" w:cs="Times New Roman"/>
          <w:sz w:val="24"/>
          <w:szCs w:val="24"/>
        </w:rPr>
        <w:t>; this option should be used sparingly.</w:t>
      </w:r>
      <w:r w:rsidR="00B15D0F" w:rsidRPr="002D3CD2">
        <w:rPr>
          <w:rFonts w:ascii="Times New Roman" w:hAnsi="Times New Roman" w:cs="Times New Roman"/>
          <w:sz w:val="24"/>
          <w:szCs w:val="24"/>
          <w:vertAlign w:val="superscript"/>
        </w:rPr>
        <w:footnoteReference w:id="74"/>
      </w:r>
      <w:r w:rsidR="00123675" w:rsidRPr="002D3CD2">
        <w:rPr>
          <w:rFonts w:ascii="Times New Roman" w:hAnsi="Times New Roman" w:cs="Times New Roman"/>
          <w:sz w:val="24"/>
          <w:szCs w:val="24"/>
        </w:rPr>
        <w:t xml:space="preserve"> These time allowances are generous, and extension is possible when needed, the practical result being that a person in receipt of legal aid in Sweden will have access to as much legal assistance as is required for the case to be properly prepared and presented. However, a lawyer acting under legal aid must be cautious because bills are carefully, and </w:t>
      </w:r>
      <w:r w:rsidR="00123675" w:rsidRPr="002D3CD2">
        <w:rPr>
          <w:rFonts w:ascii="Times New Roman" w:hAnsi="Times New Roman" w:cs="Times New Roman"/>
          <w:sz w:val="24"/>
          <w:szCs w:val="24"/>
        </w:rPr>
        <w:lastRenderedPageBreak/>
        <w:t>sometimes strictly, assessed at the end of</w:t>
      </w:r>
      <w:r w:rsidR="001C2A69">
        <w:rPr>
          <w:rFonts w:ascii="Times New Roman" w:hAnsi="Times New Roman" w:cs="Times New Roman"/>
          <w:sz w:val="24"/>
          <w:szCs w:val="24"/>
        </w:rPr>
        <w:t xml:space="preserve"> the case. Only work which was </w:t>
      </w:r>
      <w:r w:rsidR="00123675" w:rsidRPr="002D3CD2">
        <w:rPr>
          <w:rFonts w:ascii="Times New Roman" w:hAnsi="Times New Roman" w:cs="Times New Roman"/>
          <w:sz w:val="24"/>
          <w:szCs w:val="24"/>
        </w:rPr>
        <w:t>reasonable will be reimbursed</w:t>
      </w:r>
      <w:r w:rsidR="00B15D0F" w:rsidRPr="002D3CD2">
        <w:rPr>
          <w:rFonts w:ascii="Times New Roman" w:hAnsi="Times New Roman" w:cs="Times New Roman"/>
          <w:sz w:val="24"/>
          <w:szCs w:val="24"/>
        </w:rPr>
        <w:t>.</w:t>
      </w:r>
      <w:r w:rsidR="00123675" w:rsidRPr="002D3CD2">
        <w:rPr>
          <w:rFonts w:ascii="Times New Roman" w:hAnsi="Times New Roman" w:cs="Times New Roman"/>
          <w:sz w:val="24"/>
          <w:szCs w:val="24"/>
          <w:vertAlign w:val="superscript"/>
        </w:rPr>
        <w:footnoteReference w:id="75"/>
      </w:r>
      <w:r w:rsidR="00123675" w:rsidRPr="002D3CD2">
        <w:rPr>
          <w:rFonts w:ascii="Times New Roman" w:hAnsi="Times New Roman" w:cs="Times New Roman"/>
          <w:sz w:val="24"/>
          <w:szCs w:val="24"/>
        </w:rPr>
        <w:t xml:space="preserve"> The hourly rates paid to lawyers under the civil legal aid scheme and under the Public Attorney schemes are the same,</w:t>
      </w:r>
      <w:r w:rsidR="00123675" w:rsidRPr="002D3CD2">
        <w:rPr>
          <w:rFonts w:ascii="Times New Roman" w:hAnsi="Times New Roman" w:cs="Times New Roman"/>
          <w:sz w:val="24"/>
          <w:szCs w:val="24"/>
          <w:vertAlign w:val="superscript"/>
        </w:rPr>
        <w:footnoteReference w:id="76"/>
      </w:r>
      <w:r w:rsidR="00123675" w:rsidRPr="002D3CD2">
        <w:rPr>
          <w:rFonts w:ascii="Times New Roman" w:hAnsi="Times New Roman" w:cs="Times New Roman"/>
          <w:sz w:val="24"/>
          <w:szCs w:val="24"/>
        </w:rPr>
        <w:t xml:space="preserve"> and considerably less than a lawyer would usually charge in civil cases. </w:t>
      </w:r>
    </w:p>
    <w:p w:rsidR="006C12C5" w:rsidRPr="002D3CD2" w:rsidRDefault="006C12C5"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It is not appropriate to attempt to understand legal aid in Sweden without addressing the issue of legal expenses insurance.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One of the major reforms implemented in 1997 was that access to legal aid was stopped for those with legal expenses insurance. The government actively negotiated with insurance companies so that legal expenses insurance was included in home insurance policies under conditions which dovetail with the restructured legal aid scheme. Unifying features included the harmonisation of fees paid to lawyers under insurance and legal aid, although under insurance schemes lawyers can and often do charge an additional fee directly to the client, thus increasing the </w:t>
      </w:r>
      <w:r w:rsidRPr="002D3CD2">
        <w:rPr>
          <w:rFonts w:ascii="Times New Roman" w:hAnsi="Times New Roman" w:cs="Times New Roman"/>
          <w:i/>
          <w:sz w:val="24"/>
          <w:szCs w:val="24"/>
        </w:rPr>
        <w:t>de facto</w:t>
      </w:r>
      <w:r w:rsidRPr="002D3CD2">
        <w:rPr>
          <w:rFonts w:ascii="Times New Roman" w:hAnsi="Times New Roman" w:cs="Times New Roman"/>
          <w:sz w:val="24"/>
          <w:szCs w:val="24"/>
        </w:rPr>
        <w:t xml:space="preserve"> fees, which is prohibited under the legal aid scheme.</w:t>
      </w:r>
      <w:r w:rsidRPr="002D3CD2">
        <w:rPr>
          <w:rFonts w:ascii="Times New Roman" w:hAnsi="Times New Roman" w:cs="Times New Roman"/>
          <w:sz w:val="24"/>
          <w:szCs w:val="24"/>
          <w:vertAlign w:val="superscript"/>
        </w:rPr>
        <w:footnoteReference w:id="77"/>
      </w:r>
      <w:r w:rsidRPr="002D3CD2">
        <w:rPr>
          <w:rFonts w:ascii="Times New Roman" w:hAnsi="Times New Roman" w:cs="Times New Roman"/>
          <w:sz w:val="24"/>
          <w:szCs w:val="24"/>
        </w:rPr>
        <w:t xml:space="preserve"> Legal expenses insurance tends not to cover employment cases, or family cases which arise within a year of divorce or separation. Furthermore, insurance </w:t>
      </w:r>
      <w:r w:rsidR="007A0831" w:rsidRPr="002D3CD2">
        <w:rPr>
          <w:rFonts w:ascii="Times New Roman" w:hAnsi="Times New Roman" w:cs="Times New Roman"/>
          <w:sz w:val="24"/>
          <w:szCs w:val="24"/>
        </w:rPr>
        <w:t>does not usually</w:t>
      </w:r>
      <w:r w:rsidRPr="002D3CD2">
        <w:rPr>
          <w:rFonts w:ascii="Times New Roman" w:hAnsi="Times New Roman" w:cs="Times New Roman"/>
          <w:sz w:val="24"/>
          <w:szCs w:val="24"/>
        </w:rPr>
        <w:t xml:space="preserve"> cover low-value cases (generally those under half the ‘base sum’).</w:t>
      </w:r>
      <w:r w:rsidRPr="002D3CD2">
        <w:rPr>
          <w:rFonts w:ascii="Times New Roman" w:hAnsi="Times New Roman" w:cs="Times New Roman"/>
          <w:sz w:val="24"/>
          <w:szCs w:val="24"/>
          <w:vertAlign w:val="superscript"/>
        </w:rPr>
        <w:footnoteReference w:id="78"/>
      </w:r>
    </w:p>
    <w:p w:rsidR="006C12C5" w:rsidRPr="002D3CD2" w:rsidRDefault="006C12C5"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In addition to those who have applicable legal expenses insurance, in Sweden legal aid will also be refused to those who ought to have such insurance, unless there are special reasons to grant legal aid upon consideration of the type of case and its importance to the individual.</w:t>
      </w:r>
      <w:r w:rsidRPr="002D3CD2">
        <w:rPr>
          <w:rFonts w:ascii="Times New Roman" w:hAnsi="Times New Roman" w:cs="Times New Roman"/>
          <w:sz w:val="24"/>
          <w:szCs w:val="24"/>
          <w:vertAlign w:val="superscript"/>
        </w:rPr>
        <w:footnoteReference w:id="79"/>
      </w:r>
      <w:r w:rsidRPr="002D3CD2">
        <w:rPr>
          <w:rFonts w:ascii="Times New Roman" w:hAnsi="Times New Roman" w:cs="Times New Roman"/>
          <w:sz w:val="24"/>
          <w:szCs w:val="24"/>
        </w:rPr>
        <w:t xml:space="preserve"> The Legal Aid Agency uses a rule of thumb that it should not be found that those on a very low income should have had insurance. The interpretation of the rule on “ought to have had insurance” has been </w:t>
      </w:r>
      <w:r w:rsidR="007A0831" w:rsidRPr="002D3CD2">
        <w:rPr>
          <w:rFonts w:ascii="Times New Roman" w:hAnsi="Times New Roman" w:cs="Times New Roman"/>
          <w:sz w:val="24"/>
          <w:szCs w:val="24"/>
        </w:rPr>
        <w:t>contentious and</w:t>
      </w:r>
      <w:r w:rsidRPr="002D3CD2">
        <w:rPr>
          <w:rFonts w:ascii="Times New Roman" w:hAnsi="Times New Roman" w:cs="Times New Roman"/>
          <w:sz w:val="24"/>
          <w:szCs w:val="24"/>
        </w:rPr>
        <w:t xml:space="preserve"> the Supreme Court </w:t>
      </w:r>
      <w:r w:rsidR="007A0831" w:rsidRPr="002D3CD2">
        <w:rPr>
          <w:rFonts w:ascii="Times New Roman" w:hAnsi="Times New Roman" w:cs="Times New Roman"/>
          <w:sz w:val="24"/>
          <w:szCs w:val="24"/>
        </w:rPr>
        <w:t xml:space="preserve">has held </w:t>
      </w:r>
      <w:r w:rsidRPr="002D3CD2">
        <w:rPr>
          <w:rFonts w:ascii="Times New Roman" w:hAnsi="Times New Roman" w:cs="Times New Roman"/>
          <w:sz w:val="24"/>
          <w:szCs w:val="24"/>
        </w:rPr>
        <w:t>that those entirely dependent on income maintenance benefits who do not have possessions worth insuring should not be expected to have legal expenses insurance.</w:t>
      </w:r>
      <w:r w:rsidRPr="002D3CD2">
        <w:rPr>
          <w:rFonts w:ascii="Times New Roman" w:hAnsi="Times New Roman" w:cs="Times New Roman"/>
          <w:sz w:val="24"/>
          <w:szCs w:val="24"/>
          <w:vertAlign w:val="superscript"/>
        </w:rPr>
        <w:footnoteReference w:id="80"/>
      </w:r>
      <w:r w:rsidRPr="002D3CD2">
        <w:rPr>
          <w:rFonts w:ascii="Times New Roman" w:hAnsi="Times New Roman" w:cs="Times New Roman"/>
          <w:sz w:val="24"/>
          <w:szCs w:val="24"/>
        </w:rPr>
        <w:t xml:space="preserve"> However in another case it was made clear that a mixed income including social security benefits should not be assumed to mean that a person need not have legal expenses insurance, particularly as the Social Services Act provides that home insurance should form part of the minimum costs covered by social security.</w:t>
      </w:r>
      <w:r w:rsidRPr="002D3CD2">
        <w:rPr>
          <w:rFonts w:ascii="Times New Roman" w:hAnsi="Times New Roman" w:cs="Times New Roman"/>
          <w:sz w:val="24"/>
          <w:szCs w:val="24"/>
          <w:vertAlign w:val="superscript"/>
        </w:rPr>
        <w:footnoteReference w:id="81"/>
      </w:r>
      <w:r w:rsidRPr="002D3CD2">
        <w:rPr>
          <w:rFonts w:ascii="Times New Roman" w:hAnsi="Times New Roman" w:cs="Times New Roman"/>
          <w:sz w:val="24"/>
          <w:szCs w:val="24"/>
        </w:rPr>
        <w:t xml:space="preserve"> The Court of Appeal has held that a person on low income who had only recently found accommodation after a prison sentence should also be allowed legal aid despite not </w:t>
      </w:r>
      <w:r w:rsidRPr="002D3CD2">
        <w:rPr>
          <w:rFonts w:ascii="Times New Roman" w:hAnsi="Times New Roman" w:cs="Times New Roman"/>
          <w:sz w:val="24"/>
          <w:szCs w:val="24"/>
        </w:rPr>
        <w:lastRenderedPageBreak/>
        <w:t>having insurance</w:t>
      </w:r>
      <w:r w:rsidRPr="002D3CD2">
        <w:rPr>
          <w:rFonts w:ascii="Times New Roman" w:hAnsi="Times New Roman" w:cs="Times New Roman"/>
          <w:sz w:val="24"/>
          <w:szCs w:val="24"/>
          <w:vertAlign w:val="superscript"/>
        </w:rPr>
        <w:footnoteReference w:id="82"/>
      </w:r>
      <w:r w:rsidRPr="002D3CD2">
        <w:rPr>
          <w:rFonts w:ascii="Times New Roman" w:hAnsi="Times New Roman" w:cs="Times New Roman"/>
          <w:sz w:val="24"/>
          <w:szCs w:val="24"/>
        </w:rPr>
        <w:t xml:space="preserve"> and it has been confirmed that the overall economic and personal circumstances of the applicant should be considered as a whole.</w:t>
      </w:r>
      <w:r w:rsidRPr="002D3CD2">
        <w:rPr>
          <w:rFonts w:ascii="Times New Roman" w:hAnsi="Times New Roman" w:cs="Times New Roman"/>
          <w:sz w:val="24"/>
          <w:szCs w:val="24"/>
          <w:vertAlign w:val="superscript"/>
        </w:rPr>
        <w:footnoteReference w:id="83"/>
      </w:r>
      <w:r w:rsidRPr="002D3CD2">
        <w:rPr>
          <w:rFonts w:ascii="Times New Roman" w:hAnsi="Times New Roman" w:cs="Times New Roman"/>
          <w:sz w:val="24"/>
          <w:szCs w:val="24"/>
        </w:rPr>
        <w:t xml:space="preserve"> However, where a case comprised a dispute about the purchase of a car, the fact that the legal aid applicant was in the position to purchase a car meant that he ought to have had insurance covering the situation for which he sought legal aid;</w:t>
      </w:r>
      <w:r w:rsidRPr="002D3CD2">
        <w:rPr>
          <w:rFonts w:ascii="Times New Roman" w:hAnsi="Times New Roman" w:cs="Times New Roman"/>
          <w:sz w:val="24"/>
          <w:szCs w:val="24"/>
          <w:vertAlign w:val="superscript"/>
        </w:rPr>
        <w:footnoteReference w:id="84"/>
      </w:r>
      <w:r w:rsidRPr="002D3CD2">
        <w:rPr>
          <w:rFonts w:ascii="Times New Roman" w:hAnsi="Times New Roman" w:cs="Times New Roman"/>
          <w:sz w:val="24"/>
          <w:szCs w:val="24"/>
        </w:rPr>
        <w:t xml:space="preserve"> the same applied in the case of purchase of a horse.</w:t>
      </w:r>
      <w:r w:rsidRPr="002D3CD2">
        <w:rPr>
          <w:rFonts w:ascii="Times New Roman" w:hAnsi="Times New Roman" w:cs="Times New Roman"/>
          <w:sz w:val="24"/>
          <w:szCs w:val="24"/>
          <w:vertAlign w:val="superscript"/>
        </w:rPr>
        <w:footnoteReference w:id="85"/>
      </w:r>
      <w:r w:rsidRPr="002D3CD2">
        <w:rPr>
          <w:rFonts w:ascii="Times New Roman" w:hAnsi="Times New Roman" w:cs="Times New Roman"/>
          <w:sz w:val="24"/>
          <w:szCs w:val="24"/>
        </w:rPr>
        <w:t xml:space="preserve"> An applicant who wrongly believed his insurance would cover the circumstance which arose was not entitled to legal aid, and ought to have had effective insurance cover.</w:t>
      </w:r>
      <w:r w:rsidRPr="002D3CD2">
        <w:rPr>
          <w:rFonts w:ascii="Times New Roman" w:hAnsi="Times New Roman" w:cs="Times New Roman"/>
          <w:sz w:val="24"/>
          <w:szCs w:val="24"/>
          <w:vertAlign w:val="superscript"/>
        </w:rPr>
        <w:footnoteReference w:id="86"/>
      </w:r>
      <w:r w:rsidR="001C2A69">
        <w:rPr>
          <w:rFonts w:ascii="Times New Roman" w:hAnsi="Times New Roman" w:cs="Times New Roman"/>
          <w:sz w:val="24"/>
          <w:szCs w:val="24"/>
        </w:rPr>
        <w:t xml:space="preserve"> The ‘ought to have had insurance’</w:t>
      </w:r>
      <w:r w:rsidRPr="002D3CD2">
        <w:rPr>
          <w:rFonts w:ascii="Times New Roman" w:hAnsi="Times New Roman" w:cs="Times New Roman"/>
          <w:sz w:val="24"/>
          <w:szCs w:val="24"/>
        </w:rPr>
        <w:t xml:space="preserve"> rule is not generally applied in family cases as these are considered to be of such importance that the exemption applies, as illustrated by various decided cases.</w:t>
      </w:r>
      <w:r w:rsidRPr="002D3CD2">
        <w:rPr>
          <w:rFonts w:ascii="Times New Roman" w:hAnsi="Times New Roman" w:cs="Times New Roman"/>
          <w:sz w:val="24"/>
          <w:szCs w:val="24"/>
          <w:vertAlign w:val="superscript"/>
        </w:rPr>
        <w:footnoteReference w:id="87"/>
      </w:r>
      <w:r w:rsidRPr="002D3CD2">
        <w:rPr>
          <w:rFonts w:ascii="Times New Roman" w:hAnsi="Times New Roman" w:cs="Times New Roman"/>
          <w:sz w:val="24"/>
          <w:szCs w:val="24"/>
        </w:rPr>
        <w:t xml:space="preserve"> </w:t>
      </w:r>
    </w:p>
    <w:p w:rsidR="006C12C5" w:rsidRPr="002D3CD2" w:rsidRDefault="007A0831"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Whilst</w:t>
      </w:r>
      <w:r w:rsidR="006C12C5" w:rsidRPr="002D3CD2">
        <w:rPr>
          <w:rFonts w:ascii="Times New Roman" w:hAnsi="Times New Roman" w:cs="Times New Roman"/>
          <w:sz w:val="24"/>
          <w:szCs w:val="24"/>
        </w:rPr>
        <w:t xml:space="preserve"> in Finland </w:t>
      </w:r>
      <w:r w:rsidRPr="002D3CD2">
        <w:rPr>
          <w:rFonts w:ascii="Times New Roman" w:hAnsi="Times New Roman" w:cs="Times New Roman"/>
          <w:sz w:val="24"/>
          <w:szCs w:val="24"/>
        </w:rPr>
        <w:t xml:space="preserve">there is also a rule that </w:t>
      </w:r>
      <w:r w:rsidR="006C12C5" w:rsidRPr="002D3CD2">
        <w:rPr>
          <w:rFonts w:ascii="Times New Roman" w:hAnsi="Times New Roman" w:cs="Times New Roman"/>
          <w:sz w:val="24"/>
          <w:szCs w:val="24"/>
        </w:rPr>
        <w:t>individuals with legal expenses insurance will not be eligible for legal aid for cases covered by that insurance,</w:t>
      </w:r>
      <w:r w:rsidR="006C12C5" w:rsidRPr="002D3CD2">
        <w:rPr>
          <w:rFonts w:ascii="Times New Roman" w:hAnsi="Times New Roman" w:cs="Times New Roman"/>
          <w:sz w:val="24"/>
          <w:szCs w:val="24"/>
          <w:vertAlign w:val="superscript"/>
        </w:rPr>
        <w:footnoteReference w:id="88"/>
      </w:r>
      <w:r w:rsidR="006C12C5" w:rsidRPr="002D3CD2">
        <w:rPr>
          <w:rFonts w:ascii="Times New Roman" w:hAnsi="Times New Roman" w:cs="Times New Roman"/>
          <w:sz w:val="24"/>
          <w:szCs w:val="24"/>
        </w:rPr>
        <w:t xml:space="preserve"> </w:t>
      </w:r>
      <w:r w:rsidRPr="002D3CD2">
        <w:rPr>
          <w:rFonts w:ascii="Times New Roman" w:hAnsi="Times New Roman" w:cs="Times New Roman"/>
          <w:sz w:val="24"/>
          <w:szCs w:val="24"/>
        </w:rPr>
        <w:t>there is no equivalent ‘ought to have had insurance’ rule.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Legal expenses insurance </w:t>
      </w:r>
      <w:r w:rsidR="006C12C5" w:rsidRPr="002D3CD2">
        <w:rPr>
          <w:rFonts w:ascii="Times New Roman" w:hAnsi="Times New Roman" w:cs="Times New Roman"/>
          <w:sz w:val="24"/>
          <w:szCs w:val="24"/>
        </w:rPr>
        <w:t xml:space="preserve">is an automatic additional element in most </w:t>
      </w:r>
      <w:r w:rsidRPr="002D3CD2">
        <w:rPr>
          <w:rFonts w:ascii="Times New Roman" w:hAnsi="Times New Roman" w:cs="Times New Roman"/>
          <w:sz w:val="24"/>
          <w:szCs w:val="24"/>
        </w:rPr>
        <w:t xml:space="preserve">Finnish </w:t>
      </w:r>
      <w:r w:rsidR="006C12C5" w:rsidRPr="002D3CD2">
        <w:rPr>
          <w:rFonts w:ascii="Times New Roman" w:hAnsi="Times New Roman" w:cs="Times New Roman"/>
          <w:sz w:val="24"/>
          <w:szCs w:val="24"/>
        </w:rPr>
        <w:t>household insurance policies</w:t>
      </w:r>
      <w:r w:rsidRPr="002D3CD2">
        <w:rPr>
          <w:rFonts w:ascii="Times New Roman" w:hAnsi="Times New Roman" w:cs="Times New Roman"/>
          <w:sz w:val="24"/>
          <w:szCs w:val="24"/>
        </w:rPr>
        <w:t>, but l</w:t>
      </w:r>
      <w:r w:rsidR="006C12C5" w:rsidRPr="002D3CD2">
        <w:rPr>
          <w:rFonts w:ascii="Times New Roman" w:hAnsi="Times New Roman" w:cs="Times New Roman"/>
          <w:sz w:val="24"/>
          <w:szCs w:val="24"/>
        </w:rPr>
        <w:t>egal aid may be available to cover additional legal work beyond the limit of the insurance policy and in some cases also for the insurance excess payable by the client.</w:t>
      </w:r>
      <w:r w:rsidR="006C12C5" w:rsidRPr="002D3CD2">
        <w:rPr>
          <w:rFonts w:ascii="Times New Roman" w:hAnsi="Times New Roman" w:cs="Times New Roman"/>
          <w:sz w:val="24"/>
          <w:szCs w:val="24"/>
          <w:vertAlign w:val="superscript"/>
        </w:rPr>
        <w:footnoteReference w:id="89"/>
      </w:r>
      <w:r w:rsidR="006C12C5" w:rsidRPr="002D3CD2">
        <w:rPr>
          <w:rFonts w:ascii="Times New Roman" w:hAnsi="Times New Roman" w:cs="Times New Roman"/>
          <w:sz w:val="24"/>
          <w:szCs w:val="24"/>
        </w:rPr>
        <w:t xml:space="preserve"> </w:t>
      </w:r>
    </w:p>
    <w:p w:rsidR="00F405E3" w:rsidRPr="002D3CD2" w:rsidRDefault="0009013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Overall, </w:t>
      </w:r>
      <w:r w:rsidR="00F405E3" w:rsidRPr="002D3CD2">
        <w:rPr>
          <w:rFonts w:ascii="Times New Roman" w:hAnsi="Times New Roman" w:cs="Times New Roman"/>
          <w:sz w:val="24"/>
          <w:szCs w:val="24"/>
        </w:rPr>
        <w:t>Sweden</w:t>
      </w:r>
      <w:r w:rsidR="004F7AA1" w:rsidRPr="002D3CD2">
        <w:rPr>
          <w:rFonts w:ascii="Times New Roman" w:hAnsi="Times New Roman" w:cs="Times New Roman"/>
          <w:sz w:val="24"/>
          <w:szCs w:val="24"/>
        </w:rPr>
        <w:t xml:space="preserve"> can be seen to have a much less generous system than Finland, with lower financial eligibility levels, more stringent scope and merits provisions, albeit even more generous limits on the amount of work per case.</w:t>
      </w:r>
      <w:r w:rsidR="00596161" w:rsidRPr="002D3CD2">
        <w:rPr>
          <w:rFonts w:ascii="Times New Roman" w:hAnsi="Times New Roman" w:cs="Times New Roman"/>
          <w:sz w:val="24"/>
          <w:szCs w:val="24"/>
        </w:rPr>
        <w:t xml:space="preserve"> </w:t>
      </w:r>
      <w:r w:rsidR="006C12C5" w:rsidRPr="002D3CD2">
        <w:rPr>
          <w:rFonts w:ascii="Times New Roman" w:hAnsi="Times New Roman" w:cs="Times New Roman"/>
          <w:sz w:val="24"/>
          <w:szCs w:val="24"/>
        </w:rPr>
        <w:t>However, t</w:t>
      </w:r>
      <w:r w:rsidR="004F7AA1" w:rsidRPr="002D3CD2">
        <w:rPr>
          <w:rFonts w:ascii="Times New Roman" w:hAnsi="Times New Roman" w:cs="Times New Roman"/>
          <w:sz w:val="24"/>
          <w:szCs w:val="24"/>
        </w:rPr>
        <w:t>he scheme cost Sweden</w:t>
      </w:r>
      <w:r w:rsidR="00F405E3" w:rsidRPr="002D3CD2">
        <w:rPr>
          <w:rFonts w:ascii="Times New Roman" w:hAnsi="Times New Roman" w:cs="Times New Roman"/>
          <w:sz w:val="24"/>
          <w:szCs w:val="24"/>
        </w:rPr>
        <w:t xml:space="preserve"> 26.5 euros on legal aid</w:t>
      </w:r>
      <w:r w:rsidR="004F7AA1" w:rsidRPr="002D3CD2">
        <w:rPr>
          <w:rFonts w:ascii="Times New Roman" w:hAnsi="Times New Roman" w:cs="Times New Roman"/>
          <w:sz w:val="24"/>
          <w:szCs w:val="24"/>
        </w:rPr>
        <w:t xml:space="preserve"> per capita in 2014,</w:t>
      </w:r>
      <w:r w:rsidR="004F7AA1" w:rsidRPr="002D3CD2">
        <w:rPr>
          <w:rStyle w:val="FootnoteReference"/>
          <w:rFonts w:ascii="Times New Roman" w:hAnsi="Times New Roman" w:cs="Times New Roman"/>
          <w:sz w:val="24"/>
          <w:szCs w:val="24"/>
        </w:rPr>
        <w:footnoteReference w:id="90"/>
      </w:r>
      <w:r w:rsidR="004F7AA1" w:rsidRPr="002D3CD2">
        <w:rPr>
          <w:rFonts w:ascii="Times New Roman" w:hAnsi="Times New Roman" w:cs="Times New Roman"/>
          <w:sz w:val="24"/>
          <w:szCs w:val="24"/>
        </w:rPr>
        <w:t xml:space="preserve"> </w:t>
      </w:r>
      <w:r w:rsidR="00CD43B2" w:rsidRPr="002D3CD2">
        <w:rPr>
          <w:rFonts w:ascii="Times New Roman" w:hAnsi="Times New Roman" w:cs="Times New Roman"/>
          <w:sz w:val="24"/>
          <w:szCs w:val="24"/>
        </w:rPr>
        <w:t>more than double the amount spent in Finland.</w:t>
      </w:r>
    </w:p>
    <w:p w:rsidR="006D39BF" w:rsidRPr="002D3CD2" w:rsidRDefault="00B53840" w:rsidP="002D3CD2">
      <w:pPr>
        <w:pStyle w:val="ListParagraph"/>
        <w:numPr>
          <w:ilvl w:val="0"/>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Judging</w:t>
      </w:r>
      <w:r w:rsidR="006C12C5" w:rsidRPr="002D3CD2">
        <w:rPr>
          <w:rFonts w:ascii="Times New Roman" w:hAnsi="Times New Roman" w:cs="Times New Roman"/>
          <w:sz w:val="24"/>
          <w:szCs w:val="24"/>
        </w:rPr>
        <w:t xml:space="preserve"> legal aid systems</w:t>
      </w:r>
    </w:p>
    <w:p w:rsidR="00A673E7" w:rsidRPr="002D3CD2" w:rsidRDefault="00206BB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descriptions, above, of the legal aid schemes in Finland and Sweden have </w:t>
      </w:r>
      <w:r w:rsidR="009C3936" w:rsidRPr="002D3CD2">
        <w:rPr>
          <w:rFonts w:ascii="Times New Roman" w:hAnsi="Times New Roman" w:cs="Times New Roman"/>
          <w:sz w:val="24"/>
          <w:szCs w:val="24"/>
        </w:rPr>
        <w:t>illustrated their</w:t>
      </w:r>
      <w:r w:rsidRPr="002D3CD2">
        <w:rPr>
          <w:rFonts w:ascii="Times New Roman" w:hAnsi="Times New Roman" w:cs="Times New Roman"/>
          <w:sz w:val="24"/>
          <w:szCs w:val="24"/>
        </w:rPr>
        <w:t xml:space="preserve"> complexity, and also the considerable variation </w:t>
      </w:r>
      <w:r w:rsidR="009C3936" w:rsidRPr="002D3CD2">
        <w:rPr>
          <w:rFonts w:ascii="Times New Roman" w:hAnsi="Times New Roman" w:cs="Times New Roman"/>
          <w:sz w:val="24"/>
          <w:szCs w:val="24"/>
        </w:rPr>
        <w:t xml:space="preserve">in legal aid administration </w:t>
      </w:r>
      <w:r w:rsidRPr="002D3CD2">
        <w:rPr>
          <w:rFonts w:ascii="Times New Roman" w:hAnsi="Times New Roman" w:cs="Times New Roman"/>
          <w:sz w:val="24"/>
          <w:szCs w:val="24"/>
        </w:rPr>
        <w:t xml:space="preserve">which can be found even </w:t>
      </w:r>
      <w:r w:rsidR="00865677" w:rsidRPr="002D3CD2">
        <w:rPr>
          <w:rFonts w:ascii="Times New Roman" w:hAnsi="Times New Roman" w:cs="Times New Roman"/>
          <w:sz w:val="24"/>
          <w:szCs w:val="24"/>
        </w:rPr>
        <w:t>between</w:t>
      </w:r>
      <w:r w:rsidRPr="002D3CD2">
        <w:rPr>
          <w:rFonts w:ascii="Times New Roman" w:hAnsi="Times New Roman" w:cs="Times New Roman"/>
          <w:sz w:val="24"/>
          <w:szCs w:val="24"/>
        </w:rPr>
        <w:t xml:space="preserve"> two closely-connected jurisdictions.</w:t>
      </w:r>
      <w:r w:rsidR="00596161" w:rsidRPr="002D3CD2">
        <w:rPr>
          <w:rFonts w:ascii="Times New Roman" w:hAnsi="Times New Roman" w:cs="Times New Roman"/>
          <w:sz w:val="24"/>
          <w:szCs w:val="24"/>
        </w:rPr>
        <w:t xml:space="preserve"> </w:t>
      </w:r>
      <w:proofErr w:type="gramStart"/>
      <w:r w:rsidR="00F55AD4" w:rsidRPr="002D3CD2">
        <w:rPr>
          <w:rFonts w:ascii="Times New Roman" w:hAnsi="Times New Roman" w:cs="Times New Roman"/>
          <w:sz w:val="24"/>
          <w:szCs w:val="24"/>
        </w:rPr>
        <w:t>Neither country is particularly dissatisfied with its legal aid scheme and</w:t>
      </w:r>
      <w:proofErr w:type="gramEnd"/>
      <w:r w:rsidR="00F55AD4" w:rsidRPr="002D3CD2">
        <w:rPr>
          <w:rFonts w:ascii="Times New Roman" w:hAnsi="Times New Roman" w:cs="Times New Roman"/>
          <w:sz w:val="24"/>
          <w:szCs w:val="24"/>
        </w:rPr>
        <w:t xml:space="preserve"> no proposals for change are under consideration, raising the possibility that very different schemes can be </w:t>
      </w:r>
      <w:r w:rsidR="00A67A04" w:rsidRPr="002D3CD2">
        <w:rPr>
          <w:rFonts w:ascii="Times New Roman" w:hAnsi="Times New Roman" w:cs="Times New Roman"/>
          <w:sz w:val="24"/>
          <w:szCs w:val="24"/>
        </w:rPr>
        <w:t xml:space="preserve">adequately </w:t>
      </w:r>
      <w:r w:rsidR="00F55AD4" w:rsidRPr="002D3CD2">
        <w:rPr>
          <w:rFonts w:ascii="Times New Roman" w:hAnsi="Times New Roman" w:cs="Times New Roman"/>
          <w:sz w:val="24"/>
          <w:szCs w:val="24"/>
        </w:rPr>
        <w:t>successful in different circumstances.</w:t>
      </w:r>
      <w:r w:rsidR="00596161" w:rsidRPr="002D3CD2">
        <w:rPr>
          <w:rFonts w:ascii="Times New Roman" w:hAnsi="Times New Roman" w:cs="Times New Roman"/>
          <w:sz w:val="24"/>
          <w:szCs w:val="24"/>
        </w:rPr>
        <w:t xml:space="preserve"> </w:t>
      </w:r>
      <w:r w:rsidR="00F55AD4" w:rsidRPr="002D3CD2">
        <w:rPr>
          <w:rFonts w:ascii="Times New Roman" w:hAnsi="Times New Roman" w:cs="Times New Roman"/>
          <w:sz w:val="24"/>
          <w:szCs w:val="24"/>
        </w:rPr>
        <w:t xml:space="preserve">There may be no </w:t>
      </w:r>
      <w:r w:rsidR="00F55AD4" w:rsidRPr="002D3CD2">
        <w:rPr>
          <w:rFonts w:ascii="Times New Roman" w:hAnsi="Times New Roman" w:cs="Times New Roman"/>
          <w:i/>
          <w:sz w:val="24"/>
          <w:szCs w:val="24"/>
        </w:rPr>
        <w:t xml:space="preserve">de </w:t>
      </w:r>
      <w:proofErr w:type="spellStart"/>
      <w:r w:rsidR="00F55AD4" w:rsidRPr="002D3CD2">
        <w:rPr>
          <w:rFonts w:ascii="Times New Roman" w:hAnsi="Times New Roman" w:cs="Times New Roman"/>
          <w:i/>
          <w:sz w:val="24"/>
          <w:szCs w:val="24"/>
        </w:rPr>
        <w:t>lege</w:t>
      </w:r>
      <w:proofErr w:type="spellEnd"/>
      <w:r w:rsidR="00F55AD4" w:rsidRPr="002D3CD2">
        <w:rPr>
          <w:rFonts w:ascii="Times New Roman" w:hAnsi="Times New Roman" w:cs="Times New Roman"/>
          <w:i/>
          <w:sz w:val="24"/>
          <w:szCs w:val="24"/>
        </w:rPr>
        <w:t xml:space="preserve"> </w:t>
      </w:r>
      <w:proofErr w:type="spellStart"/>
      <w:r w:rsidR="00F55AD4" w:rsidRPr="002D3CD2">
        <w:rPr>
          <w:rFonts w:ascii="Times New Roman" w:hAnsi="Times New Roman" w:cs="Times New Roman"/>
          <w:i/>
          <w:sz w:val="24"/>
          <w:szCs w:val="24"/>
        </w:rPr>
        <w:t>ferenda</w:t>
      </w:r>
      <w:proofErr w:type="spellEnd"/>
      <w:r w:rsidRPr="002D3CD2">
        <w:rPr>
          <w:rFonts w:ascii="Times New Roman" w:hAnsi="Times New Roman" w:cs="Times New Roman"/>
          <w:sz w:val="24"/>
          <w:szCs w:val="24"/>
        </w:rPr>
        <w:t xml:space="preserve"> </w:t>
      </w:r>
      <w:r w:rsidR="00F55AD4" w:rsidRPr="002D3CD2">
        <w:rPr>
          <w:rFonts w:ascii="Times New Roman" w:hAnsi="Times New Roman" w:cs="Times New Roman"/>
          <w:sz w:val="24"/>
          <w:szCs w:val="24"/>
        </w:rPr>
        <w:t xml:space="preserve">conclusions to be drawn from a comparison </w:t>
      </w:r>
      <w:r w:rsidR="00F55AD4" w:rsidRPr="002D3CD2">
        <w:rPr>
          <w:rFonts w:ascii="Times New Roman" w:hAnsi="Times New Roman" w:cs="Times New Roman"/>
          <w:sz w:val="24"/>
          <w:szCs w:val="24"/>
        </w:rPr>
        <w:lastRenderedPageBreak/>
        <w:t xml:space="preserve">of legal aid systems. </w:t>
      </w:r>
      <w:r w:rsidR="00B15D0F" w:rsidRPr="002D3CD2">
        <w:rPr>
          <w:rFonts w:ascii="Times New Roman" w:hAnsi="Times New Roman" w:cs="Times New Roman"/>
          <w:sz w:val="24"/>
          <w:szCs w:val="24"/>
        </w:rPr>
        <w:t>The possibility of different but equally successful structures for legal aid</w:t>
      </w:r>
      <w:r w:rsidR="00F55AD4" w:rsidRPr="002D3CD2">
        <w:rPr>
          <w:rFonts w:ascii="Times New Roman" w:hAnsi="Times New Roman" w:cs="Times New Roman"/>
          <w:sz w:val="24"/>
          <w:szCs w:val="24"/>
        </w:rPr>
        <w:t xml:space="preserve"> also </w:t>
      </w:r>
      <w:r w:rsidR="00B15D0F" w:rsidRPr="002D3CD2">
        <w:rPr>
          <w:rFonts w:ascii="Times New Roman" w:hAnsi="Times New Roman" w:cs="Times New Roman"/>
          <w:sz w:val="24"/>
          <w:szCs w:val="24"/>
        </w:rPr>
        <w:t xml:space="preserve">makes it </w:t>
      </w:r>
      <w:r w:rsidR="00F55AD4" w:rsidRPr="002D3CD2">
        <w:rPr>
          <w:rFonts w:ascii="Times New Roman" w:hAnsi="Times New Roman" w:cs="Times New Roman"/>
          <w:sz w:val="24"/>
          <w:szCs w:val="24"/>
        </w:rPr>
        <w:t xml:space="preserve">difficult to </w:t>
      </w:r>
      <w:r w:rsidR="0071326F" w:rsidRPr="002D3CD2">
        <w:rPr>
          <w:rFonts w:ascii="Times New Roman" w:hAnsi="Times New Roman" w:cs="Times New Roman"/>
          <w:sz w:val="24"/>
          <w:szCs w:val="24"/>
        </w:rPr>
        <w:t xml:space="preserve">identify objective </w:t>
      </w:r>
      <w:r w:rsidR="00F55AD4" w:rsidRPr="002D3CD2">
        <w:rPr>
          <w:rFonts w:ascii="Times New Roman" w:hAnsi="Times New Roman" w:cs="Times New Roman"/>
          <w:sz w:val="24"/>
          <w:szCs w:val="24"/>
        </w:rPr>
        <w:t xml:space="preserve">internal </w:t>
      </w:r>
      <w:r w:rsidR="0071326F" w:rsidRPr="002D3CD2">
        <w:rPr>
          <w:rFonts w:ascii="Times New Roman" w:hAnsi="Times New Roman" w:cs="Times New Roman"/>
          <w:sz w:val="24"/>
          <w:szCs w:val="24"/>
        </w:rPr>
        <w:t>measurements for the</w:t>
      </w:r>
      <w:r w:rsidR="00F55AD4" w:rsidRPr="002D3CD2">
        <w:rPr>
          <w:rFonts w:ascii="Times New Roman" w:hAnsi="Times New Roman" w:cs="Times New Roman"/>
          <w:sz w:val="24"/>
          <w:szCs w:val="24"/>
        </w:rPr>
        <w:t xml:space="preserve"> </w:t>
      </w:r>
      <w:r w:rsidR="002C4D7A" w:rsidRPr="002D3CD2">
        <w:rPr>
          <w:rFonts w:ascii="Times New Roman" w:hAnsi="Times New Roman" w:cs="Times New Roman"/>
          <w:sz w:val="24"/>
          <w:szCs w:val="24"/>
        </w:rPr>
        <w:t>assessment of national schemes.</w:t>
      </w:r>
      <w:r w:rsidR="00596161" w:rsidRPr="002D3CD2">
        <w:rPr>
          <w:rFonts w:ascii="Times New Roman" w:hAnsi="Times New Roman" w:cs="Times New Roman"/>
          <w:sz w:val="24"/>
          <w:szCs w:val="24"/>
        </w:rPr>
        <w:t xml:space="preserve"> </w:t>
      </w:r>
      <w:r w:rsidR="00B15D0F" w:rsidRPr="002D3CD2">
        <w:rPr>
          <w:rFonts w:ascii="Times New Roman" w:hAnsi="Times New Roman" w:cs="Times New Roman"/>
          <w:sz w:val="24"/>
          <w:szCs w:val="24"/>
        </w:rPr>
        <w:t xml:space="preserve">Elements relating to the inputs into legal aid systems, such as client needs and the amount of money invested in the </w:t>
      </w:r>
      <w:proofErr w:type="gramStart"/>
      <w:r w:rsidR="00B15D0F" w:rsidRPr="002D3CD2">
        <w:rPr>
          <w:rFonts w:ascii="Times New Roman" w:hAnsi="Times New Roman" w:cs="Times New Roman"/>
          <w:sz w:val="24"/>
          <w:szCs w:val="24"/>
        </w:rPr>
        <w:t>scheme,</w:t>
      </w:r>
      <w:proofErr w:type="gramEnd"/>
      <w:r w:rsidR="00B15D0F" w:rsidRPr="002D3CD2">
        <w:rPr>
          <w:rFonts w:ascii="Times New Roman" w:hAnsi="Times New Roman" w:cs="Times New Roman"/>
          <w:sz w:val="24"/>
          <w:szCs w:val="24"/>
        </w:rPr>
        <w:t xml:space="preserve"> can be measured, and outputs such as client satisfaction, social benefits and improved access to justice can be and are evaluated by researchers from several disciplines. </w:t>
      </w:r>
      <w:r w:rsidR="002C4D7A" w:rsidRPr="002D3CD2">
        <w:rPr>
          <w:rFonts w:ascii="Times New Roman" w:hAnsi="Times New Roman" w:cs="Times New Roman"/>
          <w:sz w:val="24"/>
          <w:szCs w:val="24"/>
        </w:rPr>
        <w:t xml:space="preserve">It should, though, also be possible for </w:t>
      </w:r>
      <w:r w:rsidR="00A67A04" w:rsidRPr="002D3CD2">
        <w:rPr>
          <w:rFonts w:ascii="Times New Roman" w:hAnsi="Times New Roman" w:cs="Times New Roman"/>
          <w:sz w:val="24"/>
          <w:szCs w:val="24"/>
        </w:rPr>
        <w:t xml:space="preserve">public and </w:t>
      </w:r>
      <w:r w:rsidR="002C4D7A" w:rsidRPr="002D3CD2">
        <w:rPr>
          <w:rFonts w:ascii="Times New Roman" w:hAnsi="Times New Roman" w:cs="Times New Roman"/>
          <w:sz w:val="24"/>
          <w:szCs w:val="24"/>
        </w:rPr>
        <w:t xml:space="preserve">administrative lawyers to have a role to play in evaluating the structures of a legal aid scheme, independently of the results achieved. Outcomes </w:t>
      </w:r>
      <w:r w:rsidR="000D04DB" w:rsidRPr="002D3CD2">
        <w:rPr>
          <w:rFonts w:ascii="Times New Roman" w:hAnsi="Times New Roman" w:cs="Times New Roman"/>
          <w:sz w:val="24"/>
          <w:szCs w:val="24"/>
        </w:rPr>
        <w:t>for clients are of course of central importance, and the cost of providing legal aid will always be a core concern of government, but it may be possible also to judge whether a legal aid scheme is in itself of good quality.</w:t>
      </w:r>
    </w:p>
    <w:p w:rsidR="00AE29F5" w:rsidRPr="002D3CD2" w:rsidRDefault="000D04DB"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It is </w:t>
      </w:r>
      <w:r w:rsidR="00AE29F5" w:rsidRPr="002D3CD2">
        <w:rPr>
          <w:rFonts w:ascii="Times New Roman" w:hAnsi="Times New Roman" w:cs="Times New Roman"/>
          <w:sz w:val="24"/>
          <w:szCs w:val="24"/>
        </w:rPr>
        <w:t>suggested</w:t>
      </w:r>
      <w:r w:rsidRPr="002D3CD2">
        <w:rPr>
          <w:rFonts w:ascii="Times New Roman" w:hAnsi="Times New Roman" w:cs="Times New Roman"/>
          <w:sz w:val="24"/>
          <w:szCs w:val="24"/>
        </w:rPr>
        <w:t xml:space="preserve"> that, in addition </w:t>
      </w:r>
      <w:r w:rsidR="00AE29F5" w:rsidRPr="002D3CD2">
        <w:rPr>
          <w:rFonts w:ascii="Times New Roman" w:hAnsi="Times New Roman" w:cs="Times New Roman"/>
          <w:sz w:val="24"/>
          <w:szCs w:val="24"/>
        </w:rPr>
        <w:t>to producing satisfactory outcomes at an acceptable cost, a legal aid system can also be judged on its internal qualities.</w:t>
      </w:r>
      <w:r w:rsidR="00596161" w:rsidRPr="002D3CD2">
        <w:rPr>
          <w:rFonts w:ascii="Times New Roman" w:hAnsi="Times New Roman" w:cs="Times New Roman"/>
          <w:sz w:val="24"/>
          <w:szCs w:val="24"/>
        </w:rPr>
        <w:t xml:space="preserve"> </w:t>
      </w:r>
      <w:r w:rsidR="00AE29F5" w:rsidRPr="002D3CD2">
        <w:rPr>
          <w:rFonts w:ascii="Times New Roman" w:hAnsi="Times New Roman" w:cs="Times New Roman"/>
          <w:i/>
          <w:sz w:val="24"/>
          <w:szCs w:val="24"/>
        </w:rPr>
        <w:t>De minimis</w:t>
      </w:r>
      <w:r w:rsidR="00AE29F5" w:rsidRPr="002D3CD2">
        <w:rPr>
          <w:rFonts w:ascii="Times New Roman" w:hAnsi="Times New Roman" w:cs="Times New Roman"/>
          <w:sz w:val="24"/>
          <w:szCs w:val="24"/>
        </w:rPr>
        <w:t xml:space="preserve">, a scheme should be fit for its environment, coherent, logical and </w:t>
      </w:r>
      <w:r w:rsidR="001C2A69">
        <w:rPr>
          <w:rFonts w:ascii="Times New Roman" w:hAnsi="Times New Roman" w:cs="Times New Roman"/>
          <w:sz w:val="24"/>
          <w:szCs w:val="24"/>
        </w:rPr>
        <w:t>lawful</w:t>
      </w:r>
      <w:r w:rsidR="00AE29F5" w:rsidRPr="002D3CD2">
        <w:rPr>
          <w:rFonts w:ascii="Times New Roman" w:hAnsi="Times New Roman" w:cs="Times New Roman"/>
          <w:sz w:val="24"/>
          <w:szCs w:val="24"/>
        </w:rPr>
        <w:t>.</w:t>
      </w:r>
      <w:r w:rsidR="00B53840" w:rsidRPr="002D3CD2">
        <w:rPr>
          <w:rFonts w:ascii="Times New Roman" w:hAnsi="Times New Roman" w:cs="Times New Roman"/>
          <w:sz w:val="24"/>
          <w:szCs w:val="24"/>
        </w:rPr>
        <w:t xml:space="preserve"> Each of these criteria </w:t>
      </w:r>
      <w:r w:rsidR="00B15D0F" w:rsidRPr="002D3CD2">
        <w:rPr>
          <w:rFonts w:ascii="Times New Roman" w:hAnsi="Times New Roman" w:cs="Times New Roman"/>
          <w:sz w:val="24"/>
          <w:szCs w:val="24"/>
        </w:rPr>
        <w:t>will</w:t>
      </w:r>
      <w:r w:rsidR="00B53840" w:rsidRPr="002D3CD2">
        <w:rPr>
          <w:rFonts w:ascii="Times New Roman" w:hAnsi="Times New Roman" w:cs="Times New Roman"/>
          <w:sz w:val="24"/>
          <w:szCs w:val="24"/>
        </w:rPr>
        <w:t xml:space="preserve"> briefly </w:t>
      </w:r>
      <w:r w:rsidR="00B15D0F" w:rsidRPr="002D3CD2">
        <w:rPr>
          <w:rFonts w:ascii="Times New Roman" w:hAnsi="Times New Roman" w:cs="Times New Roman"/>
          <w:sz w:val="24"/>
          <w:szCs w:val="24"/>
        </w:rPr>
        <w:t xml:space="preserve">be </w:t>
      </w:r>
      <w:r w:rsidR="00B53840" w:rsidRPr="002D3CD2">
        <w:rPr>
          <w:rFonts w:ascii="Times New Roman" w:hAnsi="Times New Roman" w:cs="Times New Roman"/>
          <w:sz w:val="24"/>
          <w:szCs w:val="24"/>
        </w:rPr>
        <w:t>elaborated upon.</w:t>
      </w:r>
    </w:p>
    <w:p w:rsidR="00B53840" w:rsidRPr="002D3CD2" w:rsidRDefault="00B53840"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Fit for environment</w:t>
      </w:r>
    </w:p>
    <w:p w:rsidR="00A61340" w:rsidRPr="002D3CD2" w:rsidRDefault="00A61340"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When assessing a legal aid scheme, and particularly when comparing systems or considering the transposition of elements from another jurisdiction, it is important to remember that, whilst from a descriptive point of view the comparison is of like with like, from a functional perspective this may be only partially true. In every jurisdiction, legal aid is only part of the state’s response to several overlapping requirements. It has a role to play, inter alia, in: the functioning of the justice system as a whole; the upholding of the rule of law; the provision of access to justice; the guarantee of a fair trial; the relief of poverty and the promotion of equality. The way in which legal aid is perceived within a jurisdiction and the size and nature of the role it is designed to fulfil will have an effect on its organisation and also on the extent to which it can be judged as successful. </w:t>
      </w:r>
      <w:r w:rsidR="00EA04D4" w:rsidRPr="002D3CD2">
        <w:rPr>
          <w:rFonts w:ascii="Times New Roman" w:hAnsi="Times New Roman" w:cs="Times New Roman"/>
          <w:sz w:val="24"/>
          <w:szCs w:val="24"/>
        </w:rPr>
        <w:t xml:space="preserve">The main purpose of legal aid is often to provide access to justice, but there are many other methods available for states to achieve this, such as keeping disputes out of the court system so far as possible; making adjustments to court procedure to improve fairness without the need for legal representation or finding other ways to fund legal assistance for those who cannot afford to pay privately. In the </w:t>
      </w:r>
      <w:r w:rsidR="00AC1670" w:rsidRPr="002D3CD2">
        <w:rPr>
          <w:rFonts w:ascii="Times New Roman" w:hAnsi="Times New Roman" w:cs="Times New Roman"/>
          <w:sz w:val="24"/>
          <w:szCs w:val="24"/>
        </w:rPr>
        <w:t>Finnish and Swedish schemes described</w:t>
      </w:r>
      <w:r w:rsidR="00EA04D4" w:rsidRPr="002D3CD2">
        <w:rPr>
          <w:rFonts w:ascii="Times New Roman" w:hAnsi="Times New Roman" w:cs="Times New Roman"/>
          <w:sz w:val="24"/>
          <w:szCs w:val="24"/>
        </w:rPr>
        <w:t xml:space="preserve"> above, the reliance on legal expenses insurance is a good illustration of the latter.</w:t>
      </w:r>
      <w:r w:rsidR="00596161" w:rsidRPr="002D3CD2">
        <w:rPr>
          <w:rFonts w:ascii="Times New Roman" w:hAnsi="Times New Roman" w:cs="Times New Roman"/>
          <w:sz w:val="24"/>
          <w:szCs w:val="24"/>
        </w:rPr>
        <w:t xml:space="preserve"> </w:t>
      </w:r>
      <w:r w:rsidR="00EA04D4" w:rsidRPr="002D3CD2">
        <w:rPr>
          <w:rFonts w:ascii="Times New Roman" w:hAnsi="Times New Roman" w:cs="Times New Roman"/>
          <w:sz w:val="24"/>
          <w:szCs w:val="24"/>
        </w:rPr>
        <w:t xml:space="preserve">The extent to which such other mechanisms are in use in a jurisdiction is an important part of the context for legal aid, without which a comparison can </w:t>
      </w:r>
      <w:r w:rsidR="00EA04D4" w:rsidRPr="002D3CD2">
        <w:rPr>
          <w:rFonts w:ascii="Times New Roman" w:hAnsi="Times New Roman" w:cs="Times New Roman"/>
          <w:sz w:val="24"/>
          <w:szCs w:val="24"/>
        </w:rPr>
        <w:lastRenderedPageBreak/>
        <w:t xml:space="preserve">be misleading. Two identical legal aid systems in two different jurisdictions </w:t>
      </w:r>
      <w:r w:rsidR="00BF6808" w:rsidRPr="002D3CD2">
        <w:rPr>
          <w:rFonts w:ascii="Times New Roman" w:hAnsi="Times New Roman" w:cs="Times New Roman"/>
          <w:sz w:val="24"/>
          <w:szCs w:val="24"/>
        </w:rPr>
        <w:t>will</w:t>
      </w:r>
      <w:r w:rsidR="00EA04D4" w:rsidRPr="002D3CD2">
        <w:rPr>
          <w:rFonts w:ascii="Times New Roman" w:hAnsi="Times New Roman" w:cs="Times New Roman"/>
          <w:sz w:val="24"/>
          <w:szCs w:val="24"/>
        </w:rPr>
        <w:t xml:space="preserve"> not be equally appropriate or effective, yet different systems </w:t>
      </w:r>
      <w:r w:rsidR="00BF6808" w:rsidRPr="002D3CD2">
        <w:rPr>
          <w:rFonts w:ascii="Times New Roman" w:hAnsi="Times New Roman" w:cs="Times New Roman"/>
          <w:sz w:val="24"/>
          <w:szCs w:val="24"/>
        </w:rPr>
        <w:t>can</w:t>
      </w:r>
      <w:r w:rsidR="00EA04D4" w:rsidRPr="002D3CD2">
        <w:rPr>
          <w:rFonts w:ascii="Times New Roman" w:hAnsi="Times New Roman" w:cs="Times New Roman"/>
          <w:sz w:val="24"/>
          <w:szCs w:val="24"/>
        </w:rPr>
        <w:t xml:space="preserve"> be equally effective if they fit their context well.</w:t>
      </w:r>
    </w:p>
    <w:p w:rsidR="00390CCE" w:rsidRPr="002D3CD2" w:rsidRDefault="00A61340"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point also applies to comparisons of government spend on legal aid. The cost of legal aid can be controversial and both governments and the media are wont to draw comparisons between jurisdictions as ammunition for arguments in favour of reducing legal aid spend, but this is ill-conceived without an understanding of the wider context. On a very basic level, for example, the costs of legal aid in a state cannot be profitably compared with expenditure in another state unless it is understood that one country has an extensive parallel system which deflects a large proportion of cases from the court system and thus from legal aid, or that a whole judicial branch is run in such a way that representation is not the norm for any party. </w:t>
      </w:r>
    </w:p>
    <w:p w:rsidR="00A61340" w:rsidRPr="002D3CD2" w:rsidRDefault="00390CC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detailed organisation of legal aid should also be </w:t>
      </w:r>
      <w:r w:rsidR="000411F8" w:rsidRPr="002D3CD2">
        <w:rPr>
          <w:rFonts w:ascii="Times New Roman" w:hAnsi="Times New Roman" w:cs="Times New Roman"/>
          <w:sz w:val="24"/>
          <w:szCs w:val="24"/>
        </w:rPr>
        <w:t>appropriate for the wider context.</w:t>
      </w:r>
      <w:r w:rsidR="00596161" w:rsidRPr="002D3CD2">
        <w:rPr>
          <w:rFonts w:ascii="Times New Roman" w:hAnsi="Times New Roman" w:cs="Times New Roman"/>
          <w:sz w:val="24"/>
          <w:szCs w:val="24"/>
        </w:rPr>
        <w:t xml:space="preserve"> </w:t>
      </w:r>
      <w:r w:rsidR="000411F8" w:rsidRPr="002D3CD2">
        <w:rPr>
          <w:rFonts w:ascii="Times New Roman" w:hAnsi="Times New Roman" w:cs="Times New Roman"/>
          <w:sz w:val="24"/>
          <w:szCs w:val="24"/>
        </w:rPr>
        <w:t xml:space="preserve">For example, </w:t>
      </w:r>
      <w:r w:rsidRPr="002D3CD2">
        <w:rPr>
          <w:rFonts w:ascii="Times New Roman" w:hAnsi="Times New Roman" w:cs="Times New Roman"/>
          <w:sz w:val="24"/>
          <w:szCs w:val="24"/>
        </w:rPr>
        <w:t>access arrangements need to take account of geography, language</w:t>
      </w:r>
      <w:r w:rsidR="000411F8" w:rsidRPr="002D3CD2">
        <w:rPr>
          <w:rFonts w:ascii="Times New Roman" w:hAnsi="Times New Roman" w:cs="Times New Roman"/>
          <w:sz w:val="24"/>
          <w:szCs w:val="24"/>
        </w:rPr>
        <w:t xml:space="preserve"> and</w:t>
      </w:r>
      <w:r w:rsidRPr="002D3CD2">
        <w:rPr>
          <w:rFonts w:ascii="Times New Roman" w:hAnsi="Times New Roman" w:cs="Times New Roman"/>
          <w:sz w:val="24"/>
          <w:szCs w:val="24"/>
        </w:rPr>
        <w:t xml:space="preserve"> </w:t>
      </w:r>
      <w:r w:rsidR="00BF6808" w:rsidRPr="002D3CD2">
        <w:rPr>
          <w:rFonts w:ascii="Times New Roman" w:hAnsi="Times New Roman" w:cs="Times New Roman"/>
          <w:sz w:val="24"/>
          <w:szCs w:val="24"/>
        </w:rPr>
        <w:t xml:space="preserve">cultural </w:t>
      </w:r>
      <w:r w:rsidRPr="002D3CD2">
        <w:rPr>
          <w:rFonts w:ascii="Times New Roman" w:hAnsi="Times New Roman" w:cs="Times New Roman"/>
          <w:sz w:val="24"/>
          <w:szCs w:val="24"/>
        </w:rPr>
        <w:t>attitude</w:t>
      </w:r>
      <w:r w:rsidR="00BF6808" w:rsidRPr="002D3CD2">
        <w:rPr>
          <w:rFonts w:ascii="Times New Roman" w:hAnsi="Times New Roman" w:cs="Times New Roman"/>
          <w:sz w:val="24"/>
          <w:szCs w:val="24"/>
        </w:rPr>
        <w:t>s</w:t>
      </w:r>
      <w:r w:rsidRPr="002D3CD2">
        <w:rPr>
          <w:rFonts w:ascii="Times New Roman" w:hAnsi="Times New Roman" w:cs="Times New Roman"/>
          <w:sz w:val="24"/>
          <w:szCs w:val="24"/>
        </w:rPr>
        <w:t xml:space="preserve"> to </w:t>
      </w:r>
      <w:r w:rsidR="000411F8" w:rsidRPr="002D3CD2">
        <w:rPr>
          <w:rFonts w:ascii="Times New Roman" w:hAnsi="Times New Roman" w:cs="Times New Roman"/>
          <w:sz w:val="24"/>
          <w:szCs w:val="24"/>
        </w:rPr>
        <w:t xml:space="preserve">the </w:t>
      </w:r>
      <w:r w:rsidRPr="002D3CD2">
        <w:rPr>
          <w:rFonts w:ascii="Times New Roman" w:hAnsi="Times New Roman" w:cs="Times New Roman"/>
          <w:sz w:val="24"/>
          <w:szCs w:val="24"/>
        </w:rPr>
        <w:t xml:space="preserve">law and </w:t>
      </w:r>
      <w:r w:rsidR="000411F8" w:rsidRPr="002D3CD2">
        <w:rPr>
          <w:rFonts w:ascii="Times New Roman" w:hAnsi="Times New Roman" w:cs="Times New Roman"/>
          <w:sz w:val="24"/>
          <w:szCs w:val="24"/>
        </w:rPr>
        <w:t xml:space="preserve">to </w:t>
      </w:r>
      <w:r w:rsidRPr="002D3CD2">
        <w:rPr>
          <w:rFonts w:ascii="Times New Roman" w:hAnsi="Times New Roman" w:cs="Times New Roman"/>
          <w:sz w:val="24"/>
          <w:szCs w:val="24"/>
        </w:rPr>
        <w:t>lawyers</w:t>
      </w:r>
      <w:r w:rsidR="000411F8"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r w:rsidR="000411F8" w:rsidRPr="002D3CD2">
        <w:rPr>
          <w:rFonts w:ascii="Times New Roman" w:hAnsi="Times New Roman" w:cs="Times New Roman"/>
          <w:sz w:val="24"/>
          <w:szCs w:val="24"/>
        </w:rPr>
        <w:t>Whether services are delivered by</w:t>
      </w:r>
      <w:r w:rsidRPr="002D3CD2">
        <w:rPr>
          <w:rFonts w:ascii="Times New Roman" w:hAnsi="Times New Roman" w:cs="Times New Roman"/>
          <w:sz w:val="24"/>
          <w:szCs w:val="24"/>
        </w:rPr>
        <w:t xml:space="preserve"> private practitioners or state-employed lawyers </w:t>
      </w:r>
      <w:r w:rsidR="000411F8" w:rsidRPr="002D3CD2">
        <w:rPr>
          <w:rFonts w:ascii="Times New Roman" w:hAnsi="Times New Roman" w:cs="Times New Roman"/>
          <w:sz w:val="24"/>
          <w:szCs w:val="24"/>
        </w:rPr>
        <w:t xml:space="preserve">may be affected by </w:t>
      </w:r>
      <w:r w:rsidRPr="002D3CD2">
        <w:rPr>
          <w:rFonts w:ascii="Times New Roman" w:hAnsi="Times New Roman" w:cs="Times New Roman"/>
          <w:sz w:val="24"/>
          <w:szCs w:val="24"/>
        </w:rPr>
        <w:t>not only the structure of the legal profession but also public confidence in lawyers and how high the threshold is for seeking legal advice from private firms</w:t>
      </w:r>
      <w:r w:rsidR="000411F8"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r w:rsidR="000411F8" w:rsidRPr="002D3CD2">
        <w:rPr>
          <w:rFonts w:ascii="Times New Roman" w:hAnsi="Times New Roman" w:cs="Times New Roman"/>
          <w:sz w:val="24"/>
          <w:szCs w:val="24"/>
        </w:rPr>
        <w:t xml:space="preserve">At a very basic level, </w:t>
      </w:r>
      <w:r w:rsidRPr="002D3CD2">
        <w:rPr>
          <w:rFonts w:ascii="Times New Roman" w:hAnsi="Times New Roman" w:cs="Times New Roman"/>
          <w:sz w:val="24"/>
          <w:szCs w:val="24"/>
        </w:rPr>
        <w:t xml:space="preserve">the details of the financial eligibility test </w:t>
      </w:r>
      <w:r w:rsidR="000411F8" w:rsidRPr="002D3CD2">
        <w:rPr>
          <w:rFonts w:ascii="Times New Roman" w:hAnsi="Times New Roman" w:cs="Times New Roman"/>
          <w:sz w:val="24"/>
          <w:szCs w:val="24"/>
        </w:rPr>
        <w:t>must</w:t>
      </w:r>
      <w:r w:rsidRPr="002D3CD2">
        <w:rPr>
          <w:rFonts w:ascii="Times New Roman" w:hAnsi="Times New Roman" w:cs="Times New Roman"/>
          <w:sz w:val="24"/>
          <w:szCs w:val="24"/>
        </w:rPr>
        <w:t xml:space="preserve"> harmonise with the social security system</w:t>
      </w:r>
      <w:r w:rsidR="000411F8" w:rsidRPr="002D3CD2">
        <w:rPr>
          <w:rFonts w:ascii="Times New Roman" w:hAnsi="Times New Roman" w:cs="Times New Roman"/>
          <w:sz w:val="24"/>
          <w:szCs w:val="24"/>
        </w:rPr>
        <w:t xml:space="preserve"> and the</w:t>
      </w:r>
      <w:r w:rsidRPr="002D3CD2">
        <w:rPr>
          <w:rFonts w:ascii="Times New Roman" w:hAnsi="Times New Roman" w:cs="Times New Roman"/>
          <w:sz w:val="24"/>
          <w:szCs w:val="24"/>
        </w:rPr>
        <w:t xml:space="preserve"> level of financial information available to government</w:t>
      </w:r>
      <w:r w:rsidR="000411F8" w:rsidRPr="002D3CD2">
        <w:rPr>
          <w:rFonts w:ascii="Times New Roman" w:hAnsi="Times New Roman" w:cs="Times New Roman"/>
          <w:sz w:val="24"/>
          <w:szCs w:val="24"/>
        </w:rPr>
        <w:t>; in some jurisdictions government departments routinely share financial information about citizens and thus verified financial information is already available to legal aid decision-makers without the need for the applicant to provide evidence</w:t>
      </w:r>
      <w:r w:rsidRPr="002D3CD2">
        <w:rPr>
          <w:rFonts w:ascii="Times New Roman" w:hAnsi="Times New Roman" w:cs="Times New Roman"/>
          <w:sz w:val="24"/>
          <w:szCs w:val="24"/>
        </w:rPr>
        <w:t xml:space="preserve">. </w:t>
      </w:r>
      <w:r w:rsidR="00BF6808" w:rsidRPr="002D3CD2">
        <w:rPr>
          <w:rFonts w:ascii="Times New Roman" w:hAnsi="Times New Roman" w:cs="Times New Roman"/>
          <w:sz w:val="24"/>
          <w:szCs w:val="24"/>
        </w:rPr>
        <w:t xml:space="preserve">Also at the </w:t>
      </w:r>
      <w:r w:rsidR="000411F8" w:rsidRPr="002D3CD2">
        <w:rPr>
          <w:rFonts w:ascii="Times New Roman" w:hAnsi="Times New Roman" w:cs="Times New Roman"/>
          <w:sz w:val="24"/>
          <w:szCs w:val="24"/>
        </w:rPr>
        <w:t>level</w:t>
      </w:r>
      <w:r w:rsidR="00BF6808" w:rsidRPr="002D3CD2">
        <w:rPr>
          <w:rFonts w:ascii="Times New Roman" w:hAnsi="Times New Roman" w:cs="Times New Roman"/>
          <w:sz w:val="24"/>
          <w:szCs w:val="24"/>
        </w:rPr>
        <w:t xml:space="preserve"> of detail</w:t>
      </w:r>
      <w:r w:rsidR="000411F8" w:rsidRPr="002D3CD2">
        <w:rPr>
          <w:rFonts w:ascii="Times New Roman" w:hAnsi="Times New Roman" w:cs="Times New Roman"/>
          <w:sz w:val="24"/>
          <w:szCs w:val="24"/>
        </w:rPr>
        <w:t xml:space="preserve">, </w:t>
      </w:r>
      <w:r w:rsidR="001607BA" w:rsidRPr="002D3CD2">
        <w:rPr>
          <w:rFonts w:ascii="Times New Roman" w:hAnsi="Times New Roman" w:cs="Times New Roman"/>
          <w:sz w:val="24"/>
          <w:szCs w:val="24"/>
        </w:rPr>
        <w:t>some systems limit the scope of civil legal aid by providing that representation before a particular court or tribunal is included or excluded.</w:t>
      </w:r>
      <w:r w:rsidR="001C2A69">
        <w:rPr>
          <w:rFonts w:ascii="Times New Roman" w:hAnsi="Times New Roman" w:cs="Times New Roman"/>
          <w:sz w:val="24"/>
          <w:szCs w:val="24"/>
        </w:rPr>
        <w:t xml:space="preserve"> </w:t>
      </w:r>
      <w:r w:rsidR="001607BA" w:rsidRPr="002D3CD2">
        <w:rPr>
          <w:rFonts w:ascii="Times New Roman" w:hAnsi="Times New Roman" w:cs="Times New Roman"/>
          <w:sz w:val="24"/>
          <w:szCs w:val="24"/>
        </w:rPr>
        <w:t xml:space="preserve">This will only be </w:t>
      </w:r>
      <w:r w:rsidR="000411F8" w:rsidRPr="002D3CD2">
        <w:rPr>
          <w:rFonts w:ascii="Times New Roman" w:hAnsi="Times New Roman" w:cs="Times New Roman"/>
          <w:sz w:val="24"/>
          <w:szCs w:val="24"/>
        </w:rPr>
        <w:t xml:space="preserve">appropriate where </w:t>
      </w:r>
      <w:r w:rsidRPr="002D3CD2">
        <w:rPr>
          <w:rFonts w:ascii="Times New Roman" w:hAnsi="Times New Roman" w:cs="Times New Roman"/>
          <w:sz w:val="24"/>
          <w:szCs w:val="24"/>
        </w:rPr>
        <w:t xml:space="preserve">the structure of the justice system </w:t>
      </w:r>
      <w:r w:rsidR="000411F8" w:rsidRPr="002D3CD2">
        <w:rPr>
          <w:rFonts w:ascii="Times New Roman" w:hAnsi="Times New Roman" w:cs="Times New Roman"/>
          <w:sz w:val="24"/>
          <w:szCs w:val="24"/>
        </w:rPr>
        <w:t xml:space="preserve">is such that a group of cases which are intended to fall </w:t>
      </w:r>
      <w:r w:rsidR="006A570E" w:rsidRPr="002D3CD2">
        <w:rPr>
          <w:rFonts w:ascii="Times New Roman" w:hAnsi="Times New Roman" w:cs="Times New Roman"/>
          <w:sz w:val="24"/>
          <w:szCs w:val="24"/>
        </w:rPr>
        <w:t xml:space="preserve">inside or </w:t>
      </w:r>
      <w:r w:rsidR="000411F8" w:rsidRPr="002D3CD2">
        <w:rPr>
          <w:rFonts w:ascii="Times New Roman" w:hAnsi="Times New Roman" w:cs="Times New Roman"/>
          <w:sz w:val="24"/>
          <w:szCs w:val="24"/>
        </w:rPr>
        <w:t>outside legal aid are dealt with in a particular, separate venue.</w:t>
      </w:r>
      <w:r w:rsidR="00596161" w:rsidRPr="002D3CD2">
        <w:rPr>
          <w:rFonts w:ascii="Times New Roman" w:hAnsi="Times New Roman" w:cs="Times New Roman"/>
          <w:sz w:val="24"/>
          <w:szCs w:val="24"/>
        </w:rPr>
        <w:t xml:space="preserve"> </w:t>
      </w:r>
    </w:p>
    <w:p w:rsidR="00B53840" w:rsidRPr="002D3CD2" w:rsidRDefault="00B53840"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Coherent </w:t>
      </w:r>
    </w:p>
    <w:p w:rsidR="00390CCE" w:rsidRPr="002D3CD2" w:rsidRDefault="00EA04D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elements of a legal aid scheme may appear discrete, and thus alterable as </w:t>
      </w:r>
      <w:r w:rsidR="006D19A2" w:rsidRPr="002D3CD2">
        <w:rPr>
          <w:rFonts w:ascii="Times New Roman" w:hAnsi="Times New Roman" w:cs="Times New Roman"/>
          <w:sz w:val="24"/>
          <w:szCs w:val="24"/>
        </w:rPr>
        <w:t>expedient</w:t>
      </w:r>
      <w:r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However, a closer examination reveals links between </w:t>
      </w:r>
      <w:r w:rsidR="00390CCE" w:rsidRPr="002D3CD2">
        <w:rPr>
          <w:rFonts w:ascii="Times New Roman" w:hAnsi="Times New Roman" w:cs="Times New Roman"/>
          <w:sz w:val="24"/>
          <w:szCs w:val="24"/>
        </w:rPr>
        <w:t>various aspects</w:t>
      </w:r>
      <w:r w:rsidR="006D19A2" w:rsidRPr="002D3CD2">
        <w:rPr>
          <w:rFonts w:ascii="Times New Roman" w:hAnsi="Times New Roman" w:cs="Times New Roman"/>
          <w:sz w:val="24"/>
          <w:szCs w:val="24"/>
        </w:rPr>
        <w:t>, raising the possibility of incoherency if the system is not sufficiently coordinated</w:t>
      </w:r>
      <w:r w:rsidR="00390CCE" w:rsidRPr="002D3CD2">
        <w:rPr>
          <w:rFonts w:ascii="Times New Roman" w:hAnsi="Times New Roman" w:cs="Times New Roman"/>
          <w:sz w:val="24"/>
          <w:szCs w:val="24"/>
        </w:rPr>
        <w:t xml:space="preserve">. In particular, coherency problems can arise between different levels of the organisation of legal aid, as government statements of principle do not always correlate to legal aid policy, which in turn is not always borne out </w:t>
      </w:r>
      <w:r w:rsidR="00390CCE" w:rsidRPr="002D3CD2">
        <w:rPr>
          <w:rFonts w:ascii="Times New Roman" w:hAnsi="Times New Roman" w:cs="Times New Roman"/>
          <w:sz w:val="24"/>
          <w:szCs w:val="24"/>
        </w:rPr>
        <w:lastRenderedPageBreak/>
        <w:t>by the actual organisation of legal aid delivery.</w:t>
      </w:r>
      <w:r w:rsidR="00596161" w:rsidRPr="002D3CD2">
        <w:rPr>
          <w:rFonts w:ascii="Times New Roman" w:hAnsi="Times New Roman" w:cs="Times New Roman"/>
          <w:sz w:val="24"/>
          <w:szCs w:val="24"/>
        </w:rPr>
        <w:t xml:space="preserve"> </w:t>
      </w:r>
      <w:r w:rsidR="00390CCE" w:rsidRPr="002D3CD2">
        <w:rPr>
          <w:rFonts w:ascii="Times New Roman" w:hAnsi="Times New Roman" w:cs="Times New Roman"/>
          <w:sz w:val="24"/>
          <w:szCs w:val="24"/>
        </w:rPr>
        <w:t>Incoherency, it is submitted, is a failing which should be avoided if a legal aid scheme is to be judged successful.</w:t>
      </w:r>
    </w:p>
    <w:p w:rsidR="004142FB" w:rsidRPr="002D3CD2" w:rsidRDefault="00390CCE"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Some </w:t>
      </w:r>
      <w:r w:rsidR="006D19A2" w:rsidRPr="002D3CD2">
        <w:rPr>
          <w:rFonts w:ascii="Times New Roman" w:hAnsi="Times New Roman" w:cs="Times New Roman"/>
          <w:sz w:val="24"/>
          <w:szCs w:val="24"/>
        </w:rPr>
        <w:t xml:space="preserve">significant </w:t>
      </w:r>
      <w:r w:rsidRPr="002D3CD2">
        <w:rPr>
          <w:rFonts w:ascii="Times New Roman" w:hAnsi="Times New Roman" w:cs="Times New Roman"/>
          <w:sz w:val="24"/>
          <w:szCs w:val="24"/>
        </w:rPr>
        <w:t xml:space="preserve">examples of connections </w:t>
      </w:r>
      <w:r w:rsidR="006D19A2" w:rsidRPr="002D3CD2">
        <w:rPr>
          <w:rFonts w:ascii="Times New Roman" w:hAnsi="Times New Roman" w:cs="Times New Roman"/>
          <w:sz w:val="24"/>
          <w:szCs w:val="24"/>
        </w:rPr>
        <w:t>can be seen in the relationship between declarations of principle and the specific</w:t>
      </w:r>
      <w:r w:rsidRPr="002D3CD2">
        <w:rPr>
          <w:rFonts w:ascii="Times New Roman" w:hAnsi="Times New Roman" w:cs="Times New Roman"/>
          <w:sz w:val="24"/>
          <w:szCs w:val="24"/>
        </w:rPr>
        <w:t xml:space="preserve"> polic</w:t>
      </w:r>
      <w:r w:rsidR="006D19A2" w:rsidRPr="002D3CD2">
        <w:rPr>
          <w:rFonts w:ascii="Times New Roman" w:hAnsi="Times New Roman" w:cs="Times New Roman"/>
          <w:sz w:val="24"/>
          <w:szCs w:val="24"/>
        </w:rPr>
        <w:t>ies which are set for the governance of legal aid.</w:t>
      </w:r>
      <w:r w:rsidR="00596161" w:rsidRPr="002D3CD2">
        <w:rPr>
          <w:rFonts w:ascii="Times New Roman" w:hAnsi="Times New Roman" w:cs="Times New Roman"/>
          <w:sz w:val="24"/>
          <w:szCs w:val="24"/>
        </w:rPr>
        <w:t xml:space="preserve"> </w:t>
      </w:r>
      <w:r w:rsidR="004142FB" w:rsidRPr="002D3CD2">
        <w:rPr>
          <w:rFonts w:ascii="Times New Roman" w:hAnsi="Times New Roman" w:cs="Times New Roman"/>
          <w:sz w:val="24"/>
          <w:szCs w:val="24"/>
        </w:rPr>
        <w:t>The guiding principles of legal aid are not uniform.</w:t>
      </w:r>
      <w:r w:rsidR="00596161" w:rsidRPr="002D3CD2">
        <w:rPr>
          <w:rFonts w:ascii="Times New Roman" w:hAnsi="Times New Roman" w:cs="Times New Roman"/>
          <w:sz w:val="24"/>
          <w:szCs w:val="24"/>
        </w:rPr>
        <w:t xml:space="preserve"> </w:t>
      </w:r>
      <w:r w:rsidR="004142FB" w:rsidRPr="002D3CD2">
        <w:rPr>
          <w:rFonts w:ascii="Times New Roman" w:hAnsi="Times New Roman" w:cs="Times New Roman"/>
          <w:sz w:val="24"/>
          <w:szCs w:val="24"/>
        </w:rPr>
        <w:t xml:space="preserve">Governments may focus on access to </w:t>
      </w:r>
      <w:r w:rsidR="00D770B2" w:rsidRPr="002D3CD2">
        <w:rPr>
          <w:rFonts w:ascii="Times New Roman" w:hAnsi="Times New Roman" w:cs="Times New Roman"/>
          <w:sz w:val="24"/>
          <w:szCs w:val="24"/>
        </w:rPr>
        <w:t>justice</w:t>
      </w:r>
      <w:r w:rsidR="004142FB" w:rsidRPr="002D3CD2">
        <w:rPr>
          <w:rFonts w:ascii="Times New Roman" w:hAnsi="Times New Roman" w:cs="Times New Roman"/>
          <w:sz w:val="24"/>
          <w:szCs w:val="24"/>
        </w:rPr>
        <w:t xml:space="preserve"> </w:t>
      </w:r>
      <w:r w:rsidR="00D770B2" w:rsidRPr="002D3CD2">
        <w:rPr>
          <w:rFonts w:ascii="Times New Roman" w:hAnsi="Times New Roman" w:cs="Times New Roman"/>
          <w:sz w:val="24"/>
          <w:szCs w:val="24"/>
        </w:rPr>
        <w:t>or may consider legal aid primarily to be a social benefit or a mechanism for reducing poverty and inequality.</w:t>
      </w:r>
      <w:r w:rsidR="00596161" w:rsidRPr="002D3CD2">
        <w:rPr>
          <w:rFonts w:ascii="Times New Roman" w:hAnsi="Times New Roman" w:cs="Times New Roman"/>
          <w:sz w:val="24"/>
          <w:szCs w:val="24"/>
        </w:rPr>
        <w:t xml:space="preserve"> </w:t>
      </w:r>
      <w:r w:rsidR="00D770B2" w:rsidRPr="002D3CD2">
        <w:rPr>
          <w:rFonts w:ascii="Times New Roman" w:hAnsi="Times New Roman" w:cs="Times New Roman"/>
          <w:sz w:val="24"/>
          <w:szCs w:val="24"/>
        </w:rPr>
        <w:t>Even within the access to justice aim, there is an important difference of principle depending on whether the focus is on access to court or fair trial.</w:t>
      </w:r>
    </w:p>
    <w:p w:rsidR="00A75C54" w:rsidRPr="002D3CD2" w:rsidRDefault="00D770B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 declarations of principle should have consequences on legal aid policy </w:t>
      </w:r>
      <w:r w:rsidR="003D4E92" w:rsidRPr="002D3CD2">
        <w:rPr>
          <w:rFonts w:ascii="Times New Roman" w:hAnsi="Times New Roman" w:cs="Times New Roman"/>
          <w:sz w:val="24"/>
          <w:szCs w:val="24"/>
        </w:rPr>
        <w:t>choices if</w:t>
      </w:r>
      <w:r w:rsidRPr="002D3CD2">
        <w:rPr>
          <w:rFonts w:ascii="Times New Roman" w:hAnsi="Times New Roman" w:cs="Times New Roman"/>
          <w:sz w:val="24"/>
          <w:szCs w:val="24"/>
        </w:rPr>
        <w:t xml:space="preserve"> the legal aid system is to be coherent.</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Thus</w:t>
      </w:r>
      <w:r w:rsidR="00CC70E1" w:rsidRPr="002D3CD2">
        <w:rPr>
          <w:rFonts w:ascii="Times New Roman" w:hAnsi="Times New Roman" w:cs="Times New Roman"/>
          <w:sz w:val="24"/>
          <w:szCs w:val="24"/>
        </w:rPr>
        <w:t xml:space="preserve">, if a government sets the purpose of legal aid as being a social benefit, their stance is in keeping with financial eligibility criteria </w:t>
      </w:r>
      <w:r w:rsidR="00390CCE" w:rsidRPr="002D3CD2">
        <w:rPr>
          <w:rFonts w:ascii="Times New Roman" w:hAnsi="Times New Roman" w:cs="Times New Roman"/>
          <w:sz w:val="24"/>
          <w:szCs w:val="24"/>
        </w:rPr>
        <w:t xml:space="preserve">which </w:t>
      </w:r>
      <w:r w:rsidR="00CC70E1" w:rsidRPr="002D3CD2">
        <w:rPr>
          <w:rFonts w:ascii="Times New Roman" w:hAnsi="Times New Roman" w:cs="Times New Roman"/>
          <w:sz w:val="24"/>
          <w:szCs w:val="24"/>
        </w:rPr>
        <w:t>lead to only the poorest members of society being eligible.</w:t>
      </w:r>
      <w:r w:rsidR="00596161" w:rsidRPr="002D3CD2">
        <w:rPr>
          <w:rFonts w:ascii="Times New Roman" w:hAnsi="Times New Roman" w:cs="Times New Roman"/>
          <w:sz w:val="24"/>
          <w:szCs w:val="24"/>
        </w:rPr>
        <w:t xml:space="preserve"> </w:t>
      </w:r>
      <w:r w:rsidR="00CC70E1" w:rsidRPr="002D3CD2">
        <w:rPr>
          <w:rFonts w:ascii="Times New Roman" w:hAnsi="Times New Roman" w:cs="Times New Roman"/>
          <w:sz w:val="24"/>
          <w:szCs w:val="24"/>
        </w:rPr>
        <w:t>Conversely, if the primary aim is to ensure access to justice, it may be that high private lawyer fees mean that a large percentage of the population must be financially eligible for access to be guaranteed. Financial eligibility is also relevant to the principles demonstrated in publicly funded criminal defence work; a non-means tested system is more in keeping with the concept that suspects are innocent until proven guilty</w:t>
      </w:r>
      <w:r w:rsidR="00A75C54" w:rsidRPr="002D3CD2">
        <w:rPr>
          <w:rFonts w:ascii="Times New Roman" w:hAnsi="Times New Roman" w:cs="Times New Roman"/>
          <w:sz w:val="24"/>
          <w:szCs w:val="24"/>
        </w:rPr>
        <w:t xml:space="preserve"> than a means-tested system where some presumed innocent individuals must pay for legal assistance during a prosecution.</w:t>
      </w:r>
      <w:r w:rsidR="00CC70E1" w:rsidRPr="002D3CD2">
        <w:rPr>
          <w:rFonts w:ascii="Times New Roman" w:hAnsi="Times New Roman" w:cs="Times New Roman"/>
          <w:sz w:val="24"/>
          <w:szCs w:val="24"/>
        </w:rPr>
        <w:t xml:space="preserve"> </w:t>
      </w:r>
    </w:p>
    <w:p w:rsidR="00390CCE" w:rsidRPr="002D3CD2" w:rsidRDefault="00A75C5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choice of merits criteria for civil legal aid can also conflict with commonly declared guiding principles.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In particular, as argued by this author previously,</w:t>
      </w:r>
      <w:r w:rsidRPr="002D3CD2">
        <w:rPr>
          <w:rStyle w:val="FootnoteReference"/>
          <w:rFonts w:ascii="Times New Roman" w:hAnsi="Times New Roman" w:cs="Times New Roman"/>
          <w:sz w:val="24"/>
          <w:szCs w:val="24"/>
        </w:rPr>
        <w:footnoteReference w:id="91"/>
      </w:r>
      <w:r w:rsidRPr="002D3CD2">
        <w:rPr>
          <w:rFonts w:ascii="Times New Roman" w:hAnsi="Times New Roman" w:cs="Times New Roman"/>
          <w:sz w:val="24"/>
          <w:szCs w:val="24"/>
        </w:rPr>
        <w:t xml:space="preserve"> prospects of success tests are inconsistent with a commitment to ensuring fair trial.</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Providing assistance only to those who are likely to win their case denies fair trial to those who are not </w:t>
      </w:r>
      <w:r w:rsidR="004142FB" w:rsidRPr="002D3CD2">
        <w:rPr>
          <w:rFonts w:ascii="Times New Roman" w:hAnsi="Times New Roman" w:cs="Times New Roman"/>
          <w:sz w:val="24"/>
          <w:szCs w:val="24"/>
        </w:rPr>
        <w:t xml:space="preserve">predicted to be successful; this </w:t>
      </w:r>
      <w:r w:rsidR="00103D88" w:rsidRPr="002D3CD2">
        <w:rPr>
          <w:rFonts w:ascii="Times New Roman" w:hAnsi="Times New Roman" w:cs="Times New Roman"/>
          <w:sz w:val="24"/>
          <w:szCs w:val="24"/>
        </w:rPr>
        <w:t xml:space="preserve">is a </w:t>
      </w:r>
      <w:r w:rsidR="004142FB" w:rsidRPr="002D3CD2">
        <w:rPr>
          <w:rFonts w:ascii="Times New Roman" w:hAnsi="Times New Roman" w:cs="Times New Roman"/>
          <w:sz w:val="24"/>
          <w:szCs w:val="24"/>
        </w:rPr>
        <w:t xml:space="preserve">restriction </w:t>
      </w:r>
      <w:r w:rsidR="00103D88" w:rsidRPr="002D3CD2">
        <w:rPr>
          <w:rFonts w:ascii="Times New Roman" w:hAnsi="Times New Roman" w:cs="Times New Roman"/>
          <w:sz w:val="24"/>
          <w:szCs w:val="24"/>
        </w:rPr>
        <w:t>of the general</w:t>
      </w:r>
      <w:r w:rsidR="004142FB" w:rsidRPr="002D3CD2">
        <w:rPr>
          <w:rFonts w:ascii="Times New Roman" w:hAnsi="Times New Roman" w:cs="Times New Roman"/>
          <w:sz w:val="24"/>
          <w:szCs w:val="24"/>
        </w:rPr>
        <w:t xml:space="preserve"> principle.</w:t>
      </w:r>
      <w:r w:rsidR="00596161" w:rsidRPr="002D3CD2">
        <w:rPr>
          <w:rFonts w:ascii="Times New Roman" w:hAnsi="Times New Roman" w:cs="Times New Roman"/>
          <w:sz w:val="24"/>
          <w:szCs w:val="24"/>
        </w:rPr>
        <w:t xml:space="preserve"> </w:t>
      </w:r>
      <w:r w:rsidR="004142FB" w:rsidRPr="002D3CD2">
        <w:rPr>
          <w:rFonts w:ascii="Times New Roman" w:hAnsi="Times New Roman" w:cs="Times New Roman"/>
          <w:sz w:val="24"/>
          <w:szCs w:val="24"/>
        </w:rPr>
        <w:t xml:space="preserve">A legal aid scheme </w:t>
      </w:r>
      <w:proofErr w:type="gramStart"/>
      <w:r w:rsidR="004142FB" w:rsidRPr="002D3CD2">
        <w:rPr>
          <w:rFonts w:ascii="Times New Roman" w:hAnsi="Times New Roman" w:cs="Times New Roman"/>
          <w:sz w:val="24"/>
          <w:szCs w:val="24"/>
        </w:rPr>
        <w:t>with a decisive prospects</w:t>
      </w:r>
      <w:proofErr w:type="gramEnd"/>
      <w:r w:rsidR="004142FB" w:rsidRPr="002D3CD2">
        <w:rPr>
          <w:rFonts w:ascii="Times New Roman" w:hAnsi="Times New Roman" w:cs="Times New Roman"/>
          <w:sz w:val="24"/>
          <w:szCs w:val="24"/>
        </w:rPr>
        <w:t xml:space="preserve"> of success test, but where there is a commitment to fair trial, will be </w:t>
      </w:r>
      <w:r w:rsidR="00AB7CEC" w:rsidRPr="002D3CD2">
        <w:rPr>
          <w:rFonts w:ascii="Times New Roman" w:hAnsi="Times New Roman" w:cs="Times New Roman"/>
          <w:sz w:val="24"/>
          <w:szCs w:val="24"/>
        </w:rPr>
        <w:t xml:space="preserve">internally </w:t>
      </w:r>
      <w:r w:rsidR="004142FB" w:rsidRPr="002D3CD2">
        <w:rPr>
          <w:rFonts w:ascii="Times New Roman" w:hAnsi="Times New Roman" w:cs="Times New Roman"/>
          <w:sz w:val="24"/>
          <w:szCs w:val="24"/>
        </w:rPr>
        <w:t>incoherent.</w:t>
      </w:r>
      <w:r w:rsidR="00596161" w:rsidRPr="002D3CD2">
        <w:rPr>
          <w:rFonts w:ascii="Times New Roman" w:hAnsi="Times New Roman" w:cs="Times New Roman"/>
          <w:sz w:val="24"/>
          <w:szCs w:val="24"/>
        </w:rPr>
        <w:t xml:space="preserve"> </w:t>
      </w:r>
      <w:r w:rsidR="004142FB" w:rsidRPr="002D3CD2">
        <w:rPr>
          <w:rFonts w:ascii="Times New Roman" w:hAnsi="Times New Roman" w:cs="Times New Roman"/>
          <w:sz w:val="24"/>
          <w:szCs w:val="24"/>
        </w:rPr>
        <w:t xml:space="preserve">Similarly, a strict test of proportionality between cost and benefit </w:t>
      </w:r>
      <w:r w:rsidR="00D770B2" w:rsidRPr="002D3CD2">
        <w:rPr>
          <w:rFonts w:ascii="Times New Roman" w:hAnsi="Times New Roman" w:cs="Times New Roman"/>
          <w:sz w:val="24"/>
          <w:szCs w:val="24"/>
        </w:rPr>
        <w:t xml:space="preserve">may be </w:t>
      </w:r>
      <w:r w:rsidR="004142FB" w:rsidRPr="002D3CD2">
        <w:rPr>
          <w:rFonts w:ascii="Times New Roman" w:hAnsi="Times New Roman" w:cs="Times New Roman"/>
          <w:sz w:val="24"/>
          <w:szCs w:val="24"/>
        </w:rPr>
        <w:t>justifiable within the right of access to court,</w:t>
      </w:r>
      <w:r w:rsidR="00D770B2" w:rsidRPr="002D3CD2">
        <w:rPr>
          <w:rFonts w:ascii="Times New Roman" w:hAnsi="Times New Roman" w:cs="Times New Roman"/>
          <w:sz w:val="24"/>
          <w:szCs w:val="24"/>
        </w:rPr>
        <w:t xml:space="preserve"> which is capable of limitation according to the European Court of Human Rights</w:t>
      </w:r>
      <w:r w:rsidR="00DD01F6" w:rsidRPr="002D3CD2">
        <w:rPr>
          <w:rFonts w:ascii="Times New Roman" w:hAnsi="Times New Roman" w:cs="Times New Roman"/>
          <w:sz w:val="24"/>
          <w:szCs w:val="24"/>
        </w:rPr>
        <w:t>;</w:t>
      </w:r>
      <w:r w:rsidR="00D770B2" w:rsidRPr="002D3CD2">
        <w:rPr>
          <w:rStyle w:val="FootnoteReference"/>
          <w:rFonts w:ascii="Times New Roman" w:hAnsi="Times New Roman" w:cs="Times New Roman"/>
          <w:sz w:val="24"/>
          <w:szCs w:val="24"/>
        </w:rPr>
        <w:footnoteReference w:id="92"/>
      </w:r>
      <w:r w:rsidR="004142FB" w:rsidRPr="002D3CD2">
        <w:rPr>
          <w:rFonts w:ascii="Times New Roman" w:hAnsi="Times New Roman" w:cs="Times New Roman"/>
          <w:sz w:val="24"/>
          <w:szCs w:val="24"/>
        </w:rPr>
        <w:t xml:space="preserve"> </w:t>
      </w:r>
      <w:r w:rsidR="00DD01F6" w:rsidRPr="002D3CD2">
        <w:rPr>
          <w:rFonts w:ascii="Times New Roman" w:hAnsi="Times New Roman" w:cs="Times New Roman"/>
          <w:sz w:val="24"/>
          <w:szCs w:val="24"/>
        </w:rPr>
        <w:t>however it is</w:t>
      </w:r>
      <w:r w:rsidR="004142FB" w:rsidRPr="002D3CD2">
        <w:rPr>
          <w:rFonts w:ascii="Times New Roman" w:hAnsi="Times New Roman" w:cs="Times New Roman"/>
          <w:sz w:val="24"/>
          <w:szCs w:val="24"/>
        </w:rPr>
        <w:t xml:space="preserve"> not </w:t>
      </w:r>
      <w:r w:rsidR="00DD01F6" w:rsidRPr="002D3CD2">
        <w:rPr>
          <w:rFonts w:ascii="Times New Roman" w:hAnsi="Times New Roman" w:cs="Times New Roman"/>
          <w:sz w:val="24"/>
          <w:szCs w:val="24"/>
        </w:rPr>
        <w:t xml:space="preserve">consistent </w:t>
      </w:r>
      <w:r w:rsidR="00AB7CEC" w:rsidRPr="002D3CD2">
        <w:rPr>
          <w:rFonts w:ascii="Times New Roman" w:hAnsi="Times New Roman" w:cs="Times New Roman"/>
          <w:sz w:val="24"/>
          <w:szCs w:val="24"/>
        </w:rPr>
        <w:t>with</w:t>
      </w:r>
      <w:r w:rsidR="00DD01F6" w:rsidRPr="002D3CD2">
        <w:rPr>
          <w:rFonts w:ascii="Times New Roman" w:hAnsi="Times New Roman" w:cs="Times New Roman"/>
          <w:sz w:val="24"/>
          <w:szCs w:val="24"/>
        </w:rPr>
        <w:t xml:space="preserve"> </w:t>
      </w:r>
      <w:r w:rsidR="004142FB" w:rsidRPr="002D3CD2">
        <w:rPr>
          <w:rFonts w:ascii="Times New Roman" w:hAnsi="Times New Roman" w:cs="Times New Roman"/>
          <w:sz w:val="24"/>
          <w:szCs w:val="24"/>
        </w:rPr>
        <w:t>the right to fair trial</w:t>
      </w:r>
      <w:r w:rsidR="00DD01F6" w:rsidRPr="002D3CD2">
        <w:rPr>
          <w:rFonts w:ascii="Times New Roman" w:hAnsi="Times New Roman" w:cs="Times New Roman"/>
          <w:sz w:val="24"/>
          <w:szCs w:val="24"/>
        </w:rPr>
        <w:t>, which in theory guarantees that all trials should be fair, not just those where the value of the claim is sufficiently high</w:t>
      </w:r>
      <w:r w:rsidR="004142FB" w:rsidRPr="002D3CD2">
        <w:rPr>
          <w:rFonts w:ascii="Times New Roman" w:hAnsi="Times New Roman" w:cs="Times New Roman"/>
          <w:sz w:val="24"/>
          <w:szCs w:val="24"/>
        </w:rPr>
        <w:t xml:space="preserve">. </w:t>
      </w:r>
    </w:p>
    <w:p w:rsidR="00AB7CEC" w:rsidRPr="002D3CD2" w:rsidRDefault="00AB7CE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Significant scope restrictions for civil legal aid are mo</w:t>
      </w:r>
      <w:r w:rsidR="003D4E92" w:rsidRPr="002D3CD2">
        <w:rPr>
          <w:rFonts w:ascii="Times New Roman" w:hAnsi="Times New Roman" w:cs="Times New Roman"/>
          <w:sz w:val="24"/>
          <w:szCs w:val="24"/>
        </w:rPr>
        <w:t>st</w:t>
      </w:r>
      <w:r w:rsidRPr="002D3CD2">
        <w:rPr>
          <w:rFonts w:ascii="Times New Roman" w:hAnsi="Times New Roman" w:cs="Times New Roman"/>
          <w:sz w:val="24"/>
          <w:szCs w:val="24"/>
        </w:rPr>
        <w:t xml:space="preserve"> cogently </w:t>
      </w:r>
      <w:r w:rsidR="003D4E92" w:rsidRPr="002D3CD2">
        <w:rPr>
          <w:rFonts w:ascii="Times New Roman" w:hAnsi="Times New Roman" w:cs="Times New Roman"/>
          <w:sz w:val="24"/>
          <w:szCs w:val="24"/>
        </w:rPr>
        <w:t>justified</w:t>
      </w:r>
      <w:r w:rsidRPr="002D3CD2">
        <w:rPr>
          <w:rFonts w:ascii="Times New Roman" w:hAnsi="Times New Roman" w:cs="Times New Roman"/>
          <w:sz w:val="24"/>
          <w:szCs w:val="24"/>
        </w:rPr>
        <w:t xml:space="preserve"> by a social welfare purpose of legal aid such as that in Norway, where legal aid is ‘a social benefit’ intended ‘to guarantee necessary legal assistance for persons who do not have the financial means themselves to enable them to meet a need for legal aid that is of great importance to their persons and their welfare’.</w:t>
      </w:r>
      <w:r w:rsidRPr="002D3CD2">
        <w:rPr>
          <w:rFonts w:ascii="Times New Roman" w:hAnsi="Times New Roman" w:cs="Times New Roman"/>
          <w:sz w:val="24"/>
          <w:szCs w:val="24"/>
          <w:vertAlign w:val="superscript"/>
        </w:rPr>
        <w:footnoteReference w:id="93"/>
      </w:r>
      <w:r w:rsidR="00596161" w:rsidRPr="002D3CD2">
        <w:rPr>
          <w:rFonts w:ascii="Times New Roman" w:hAnsi="Times New Roman" w:cs="Times New Roman"/>
          <w:sz w:val="24"/>
          <w:szCs w:val="24"/>
        </w:rPr>
        <w:t xml:space="preserve"> </w:t>
      </w:r>
      <w:r w:rsidR="00515FB0" w:rsidRPr="002D3CD2">
        <w:rPr>
          <w:rFonts w:ascii="Times New Roman" w:hAnsi="Times New Roman" w:cs="Times New Roman"/>
          <w:sz w:val="24"/>
          <w:szCs w:val="24"/>
        </w:rPr>
        <w:t xml:space="preserve">This provides a coherent explanation for the </w:t>
      </w:r>
      <w:r w:rsidRPr="002D3CD2">
        <w:rPr>
          <w:rFonts w:ascii="Times New Roman" w:hAnsi="Times New Roman" w:cs="Times New Roman"/>
          <w:sz w:val="24"/>
          <w:szCs w:val="24"/>
        </w:rPr>
        <w:t xml:space="preserve">very restrictive approach to scope, </w:t>
      </w:r>
      <w:r w:rsidR="00515FB0" w:rsidRPr="002D3CD2">
        <w:rPr>
          <w:rFonts w:ascii="Times New Roman" w:hAnsi="Times New Roman" w:cs="Times New Roman"/>
          <w:sz w:val="24"/>
          <w:szCs w:val="24"/>
        </w:rPr>
        <w:t>as assistance is provided in those cases (and only those cases) where the individual’s welfare is deemed to be threatened.</w:t>
      </w:r>
      <w:r w:rsidRPr="002D3CD2">
        <w:rPr>
          <w:rFonts w:ascii="Times New Roman" w:hAnsi="Times New Roman" w:cs="Times New Roman"/>
          <w:sz w:val="24"/>
          <w:szCs w:val="24"/>
        </w:rPr>
        <w:t xml:space="preserve"> </w:t>
      </w:r>
    </w:p>
    <w:p w:rsidR="006D19A2" w:rsidRPr="002D3CD2" w:rsidRDefault="00C261F7"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Coherency should also be ensured between</w:t>
      </w:r>
      <w:r w:rsidR="006D19A2"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policy and the </w:t>
      </w:r>
      <w:r w:rsidR="006D19A2" w:rsidRPr="002D3CD2">
        <w:rPr>
          <w:rFonts w:ascii="Times New Roman" w:hAnsi="Times New Roman" w:cs="Times New Roman"/>
          <w:sz w:val="24"/>
          <w:szCs w:val="24"/>
        </w:rPr>
        <w:t xml:space="preserve">organisational details </w:t>
      </w:r>
      <w:r w:rsidRPr="002D3CD2">
        <w:rPr>
          <w:rFonts w:ascii="Times New Roman" w:hAnsi="Times New Roman" w:cs="Times New Roman"/>
          <w:sz w:val="24"/>
          <w:szCs w:val="24"/>
        </w:rPr>
        <w:t>of the scheme.</w:t>
      </w:r>
      <w:r w:rsidR="00596161" w:rsidRPr="002D3CD2">
        <w:rPr>
          <w:rFonts w:ascii="Times New Roman" w:hAnsi="Times New Roman" w:cs="Times New Roman"/>
          <w:sz w:val="24"/>
          <w:szCs w:val="24"/>
        </w:rPr>
        <w:t xml:space="preserve"> </w:t>
      </w:r>
      <w:r w:rsidR="0085687B" w:rsidRPr="002D3CD2">
        <w:rPr>
          <w:rFonts w:ascii="Times New Roman" w:hAnsi="Times New Roman" w:cs="Times New Roman"/>
          <w:sz w:val="24"/>
          <w:szCs w:val="24"/>
        </w:rPr>
        <w:t xml:space="preserve">Thus, a policy focus on early advice should be reflected in organisational structures which provide easy access for clients </w:t>
      </w:r>
      <w:r w:rsidR="006D19A2" w:rsidRPr="002D3CD2">
        <w:rPr>
          <w:rFonts w:ascii="Times New Roman" w:hAnsi="Times New Roman" w:cs="Times New Roman"/>
          <w:sz w:val="24"/>
          <w:szCs w:val="24"/>
        </w:rPr>
        <w:t xml:space="preserve">and financial eligibility tests </w:t>
      </w:r>
      <w:r w:rsidR="00351A6C" w:rsidRPr="002D3CD2">
        <w:rPr>
          <w:rFonts w:ascii="Times New Roman" w:hAnsi="Times New Roman" w:cs="Times New Roman"/>
          <w:sz w:val="24"/>
          <w:szCs w:val="24"/>
        </w:rPr>
        <w:t>should be set such that the results correspond to the proportion of the population which policy intends to be covered.</w:t>
      </w:r>
      <w:r w:rsidR="00596161" w:rsidRPr="002D3CD2">
        <w:rPr>
          <w:rFonts w:ascii="Times New Roman" w:hAnsi="Times New Roman" w:cs="Times New Roman"/>
          <w:sz w:val="24"/>
          <w:szCs w:val="24"/>
        </w:rPr>
        <w:t xml:space="preserve"> </w:t>
      </w:r>
      <w:r w:rsidR="00351A6C" w:rsidRPr="002D3CD2">
        <w:rPr>
          <w:rFonts w:ascii="Times New Roman" w:hAnsi="Times New Roman" w:cs="Times New Roman"/>
          <w:sz w:val="24"/>
          <w:szCs w:val="24"/>
        </w:rPr>
        <w:t xml:space="preserve">If scope is very restricted, the regulations </w:t>
      </w:r>
      <w:r w:rsidR="006D19A2" w:rsidRPr="002D3CD2">
        <w:rPr>
          <w:rFonts w:ascii="Times New Roman" w:hAnsi="Times New Roman" w:cs="Times New Roman"/>
          <w:sz w:val="24"/>
          <w:szCs w:val="24"/>
        </w:rPr>
        <w:t xml:space="preserve">defining </w:t>
      </w:r>
      <w:r w:rsidR="001C2A69">
        <w:rPr>
          <w:rFonts w:ascii="Times New Roman" w:hAnsi="Times New Roman" w:cs="Times New Roman"/>
          <w:sz w:val="24"/>
          <w:szCs w:val="24"/>
        </w:rPr>
        <w:t>this</w:t>
      </w:r>
      <w:r w:rsidR="006D19A2" w:rsidRPr="002D3CD2">
        <w:rPr>
          <w:rFonts w:ascii="Times New Roman" w:hAnsi="Times New Roman" w:cs="Times New Roman"/>
          <w:sz w:val="24"/>
          <w:szCs w:val="24"/>
        </w:rPr>
        <w:t xml:space="preserve"> </w:t>
      </w:r>
      <w:r w:rsidR="00351A6C" w:rsidRPr="002D3CD2">
        <w:rPr>
          <w:rFonts w:ascii="Times New Roman" w:hAnsi="Times New Roman" w:cs="Times New Roman"/>
          <w:sz w:val="24"/>
          <w:szCs w:val="24"/>
        </w:rPr>
        <w:t xml:space="preserve">may be better expressed </w:t>
      </w:r>
      <w:r w:rsidR="006D19A2" w:rsidRPr="002D3CD2">
        <w:rPr>
          <w:rFonts w:ascii="Times New Roman" w:hAnsi="Times New Roman" w:cs="Times New Roman"/>
          <w:sz w:val="24"/>
          <w:szCs w:val="24"/>
        </w:rPr>
        <w:t xml:space="preserve">by inclusion </w:t>
      </w:r>
      <w:r w:rsidR="00351A6C" w:rsidRPr="002D3CD2">
        <w:rPr>
          <w:rFonts w:ascii="Times New Roman" w:hAnsi="Times New Roman" w:cs="Times New Roman"/>
          <w:sz w:val="24"/>
          <w:szCs w:val="24"/>
        </w:rPr>
        <w:t xml:space="preserve">of the specific covered areas </w:t>
      </w:r>
      <w:r w:rsidR="006D19A2" w:rsidRPr="002D3CD2">
        <w:rPr>
          <w:rFonts w:ascii="Times New Roman" w:hAnsi="Times New Roman" w:cs="Times New Roman"/>
          <w:sz w:val="24"/>
          <w:szCs w:val="24"/>
        </w:rPr>
        <w:t xml:space="preserve">rather than exclusion </w:t>
      </w:r>
      <w:r w:rsidR="00351A6C" w:rsidRPr="002D3CD2">
        <w:rPr>
          <w:rFonts w:ascii="Times New Roman" w:hAnsi="Times New Roman" w:cs="Times New Roman"/>
          <w:sz w:val="24"/>
          <w:szCs w:val="24"/>
        </w:rPr>
        <w:t>of those matters which are not covered, but in a system with generous scope the opposite will be true</w:t>
      </w:r>
      <w:r w:rsidR="006D19A2" w:rsidRPr="002D3CD2">
        <w:rPr>
          <w:rFonts w:ascii="Times New Roman" w:hAnsi="Times New Roman" w:cs="Times New Roman"/>
          <w:sz w:val="24"/>
          <w:szCs w:val="24"/>
        </w:rPr>
        <w:t>.</w:t>
      </w:r>
    </w:p>
    <w:p w:rsidR="00B53840" w:rsidRPr="002D3CD2" w:rsidRDefault="00B53840"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Logical </w:t>
      </w:r>
    </w:p>
    <w:p w:rsidR="00B05EF4" w:rsidRPr="002D3CD2" w:rsidRDefault="00B05EF4" w:rsidP="002D3CD2">
      <w:pPr>
        <w:spacing w:line="360" w:lineRule="auto"/>
        <w:rPr>
          <w:rFonts w:ascii="Times New Roman" w:hAnsi="Times New Roman" w:cs="Times New Roman"/>
          <w:sz w:val="24"/>
          <w:szCs w:val="24"/>
        </w:rPr>
      </w:pPr>
      <w:r w:rsidRPr="002D3CD2">
        <w:rPr>
          <w:rFonts w:ascii="Times New Roman" w:hAnsi="Times New Roman" w:cs="Times New Roman"/>
          <w:sz w:val="24"/>
          <w:szCs w:val="24"/>
        </w:rPr>
        <w:t>The need for a legal aid system to be logical may appear self-evident, but examples can be found of situations where this is not the case, such as the use of percentage prospects of success tests in some jurisdictions.</w:t>
      </w:r>
      <w:r w:rsidR="001C2A69" w:rsidRPr="001C2A69">
        <w:rPr>
          <w:rStyle w:val="FootnoteReference"/>
          <w:rFonts w:ascii="Times New Roman" w:hAnsi="Times New Roman" w:cs="Times New Roman"/>
          <w:sz w:val="24"/>
          <w:szCs w:val="24"/>
        </w:rPr>
        <w:t xml:space="preserve"> </w:t>
      </w:r>
      <w:r w:rsidR="001C2A69" w:rsidRPr="002D3CD2">
        <w:rPr>
          <w:rStyle w:val="FootnoteReference"/>
          <w:rFonts w:ascii="Times New Roman" w:hAnsi="Times New Roman" w:cs="Times New Roman"/>
          <w:sz w:val="24"/>
          <w:szCs w:val="24"/>
        </w:rPr>
        <w:footnoteReference w:id="94"/>
      </w:r>
      <w:r w:rsidR="001C2A69" w:rsidRPr="002D3CD2">
        <w:rPr>
          <w:rFonts w:ascii="Times New Roman" w:hAnsi="Times New Roman" w:cs="Times New Roman"/>
          <w:sz w:val="24"/>
          <w:szCs w:val="24"/>
        </w:rPr>
        <w:t xml:space="preserve"> </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The explicit use of percentages when judging prospects of success for the purpose of civil legal aid eligibility lends an aura of reliability and objectivity but is, it is suggested, illogical for two reasons. The first relates to the consequence of the true meaning of the scientific language of percentages</w:t>
      </w:r>
      <w:r w:rsidR="004348C1" w:rsidRPr="002D3CD2">
        <w:rPr>
          <w:rFonts w:ascii="Times New Roman" w:hAnsi="Times New Roman" w:cs="Times New Roman"/>
          <w:sz w:val="24"/>
          <w:szCs w:val="24"/>
        </w:rPr>
        <w:t xml:space="preserve">. </w:t>
      </w:r>
      <w:r w:rsidR="00894D2D" w:rsidRPr="002D3CD2">
        <w:rPr>
          <w:rFonts w:ascii="Times New Roman" w:hAnsi="Times New Roman" w:cs="Times New Roman"/>
          <w:sz w:val="24"/>
          <w:szCs w:val="24"/>
        </w:rPr>
        <w:t>‘Percent’ literally means ‘in every hundred’; if a case has a 40% chance of success this means that out of 100 such cases, 40 of them will win.</w:t>
      </w:r>
      <w:r w:rsidR="001C2A69">
        <w:rPr>
          <w:rFonts w:ascii="Times New Roman" w:hAnsi="Times New Roman" w:cs="Times New Roman"/>
          <w:sz w:val="24"/>
          <w:szCs w:val="24"/>
        </w:rPr>
        <w:t xml:space="preserve"> </w:t>
      </w:r>
      <w:r w:rsidR="00894D2D" w:rsidRPr="002D3CD2">
        <w:rPr>
          <w:rFonts w:ascii="Times New Roman" w:hAnsi="Times New Roman" w:cs="Times New Roman"/>
          <w:sz w:val="24"/>
          <w:szCs w:val="24"/>
        </w:rPr>
        <w:t>Statistics works best on large numbers and we would not expect the figures to work out exactly with only 100 cases and much less so with a sample of ten, but if we could amass 10,000 cases then we would expect to find 4,000 of them winning.</w:t>
      </w:r>
      <w:r w:rsidR="001C2A69">
        <w:rPr>
          <w:rFonts w:ascii="Times New Roman" w:hAnsi="Times New Roman" w:cs="Times New Roman"/>
          <w:sz w:val="24"/>
          <w:szCs w:val="24"/>
        </w:rPr>
        <w:t xml:space="preserve"> </w:t>
      </w:r>
      <w:r w:rsidRPr="002D3CD2">
        <w:rPr>
          <w:rFonts w:ascii="Times New Roman" w:hAnsi="Times New Roman" w:cs="Times New Roman"/>
          <w:sz w:val="24"/>
          <w:szCs w:val="24"/>
        </w:rPr>
        <w:t>If a merits test provides that only cases with at least a 50% chance of success can be funded, clearly a case with a 40% chance will be refused legal aid.</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However, of all the cases refused because of having this probability of succeeding, 40% will succeed if they continue, according to the proper meaning of the statistical term.</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Indeed, if 40% did not succeed then the cases </w:t>
      </w:r>
      <w:r w:rsidR="003D4E92" w:rsidRPr="002D3CD2">
        <w:rPr>
          <w:rFonts w:ascii="Times New Roman" w:hAnsi="Times New Roman" w:cs="Times New Roman"/>
          <w:sz w:val="24"/>
          <w:szCs w:val="24"/>
        </w:rPr>
        <w:t xml:space="preserve">in the group </w:t>
      </w:r>
      <w:r w:rsidRPr="002D3CD2">
        <w:rPr>
          <w:rFonts w:ascii="Times New Roman" w:hAnsi="Times New Roman" w:cs="Times New Roman"/>
          <w:sz w:val="24"/>
          <w:szCs w:val="24"/>
        </w:rPr>
        <w:t>did not in fact have a 40% chance of success.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This results in a significant number of clients, who would succeed if able to proceed, having the choice of </w:t>
      </w:r>
      <w:r w:rsidRPr="002D3CD2">
        <w:rPr>
          <w:rFonts w:ascii="Times New Roman" w:hAnsi="Times New Roman" w:cs="Times New Roman"/>
          <w:sz w:val="24"/>
          <w:szCs w:val="24"/>
        </w:rPr>
        <w:lastRenderedPageBreak/>
        <w:t>abandoning their case or proceeding without assistance and potentially being subject to an unfair hearing.</w:t>
      </w:r>
    </w:p>
    <w:p w:rsidR="00B05EF4" w:rsidRPr="002D3CD2" w:rsidRDefault="00B05EF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other significant difficulty with the use of percentage prospects of success tests, which also affects other, more generally worded success tests to some extent, is the difficulty of prediction. The little evidence which is available on the accuracy of lawyers’ predictions of how likely their cases are to succeed suggests that lawyers are in fact very bad at forecasting outcomes.</w:t>
      </w:r>
      <w:r w:rsidRPr="002D3CD2">
        <w:rPr>
          <w:rStyle w:val="FootnoteReference"/>
          <w:rFonts w:ascii="Times New Roman" w:hAnsi="Times New Roman" w:cs="Times New Roman"/>
          <w:sz w:val="24"/>
          <w:szCs w:val="24"/>
        </w:rPr>
        <w:footnoteReference w:id="95"/>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Given that the specific tests in certain jurisdictions such as Northern Ireland and England &amp; Wales require lawyers to predict within bands as narrow as 10%, the lack of evidence of accuracy makes the criterion </w:t>
      </w:r>
      <w:r w:rsidR="001C2A69">
        <w:rPr>
          <w:rFonts w:ascii="Times New Roman" w:hAnsi="Times New Roman" w:cs="Times New Roman"/>
          <w:sz w:val="24"/>
          <w:szCs w:val="24"/>
        </w:rPr>
        <w:t>highly unsatisfactory</w:t>
      </w:r>
      <w:r w:rsidRPr="002D3CD2">
        <w:rPr>
          <w:rFonts w:ascii="Times New Roman" w:hAnsi="Times New Roman" w:cs="Times New Roman"/>
          <w:sz w:val="24"/>
          <w:szCs w:val="24"/>
        </w:rPr>
        <w:t>.</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The use of a test with, at best, unproven accuracy, couched in scientific language which is poorly understood and the consequences of which have not been appreciated, is illogical and therefore an unacceptable element of a legal aid scheme.</w:t>
      </w:r>
    </w:p>
    <w:p w:rsidR="003D4E92" w:rsidRPr="002D3CD2" w:rsidRDefault="003D4E9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preciseness of the scope provisions for Norwegian civil legal aid has also resulted in some surprising and seemingly illogical results, such as that tenancy termination cases are covered if due to a breach of contract but not if due to a gross breach of contract, and deportation cases are included in the scheme if they occur in consequence of a breach of immigration law but not if the trigger was a breach of criminal law.</w:t>
      </w:r>
      <w:r w:rsidRPr="002D3CD2">
        <w:rPr>
          <w:rFonts w:ascii="Times New Roman" w:hAnsi="Times New Roman" w:cs="Times New Roman"/>
          <w:sz w:val="24"/>
          <w:szCs w:val="24"/>
          <w:vertAlign w:val="superscript"/>
        </w:rPr>
        <w:footnoteReference w:id="96"/>
      </w:r>
      <w:r w:rsidRPr="002D3CD2">
        <w:rPr>
          <w:rFonts w:ascii="Times New Roman" w:hAnsi="Times New Roman" w:cs="Times New Roman"/>
          <w:sz w:val="24"/>
          <w:szCs w:val="24"/>
        </w:rPr>
        <w:t xml:space="preserve"> Such outcomes have no place in a satisfactory, logical legal aid scheme. </w:t>
      </w:r>
    </w:p>
    <w:p w:rsidR="00B05EF4" w:rsidRPr="002D3CD2" w:rsidRDefault="003F72C3" w:rsidP="002D3CD2">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Lawful</w:t>
      </w:r>
    </w:p>
    <w:p w:rsidR="003A7435" w:rsidRPr="002D3CD2" w:rsidRDefault="00B05EF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Legal aid schemes must, naturally, comply with domestic law and with the applicable international obligations of a state.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In an ideal world, this</w:t>
      </w:r>
      <w:r w:rsidR="003A7435" w:rsidRPr="002D3CD2">
        <w:rPr>
          <w:rFonts w:ascii="Times New Roman" w:hAnsi="Times New Roman" w:cs="Times New Roman"/>
          <w:sz w:val="24"/>
          <w:szCs w:val="24"/>
        </w:rPr>
        <w:t xml:space="preserve"> characteristic </w:t>
      </w:r>
      <w:r w:rsidRPr="002D3CD2">
        <w:rPr>
          <w:rFonts w:ascii="Times New Roman" w:hAnsi="Times New Roman" w:cs="Times New Roman"/>
          <w:sz w:val="24"/>
          <w:szCs w:val="24"/>
        </w:rPr>
        <w:t xml:space="preserve">would </w:t>
      </w:r>
      <w:r w:rsidR="003A7435" w:rsidRPr="002D3CD2">
        <w:rPr>
          <w:rFonts w:ascii="Times New Roman" w:hAnsi="Times New Roman" w:cs="Times New Roman"/>
          <w:sz w:val="24"/>
          <w:szCs w:val="24"/>
        </w:rPr>
        <w:t>be a given in all legal aid systems, but this is unfortunately not the case.</w:t>
      </w:r>
      <w:r w:rsidR="00596161" w:rsidRPr="002D3CD2">
        <w:rPr>
          <w:rFonts w:ascii="Times New Roman" w:hAnsi="Times New Roman" w:cs="Times New Roman"/>
          <w:sz w:val="24"/>
          <w:szCs w:val="24"/>
        </w:rPr>
        <w:t xml:space="preserve"> </w:t>
      </w:r>
      <w:r w:rsidR="003F72C3">
        <w:rPr>
          <w:rFonts w:ascii="Times New Roman" w:hAnsi="Times New Roman" w:cs="Times New Roman"/>
          <w:sz w:val="24"/>
          <w:szCs w:val="24"/>
        </w:rPr>
        <w:t>Lawfulness</w:t>
      </w:r>
      <w:r w:rsidR="003A7435" w:rsidRPr="002D3CD2">
        <w:rPr>
          <w:rFonts w:ascii="Times New Roman" w:hAnsi="Times New Roman" w:cs="Times New Roman"/>
          <w:sz w:val="24"/>
          <w:szCs w:val="24"/>
        </w:rPr>
        <w:t xml:space="preserve"> must therefore be one of the criteria against which a scheme is measured.</w:t>
      </w:r>
    </w:p>
    <w:p w:rsidR="00C80136" w:rsidRPr="002D3CD2" w:rsidRDefault="003A7435"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Illegality within legal aid administration is corrected through the bringing of legal challenges either domestically or internationally, but such actions are demanding of money, commitment and time.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As these resources are in short supply for those who are in need of legal aid, challenges are often brought by NGOs which support vulnerable individuals, or by pressure groups concerned with access to justice.</w:t>
      </w:r>
      <w:r w:rsidR="003D4E92"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Examples of findings of breach of domestic law </w:t>
      </w:r>
      <w:r w:rsidRPr="002D3CD2">
        <w:rPr>
          <w:rFonts w:ascii="Times New Roman" w:hAnsi="Times New Roman" w:cs="Times New Roman"/>
          <w:sz w:val="24"/>
          <w:szCs w:val="24"/>
        </w:rPr>
        <w:lastRenderedPageBreak/>
        <w:t>include the</w:t>
      </w:r>
      <w:r w:rsidR="00C80136" w:rsidRPr="002D3CD2">
        <w:rPr>
          <w:rFonts w:ascii="Times New Roman" w:hAnsi="Times New Roman" w:cs="Times New Roman"/>
          <w:sz w:val="24"/>
          <w:szCs w:val="24"/>
        </w:rPr>
        <w:t xml:space="preserve"> finding by the Court of Appeal that rules concerning evidence of domestic violence for legal aid applicants in England &amp; Wales were invalid because they frustrated the purpose of the legal aid legislation</w:t>
      </w:r>
      <w:r w:rsidR="009522F6" w:rsidRPr="002D3CD2">
        <w:rPr>
          <w:rFonts w:ascii="Times New Roman" w:hAnsi="Times New Roman" w:cs="Times New Roman"/>
          <w:sz w:val="24"/>
          <w:szCs w:val="24"/>
        </w:rPr>
        <w:t>, and operated in a ‘completely arbitrary manner’.</w:t>
      </w:r>
      <w:r w:rsidR="009522F6" w:rsidRPr="002D3CD2">
        <w:rPr>
          <w:rFonts w:ascii="Times New Roman" w:hAnsi="Times New Roman" w:cs="Times New Roman"/>
          <w:sz w:val="24"/>
          <w:szCs w:val="24"/>
          <w:vertAlign w:val="superscript"/>
        </w:rPr>
        <w:footnoteReference w:id="97"/>
      </w:r>
      <w:r w:rsidR="00C80136" w:rsidRPr="002D3CD2">
        <w:rPr>
          <w:rFonts w:ascii="Times New Roman" w:hAnsi="Times New Roman" w:cs="Times New Roman"/>
          <w:sz w:val="24"/>
          <w:szCs w:val="24"/>
        </w:rPr>
        <w:t xml:space="preserve"> The evidence requirement </w:t>
      </w:r>
      <w:r w:rsidR="009522F6" w:rsidRPr="002D3CD2">
        <w:rPr>
          <w:rFonts w:ascii="Times New Roman" w:hAnsi="Times New Roman" w:cs="Times New Roman"/>
          <w:sz w:val="24"/>
          <w:szCs w:val="24"/>
        </w:rPr>
        <w:t>was</w:t>
      </w:r>
      <w:r w:rsidR="00C80136" w:rsidRPr="002D3CD2">
        <w:rPr>
          <w:rFonts w:ascii="Times New Roman" w:hAnsi="Times New Roman" w:cs="Times New Roman"/>
          <w:sz w:val="24"/>
          <w:szCs w:val="24"/>
        </w:rPr>
        <w:t xml:space="preserve"> also, incidentally, criticised</w:t>
      </w:r>
      <w:r w:rsidRPr="002D3CD2">
        <w:rPr>
          <w:rFonts w:ascii="Times New Roman" w:hAnsi="Times New Roman" w:cs="Times New Roman"/>
          <w:sz w:val="24"/>
          <w:szCs w:val="24"/>
        </w:rPr>
        <w:t xml:space="preserve"> </w:t>
      </w:r>
      <w:r w:rsidR="00C80136" w:rsidRPr="002D3CD2">
        <w:rPr>
          <w:rFonts w:ascii="Times New Roman" w:hAnsi="Times New Roman" w:cs="Times New Roman"/>
          <w:sz w:val="24"/>
          <w:szCs w:val="24"/>
        </w:rPr>
        <w:t xml:space="preserve">internationally, with the UN Committee for the Elimination of Discrimination </w:t>
      </w:r>
      <w:proofErr w:type="gramStart"/>
      <w:r w:rsidR="00C80136" w:rsidRPr="002D3CD2">
        <w:rPr>
          <w:rFonts w:ascii="Times New Roman" w:hAnsi="Times New Roman" w:cs="Times New Roman"/>
          <w:sz w:val="24"/>
          <w:szCs w:val="24"/>
        </w:rPr>
        <w:t>Against</w:t>
      </w:r>
      <w:proofErr w:type="gramEnd"/>
      <w:r w:rsidR="00C80136" w:rsidRPr="002D3CD2">
        <w:rPr>
          <w:rFonts w:ascii="Times New Roman" w:hAnsi="Times New Roman" w:cs="Times New Roman"/>
          <w:sz w:val="24"/>
          <w:szCs w:val="24"/>
        </w:rPr>
        <w:t xml:space="preserve"> Women expressing concern that </w:t>
      </w:r>
      <w:r w:rsidR="009522F6" w:rsidRPr="002D3CD2">
        <w:rPr>
          <w:rFonts w:ascii="Times New Roman" w:hAnsi="Times New Roman" w:cs="Times New Roman"/>
          <w:sz w:val="24"/>
          <w:szCs w:val="24"/>
        </w:rPr>
        <w:t>it</w:t>
      </w:r>
      <w:r w:rsidR="00C80136" w:rsidRPr="002D3CD2">
        <w:rPr>
          <w:rFonts w:ascii="Times New Roman" w:hAnsi="Times New Roman" w:cs="Times New Roman"/>
          <w:sz w:val="24"/>
          <w:szCs w:val="24"/>
        </w:rPr>
        <w:t xml:space="preserve"> ‘unduly restricts women’s access to legal aid</w:t>
      </w:r>
      <w:r w:rsidR="006C6CA8" w:rsidRPr="002D3CD2">
        <w:rPr>
          <w:rFonts w:ascii="Times New Roman" w:hAnsi="Times New Roman" w:cs="Times New Roman"/>
          <w:sz w:val="24"/>
          <w:szCs w:val="24"/>
        </w:rPr>
        <w:t>’.</w:t>
      </w:r>
      <w:r w:rsidR="00C80136" w:rsidRPr="002D3CD2">
        <w:rPr>
          <w:rFonts w:ascii="Times New Roman" w:hAnsi="Times New Roman" w:cs="Times New Roman"/>
          <w:sz w:val="24"/>
          <w:szCs w:val="24"/>
          <w:vertAlign w:val="superscript"/>
        </w:rPr>
        <w:footnoteReference w:id="98"/>
      </w:r>
    </w:p>
    <w:p w:rsidR="003A7435" w:rsidRPr="002D3CD2" w:rsidRDefault="00C81CC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In the Republic of Ireland undersupply of legally aided services for a time led to clients waiting up to 24 months for a first appointment with a solicitor at a Law Centre in non-priority cases.</w:t>
      </w:r>
      <w:r w:rsidRPr="002D3CD2">
        <w:rPr>
          <w:rFonts w:ascii="Times New Roman" w:hAnsi="Times New Roman" w:cs="Times New Roman"/>
          <w:sz w:val="24"/>
          <w:szCs w:val="24"/>
          <w:vertAlign w:val="superscript"/>
        </w:rPr>
        <w:footnoteReference w:id="99"/>
      </w:r>
      <w:r w:rsidRPr="002D3CD2">
        <w:rPr>
          <w:rFonts w:ascii="Times New Roman" w:hAnsi="Times New Roman" w:cs="Times New Roman"/>
          <w:sz w:val="24"/>
          <w:szCs w:val="24"/>
        </w:rPr>
        <w:t xml:space="preserve"> This was found by the High Court to amount to a breach of the constitutional entitlements of potential clients as ‘it is not enough to set up a scheme for the provision of legal aid to necessitous persons and then to render it effectively meaningless for a long period of time’.</w:t>
      </w:r>
      <w:r w:rsidRPr="002D3CD2">
        <w:rPr>
          <w:rFonts w:ascii="Times New Roman" w:hAnsi="Times New Roman" w:cs="Times New Roman"/>
          <w:sz w:val="24"/>
          <w:szCs w:val="24"/>
          <w:vertAlign w:val="superscript"/>
        </w:rPr>
        <w:footnoteReference w:id="100"/>
      </w:r>
    </w:p>
    <w:p w:rsidR="00E43459" w:rsidRPr="002D3CD2" w:rsidRDefault="00E4345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Internationally, the European Court of Human Rights makes decisions on non-compliance with the </w:t>
      </w:r>
      <w:r w:rsidR="003D4E92" w:rsidRPr="002D3CD2">
        <w:rPr>
          <w:rFonts w:ascii="Times New Roman" w:hAnsi="Times New Roman" w:cs="Times New Roman"/>
          <w:sz w:val="24"/>
          <w:szCs w:val="24"/>
        </w:rPr>
        <w:t xml:space="preserve">provisions of the </w:t>
      </w:r>
      <w:r w:rsidRPr="002D3CD2">
        <w:rPr>
          <w:rFonts w:ascii="Times New Roman" w:hAnsi="Times New Roman" w:cs="Times New Roman"/>
          <w:sz w:val="24"/>
          <w:szCs w:val="24"/>
        </w:rPr>
        <w:t>European Convention</w:t>
      </w:r>
      <w:r w:rsidR="003D4E92" w:rsidRPr="002D3CD2">
        <w:rPr>
          <w:rFonts w:ascii="Times New Roman" w:hAnsi="Times New Roman" w:cs="Times New Roman"/>
          <w:sz w:val="24"/>
          <w:szCs w:val="24"/>
        </w:rPr>
        <w:t xml:space="preserve"> on Human Rights</w:t>
      </w:r>
      <w:r w:rsidRPr="002D3CD2">
        <w:rPr>
          <w:rFonts w:ascii="Times New Roman" w:hAnsi="Times New Roman" w:cs="Times New Roman"/>
          <w:sz w:val="24"/>
          <w:szCs w:val="24"/>
        </w:rPr>
        <w:t>, again indicating that a system has been operating unlawfully.</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Instances where this has occurred include decisions that the absolute exclusion of any type of case from the scope of civil legal aid is unacceptable,</w:t>
      </w:r>
      <w:r w:rsidRPr="002D3CD2">
        <w:rPr>
          <w:rStyle w:val="FootnoteReference"/>
          <w:rFonts w:ascii="Times New Roman" w:hAnsi="Times New Roman" w:cs="Times New Roman"/>
          <w:sz w:val="24"/>
          <w:szCs w:val="24"/>
        </w:rPr>
        <w:footnoteReference w:id="101"/>
      </w:r>
      <w:r w:rsidR="009E4D58" w:rsidRPr="002D3CD2">
        <w:rPr>
          <w:rFonts w:ascii="Times New Roman" w:hAnsi="Times New Roman" w:cs="Times New Roman"/>
          <w:sz w:val="24"/>
          <w:szCs w:val="24"/>
        </w:rPr>
        <w:t xml:space="preserve"> and that in criminal cases legal assistance must be given in the early stages of police investigation.</w:t>
      </w:r>
      <w:r w:rsidR="009E4D58" w:rsidRPr="002D3CD2">
        <w:rPr>
          <w:rStyle w:val="FootnoteReference"/>
          <w:rFonts w:ascii="Times New Roman" w:hAnsi="Times New Roman" w:cs="Times New Roman"/>
          <w:sz w:val="24"/>
          <w:szCs w:val="24"/>
        </w:rPr>
        <w:footnoteReference w:id="102"/>
      </w:r>
      <w:r w:rsidR="00596161" w:rsidRPr="002D3CD2">
        <w:rPr>
          <w:rFonts w:ascii="Times New Roman" w:hAnsi="Times New Roman" w:cs="Times New Roman"/>
          <w:sz w:val="24"/>
          <w:szCs w:val="24"/>
        </w:rPr>
        <w:t xml:space="preserve"> </w:t>
      </w:r>
      <w:r w:rsidR="00A348CD" w:rsidRPr="002D3CD2">
        <w:rPr>
          <w:rFonts w:ascii="Times New Roman" w:hAnsi="Times New Roman" w:cs="Times New Roman"/>
          <w:sz w:val="24"/>
          <w:szCs w:val="24"/>
        </w:rPr>
        <w:t>T</w:t>
      </w:r>
      <w:r w:rsidR="009E4D58" w:rsidRPr="002D3CD2">
        <w:rPr>
          <w:rFonts w:ascii="Times New Roman" w:hAnsi="Times New Roman" w:cs="Times New Roman"/>
          <w:sz w:val="24"/>
          <w:szCs w:val="24"/>
        </w:rPr>
        <w:t xml:space="preserve">he Court has </w:t>
      </w:r>
      <w:r w:rsidR="00A348CD" w:rsidRPr="002D3CD2">
        <w:rPr>
          <w:rFonts w:ascii="Times New Roman" w:hAnsi="Times New Roman" w:cs="Times New Roman"/>
          <w:sz w:val="24"/>
          <w:szCs w:val="24"/>
        </w:rPr>
        <w:t xml:space="preserve">also </w:t>
      </w:r>
      <w:r w:rsidR="009E4D58" w:rsidRPr="002D3CD2">
        <w:rPr>
          <w:rFonts w:ascii="Times New Roman" w:hAnsi="Times New Roman" w:cs="Times New Roman"/>
          <w:sz w:val="24"/>
          <w:szCs w:val="24"/>
        </w:rPr>
        <w:t xml:space="preserve">made </w:t>
      </w:r>
      <w:r w:rsidR="00A348CD" w:rsidRPr="002D3CD2">
        <w:rPr>
          <w:rFonts w:ascii="Times New Roman" w:hAnsi="Times New Roman" w:cs="Times New Roman"/>
          <w:sz w:val="24"/>
          <w:szCs w:val="24"/>
        </w:rPr>
        <w:t xml:space="preserve">it </w:t>
      </w:r>
      <w:r w:rsidR="009E4D58" w:rsidRPr="002D3CD2">
        <w:rPr>
          <w:rFonts w:ascii="Times New Roman" w:hAnsi="Times New Roman" w:cs="Times New Roman"/>
          <w:sz w:val="24"/>
          <w:szCs w:val="24"/>
        </w:rPr>
        <w:t>clear that to comply with human rights obligations, applications for legal aid must be dealt with diligently,</w:t>
      </w:r>
      <w:r w:rsidR="009E4D58" w:rsidRPr="002D3CD2">
        <w:rPr>
          <w:rFonts w:ascii="Times New Roman" w:hAnsi="Times New Roman" w:cs="Times New Roman"/>
          <w:sz w:val="24"/>
          <w:szCs w:val="24"/>
          <w:vertAlign w:val="superscript"/>
        </w:rPr>
        <w:footnoteReference w:id="103"/>
      </w:r>
      <w:r w:rsidR="009E4D58" w:rsidRPr="002D3CD2">
        <w:rPr>
          <w:rFonts w:ascii="Times New Roman" w:hAnsi="Times New Roman" w:cs="Times New Roman"/>
          <w:sz w:val="24"/>
          <w:szCs w:val="24"/>
        </w:rPr>
        <w:t xml:space="preserve"> the appearance of the fair administration of justice must be maintained,</w:t>
      </w:r>
      <w:r w:rsidR="009E4D58" w:rsidRPr="002D3CD2">
        <w:rPr>
          <w:rFonts w:ascii="Times New Roman" w:hAnsi="Times New Roman" w:cs="Times New Roman"/>
          <w:sz w:val="24"/>
          <w:szCs w:val="24"/>
          <w:vertAlign w:val="superscript"/>
        </w:rPr>
        <w:footnoteReference w:id="104"/>
      </w:r>
      <w:r w:rsidR="009E4D58" w:rsidRPr="002D3CD2">
        <w:rPr>
          <w:rFonts w:ascii="Times New Roman" w:hAnsi="Times New Roman" w:cs="Times New Roman"/>
          <w:sz w:val="24"/>
          <w:szCs w:val="24"/>
        </w:rPr>
        <w:t xml:space="preserve"> decisions must not be arbitrary</w:t>
      </w:r>
      <w:r w:rsidR="009E4D58" w:rsidRPr="002D3CD2">
        <w:rPr>
          <w:rFonts w:ascii="Times New Roman" w:hAnsi="Times New Roman" w:cs="Times New Roman"/>
          <w:sz w:val="24"/>
          <w:szCs w:val="24"/>
          <w:vertAlign w:val="superscript"/>
        </w:rPr>
        <w:footnoteReference w:id="105"/>
      </w:r>
      <w:r w:rsidR="009E4D58" w:rsidRPr="002D3CD2">
        <w:rPr>
          <w:rFonts w:ascii="Times New Roman" w:hAnsi="Times New Roman" w:cs="Times New Roman"/>
          <w:sz w:val="24"/>
          <w:szCs w:val="24"/>
        </w:rPr>
        <w:t xml:space="preserve"> and </w:t>
      </w:r>
      <w:r w:rsidR="00A348CD" w:rsidRPr="002D3CD2">
        <w:rPr>
          <w:rFonts w:ascii="Times New Roman" w:hAnsi="Times New Roman" w:cs="Times New Roman"/>
          <w:sz w:val="24"/>
          <w:szCs w:val="24"/>
        </w:rPr>
        <w:t xml:space="preserve">that </w:t>
      </w:r>
      <w:r w:rsidR="009E4D58" w:rsidRPr="002D3CD2">
        <w:rPr>
          <w:rFonts w:ascii="Times New Roman" w:hAnsi="Times New Roman" w:cs="Times New Roman"/>
          <w:sz w:val="24"/>
          <w:szCs w:val="24"/>
        </w:rPr>
        <w:t>reasons must be given for rejection of an application for legal aid.</w:t>
      </w:r>
      <w:r w:rsidR="009E4D58" w:rsidRPr="002D3CD2">
        <w:rPr>
          <w:rFonts w:ascii="Times New Roman" w:hAnsi="Times New Roman" w:cs="Times New Roman"/>
          <w:sz w:val="24"/>
          <w:szCs w:val="24"/>
          <w:vertAlign w:val="superscript"/>
        </w:rPr>
        <w:footnoteReference w:id="106"/>
      </w:r>
    </w:p>
    <w:p w:rsidR="000C54C6" w:rsidRPr="002D3CD2" w:rsidRDefault="005732C4"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Of course, an element of a legal aid scheme does not only become unlawful at the point when it is so declared by a court; latent unlawfulness is also unacceptable.</w:t>
      </w:r>
    </w:p>
    <w:p w:rsidR="003F72C3" w:rsidRDefault="003F72C3">
      <w:pPr>
        <w:rPr>
          <w:rFonts w:ascii="Times New Roman" w:hAnsi="Times New Roman" w:cs="Times New Roman"/>
          <w:sz w:val="24"/>
          <w:szCs w:val="24"/>
        </w:rPr>
      </w:pPr>
      <w:r>
        <w:rPr>
          <w:rFonts w:ascii="Times New Roman" w:hAnsi="Times New Roman" w:cs="Times New Roman"/>
          <w:sz w:val="24"/>
          <w:szCs w:val="24"/>
        </w:rPr>
        <w:br w:type="page"/>
      </w:r>
    </w:p>
    <w:p w:rsidR="0071326F" w:rsidRPr="002D3CD2" w:rsidRDefault="00B53840" w:rsidP="002D3CD2">
      <w:pPr>
        <w:pStyle w:val="ListParagraph"/>
        <w:numPr>
          <w:ilvl w:val="0"/>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Comparing legal aid schemes</w:t>
      </w:r>
    </w:p>
    <w:p w:rsidR="0016544F" w:rsidRPr="002D3CD2" w:rsidRDefault="0016544F"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 need for a structure</w:t>
      </w:r>
    </w:p>
    <w:p w:rsidR="00EC1F9F" w:rsidRPr="002D3CD2" w:rsidRDefault="007F26B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It has been seen that it is possible to judge the organisation of a legal aid scheme against consistent criteria, despite the wide range of possible solutions chosen by states.</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In seeking to improve the operation of legal aid, states may also wish to use a comparative approach but this, also, is complicated by the scale of diversity.</w:t>
      </w:r>
      <w:r w:rsidR="00596161" w:rsidRPr="002D3CD2">
        <w:rPr>
          <w:rFonts w:ascii="Times New Roman" w:hAnsi="Times New Roman" w:cs="Times New Roman"/>
          <w:sz w:val="24"/>
          <w:szCs w:val="24"/>
        </w:rPr>
        <w:t xml:space="preserve"> </w:t>
      </w:r>
    </w:p>
    <w:p w:rsidR="00EC1F9F" w:rsidRPr="002D3CD2" w:rsidRDefault="00EC1F9F"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It is clear from the descriptions of Finland and Sweden, above, that legal aid schemes are complex entities; comparison, whilst potentially very useful, is thus also very difficult.</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In attempting to learn from other jurisdictions it is important to not just consider selected details but to have an overview of the whole scheme and its place within the justice system and access to justice arrangements in the other jurisdiction.</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Delivery methods provide a good illustration of the difficulty.</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New approaches to legal aid service provision are interesting and often inspirational, but they are highly context-specific and care must be taken to ensure their context is understood before drawing conclusions as to their desirability.</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The other elements of the legal aid system such as financial eligibility rates and subject scope will have a significant impact on demand</w:t>
      </w:r>
      <w:r w:rsidR="000859B7" w:rsidRPr="002D3CD2">
        <w:rPr>
          <w:rFonts w:ascii="Times New Roman" w:hAnsi="Times New Roman" w:cs="Times New Roman"/>
          <w:sz w:val="24"/>
          <w:szCs w:val="24"/>
        </w:rPr>
        <w:t>,</w:t>
      </w:r>
      <w:r w:rsidRPr="002D3CD2">
        <w:rPr>
          <w:rFonts w:ascii="Times New Roman" w:hAnsi="Times New Roman" w:cs="Times New Roman"/>
          <w:sz w:val="24"/>
          <w:szCs w:val="24"/>
        </w:rPr>
        <w:t xml:space="preserve"> and on capacity and ability to help.</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Factors external to legal aid will also be very significant; if, for example, family cases are diverted away from the judicial system, a desirable delivery method may look very different and be less appropriate in a jurisdiction where this is not the case.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It is necessary to be aware of these contextual factors and their interrelationship with elements of the legal aid scheme before drawing any conclusions about the effectiveness of the delivery method and the possibility for transposing it to another system.</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Delivery methods are also often an appealing focus of comparative approaches because they can </w:t>
      </w:r>
      <w:r w:rsidR="000859B7" w:rsidRPr="002D3CD2">
        <w:rPr>
          <w:rFonts w:ascii="Times New Roman" w:hAnsi="Times New Roman" w:cs="Times New Roman"/>
          <w:sz w:val="24"/>
          <w:szCs w:val="24"/>
        </w:rPr>
        <w:t>appear to be</w:t>
      </w:r>
      <w:r w:rsidRPr="002D3CD2">
        <w:rPr>
          <w:rFonts w:ascii="Times New Roman" w:hAnsi="Times New Roman" w:cs="Times New Roman"/>
          <w:sz w:val="24"/>
          <w:szCs w:val="24"/>
        </w:rPr>
        <w:t xml:space="preserve"> an easy way to </w:t>
      </w:r>
      <w:r w:rsidR="000859B7" w:rsidRPr="002D3CD2">
        <w:rPr>
          <w:rFonts w:ascii="Times New Roman" w:hAnsi="Times New Roman" w:cs="Times New Roman"/>
          <w:sz w:val="24"/>
          <w:szCs w:val="24"/>
        </w:rPr>
        <w:t>resolve</w:t>
      </w:r>
      <w:r w:rsidRPr="002D3CD2">
        <w:rPr>
          <w:rFonts w:ascii="Times New Roman" w:hAnsi="Times New Roman" w:cs="Times New Roman"/>
          <w:sz w:val="24"/>
          <w:szCs w:val="24"/>
        </w:rPr>
        <w:t xml:space="preserve"> existing weaknesses in a </w:t>
      </w:r>
      <w:proofErr w:type="gramStart"/>
      <w:r w:rsidRPr="002D3CD2">
        <w:rPr>
          <w:rFonts w:ascii="Times New Roman" w:hAnsi="Times New Roman" w:cs="Times New Roman"/>
          <w:sz w:val="24"/>
          <w:szCs w:val="24"/>
        </w:rPr>
        <w:t>system,</w:t>
      </w:r>
      <w:proofErr w:type="gramEnd"/>
      <w:r w:rsidRPr="002D3CD2">
        <w:rPr>
          <w:rFonts w:ascii="Times New Roman" w:hAnsi="Times New Roman" w:cs="Times New Roman"/>
          <w:sz w:val="24"/>
          <w:szCs w:val="24"/>
        </w:rPr>
        <w:t xml:space="preserve"> </w:t>
      </w:r>
      <w:r w:rsidR="000859B7" w:rsidRPr="002D3CD2">
        <w:rPr>
          <w:rFonts w:ascii="Times New Roman" w:hAnsi="Times New Roman" w:cs="Times New Roman"/>
          <w:sz w:val="24"/>
          <w:szCs w:val="24"/>
        </w:rPr>
        <w:t>however</w:t>
      </w:r>
      <w:r w:rsidRPr="002D3CD2">
        <w:rPr>
          <w:rFonts w:ascii="Times New Roman" w:hAnsi="Times New Roman" w:cs="Times New Roman"/>
          <w:sz w:val="24"/>
          <w:szCs w:val="24"/>
        </w:rPr>
        <w:t xml:space="preserve"> without changes at the policy level it is unlikely that alterations to delivery methods can be much more than a superficial solution.</w:t>
      </w:r>
    </w:p>
    <w:p w:rsidR="0036664D" w:rsidRDefault="0071326F"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It is </w:t>
      </w:r>
      <w:r w:rsidR="000859B7" w:rsidRPr="002D3CD2">
        <w:rPr>
          <w:rFonts w:ascii="Times New Roman" w:hAnsi="Times New Roman" w:cs="Times New Roman"/>
          <w:sz w:val="24"/>
          <w:szCs w:val="24"/>
        </w:rPr>
        <w:t xml:space="preserve">thus </w:t>
      </w:r>
      <w:r w:rsidRPr="002D3CD2">
        <w:rPr>
          <w:rFonts w:ascii="Times New Roman" w:hAnsi="Times New Roman" w:cs="Times New Roman"/>
          <w:sz w:val="24"/>
          <w:szCs w:val="24"/>
        </w:rPr>
        <w:t>crucial to acknowledge the</w:t>
      </w:r>
      <w:r w:rsidR="00EC1F9F" w:rsidRPr="002D3CD2">
        <w:rPr>
          <w:rFonts w:ascii="Times New Roman" w:hAnsi="Times New Roman" w:cs="Times New Roman"/>
          <w:sz w:val="24"/>
          <w:szCs w:val="24"/>
        </w:rPr>
        <w:t xml:space="preserve"> presence of</w:t>
      </w:r>
      <w:r w:rsidRPr="002D3CD2">
        <w:rPr>
          <w:rFonts w:ascii="Times New Roman" w:hAnsi="Times New Roman" w:cs="Times New Roman"/>
          <w:sz w:val="24"/>
          <w:szCs w:val="24"/>
        </w:rPr>
        <w:t xml:space="preserve"> diversity, and to attempt to understand the functioning of legal aid schemes, rather than to attempt</w:t>
      </w:r>
      <w:r w:rsidR="0036664D">
        <w:rPr>
          <w:rFonts w:ascii="Times New Roman" w:hAnsi="Times New Roman" w:cs="Times New Roman"/>
          <w:sz w:val="24"/>
          <w:szCs w:val="24"/>
        </w:rPr>
        <w:t xml:space="preserve"> uninformed</w:t>
      </w:r>
      <w:r w:rsidRPr="002D3CD2">
        <w:rPr>
          <w:rFonts w:ascii="Times New Roman" w:hAnsi="Times New Roman" w:cs="Times New Roman"/>
          <w:sz w:val="24"/>
          <w:szCs w:val="24"/>
        </w:rPr>
        <w:t xml:space="preserve"> small-scale borrowing of individual elements of a scheme.</w:t>
      </w:r>
      <w:r w:rsidR="00EC1F9F" w:rsidRPr="002D3CD2">
        <w:rPr>
          <w:rFonts w:ascii="Times New Roman" w:hAnsi="Times New Roman" w:cs="Times New Roman"/>
          <w:sz w:val="24"/>
          <w:szCs w:val="24"/>
        </w:rPr>
        <w:t xml:space="preserve"> As pointed out by many comparative lawyers, it is very difficult if not impossible to fully understand another legal system.</w:t>
      </w:r>
      <w:r w:rsidR="00596161" w:rsidRPr="002D3CD2">
        <w:rPr>
          <w:rFonts w:ascii="Times New Roman" w:hAnsi="Times New Roman" w:cs="Times New Roman"/>
          <w:sz w:val="24"/>
          <w:szCs w:val="24"/>
        </w:rPr>
        <w:t xml:space="preserve"> </w:t>
      </w:r>
      <w:r w:rsidR="00EC1F9F" w:rsidRPr="002D3CD2">
        <w:rPr>
          <w:rFonts w:ascii="Times New Roman" w:hAnsi="Times New Roman" w:cs="Times New Roman"/>
          <w:sz w:val="24"/>
          <w:szCs w:val="24"/>
        </w:rPr>
        <w:t>However, increasing the understanding of our own and other legal aid systems will improve the likelihood of good policy-making and effective practical comparison.</w:t>
      </w:r>
      <w:r w:rsidR="00596161" w:rsidRPr="002D3CD2">
        <w:rPr>
          <w:rFonts w:ascii="Times New Roman" w:hAnsi="Times New Roman" w:cs="Times New Roman"/>
          <w:sz w:val="24"/>
          <w:szCs w:val="24"/>
        </w:rPr>
        <w:t xml:space="preserve"> </w:t>
      </w:r>
      <w:r w:rsidR="00EC1F9F" w:rsidRPr="002D3CD2">
        <w:rPr>
          <w:rFonts w:ascii="Times New Roman" w:hAnsi="Times New Roman" w:cs="Times New Roman"/>
          <w:sz w:val="24"/>
          <w:szCs w:val="24"/>
        </w:rPr>
        <w:t xml:space="preserve">If comparative research is to reach its full potential in the field of legal aid a method must be found for comparing very different </w:t>
      </w:r>
      <w:r w:rsidR="00EC1F9F" w:rsidRPr="002D3CD2">
        <w:rPr>
          <w:rFonts w:ascii="Times New Roman" w:hAnsi="Times New Roman" w:cs="Times New Roman"/>
          <w:sz w:val="24"/>
          <w:szCs w:val="24"/>
        </w:rPr>
        <w:lastRenderedPageBreak/>
        <w:t>schemes in a structured and consistent manner.</w:t>
      </w:r>
      <w:r w:rsidR="006F4E31" w:rsidRPr="002D3CD2">
        <w:rPr>
          <w:rFonts w:ascii="Times New Roman" w:hAnsi="Times New Roman" w:cs="Times New Roman"/>
          <w:sz w:val="24"/>
          <w:szCs w:val="24"/>
        </w:rPr>
        <w:t xml:space="preserve"> For appraisal of individual systems we can measure against criteria such as those proposed above, but for effective comparison a framework is needed so that different studies can be brought together to create a more thorough understanding of legal aid.</w:t>
      </w:r>
    </w:p>
    <w:p w:rsidR="006F4E31" w:rsidRPr="002D3CD2" w:rsidRDefault="003F72C3" w:rsidP="002D3CD2">
      <w:pPr>
        <w:spacing w:line="360" w:lineRule="auto"/>
        <w:jc w:val="both"/>
        <w:rPr>
          <w:rFonts w:ascii="Times New Roman" w:hAnsi="Times New Roman" w:cs="Times New Roman"/>
          <w:sz w:val="24"/>
          <w:szCs w:val="24"/>
        </w:rPr>
      </w:pPr>
      <w:r>
        <w:rPr>
          <w:rFonts w:ascii="Times New Roman" w:hAnsi="Times New Roman" w:cs="Times New Roman"/>
          <w:sz w:val="24"/>
          <w:szCs w:val="24"/>
        </w:rPr>
        <w:t>The criteria above were proposed for application to individual legal aid schemes; however, application of these criteria may itself benefit from a comparative approach.</w:t>
      </w:r>
      <w:r w:rsidR="001C2A69">
        <w:rPr>
          <w:rFonts w:ascii="Times New Roman" w:hAnsi="Times New Roman" w:cs="Times New Roman"/>
          <w:sz w:val="24"/>
          <w:szCs w:val="24"/>
        </w:rPr>
        <w:t xml:space="preserve"> </w:t>
      </w:r>
      <w:r>
        <w:rPr>
          <w:rFonts w:ascii="Times New Roman" w:hAnsi="Times New Roman" w:cs="Times New Roman"/>
          <w:sz w:val="24"/>
          <w:szCs w:val="24"/>
        </w:rPr>
        <w:t>The examples given above relating to different jurisdictions are useful in providing a prompt to check for similar problems in other jurisdictions.</w:t>
      </w:r>
      <w:r w:rsidR="001C2A69">
        <w:rPr>
          <w:rFonts w:ascii="Times New Roman" w:hAnsi="Times New Roman" w:cs="Times New Roman"/>
          <w:sz w:val="24"/>
          <w:szCs w:val="24"/>
        </w:rPr>
        <w:t xml:space="preserve"> </w:t>
      </w:r>
      <w:r>
        <w:rPr>
          <w:rFonts w:ascii="Times New Roman" w:hAnsi="Times New Roman" w:cs="Times New Roman"/>
          <w:sz w:val="24"/>
          <w:szCs w:val="24"/>
        </w:rPr>
        <w:t>Th</w:t>
      </w:r>
      <w:r w:rsidR="0036664D">
        <w:rPr>
          <w:rFonts w:ascii="Times New Roman" w:hAnsi="Times New Roman" w:cs="Times New Roman"/>
          <w:sz w:val="24"/>
          <w:szCs w:val="24"/>
        </w:rPr>
        <w:t>us the</w:t>
      </w:r>
      <w:r>
        <w:rPr>
          <w:rFonts w:ascii="Times New Roman" w:hAnsi="Times New Roman" w:cs="Times New Roman"/>
          <w:sz w:val="24"/>
          <w:szCs w:val="24"/>
        </w:rPr>
        <w:t xml:space="preserve"> uncovering of unlawfulness, particularly if related to international law or common domestic legal principles may have significance in other jurisdictions and be of great interest to scholars elsewhere.</w:t>
      </w:r>
      <w:r w:rsidR="001C2A69">
        <w:rPr>
          <w:rFonts w:ascii="Times New Roman" w:hAnsi="Times New Roman" w:cs="Times New Roman"/>
          <w:sz w:val="24"/>
          <w:szCs w:val="24"/>
        </w:rPr>
        <w:t xml:space="preserve"> </w:t>
      </w:r>
      <w:r>
        <w:rPr>
          <w:rFonts w:ascii="Times New Roman" w:hAnsi="Times New Roman" w:cs="Times New Roman"/>
          <w:sz w:val="24"/>
          <w:szCs w:val="24"/>
        </w:rPr>
        <w:t>Similarly, problems relating to the inherent logic of a system may be replicated in other jurisdictions</w:t>
      </w:r>
      <w:r w:rsidR="009C55DE">
        <w:rPr>
          <w:rFonts w:ascii="Times New Roman" w:hAnsi="Times New Roman" w:cs="Times New Roman"/>
          <w:sz w:val="24"/>
          <w:szCs w:val="24"/>
        </w:rPr>
        <w:t xml:space="preserve"> and understanding of the context in which certain elements are effective can be built up through examination of a number of legal aid schemes. Maybe the greatest use of a structure in applying the criteria is in respect of coherency; the theoretical and practical links between elements of the scheme will become more apparent when a logical framework is constructed.</w:t>
      </w:r>
    </w:p>
    <w:p w:rsidR="006F2467" w:rsidRPr="002D3CD2" w:rsidRDefault="0036664D" w:rsidP="002D3CD2">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2519C9" w:rsidRPr="002D3CD2">
        <w:rPr>
          <w:rFonts w:ascii="Times New Roman" w:hAnsi="Times New Roman" w:cs="Times New Roman"/>
          <w:sz w:val="24"/>
          <w:szCs w:val="24"/>
        </w:rPr>
        <w:t xml:space="preserve"> </w:t>
      </w:r>
      <w:r w:rsidR="00A64EB2" w:rsidRPr="002D3CD2">
        <w:rPr>
          <w:rFonts w:ascii="Times New Roman" w:hAnsi="Times New Roman" w:cs="Times New Roman"/>
          <w:sz w:val="24"/>
          <w:szCs w:val="24"/>
        </w:rPr>
        <w:t xml:space="preserve">establishment of such a framework is </w:t>
      </w:r>
      <w:r w:rsidR="002519C9" w:rsidRPr="002D3CD2">
        <w:rPr>
          <w:rFonts w:ascii="Times New Roman" w:hAnsi="Times New Roman" w:cs="Times New Roman"/>
          <w:sz w:val="24"/>
          <w:szCs w:val="24"/>
        </w:rPr>
        <w:t xml:space="preserve">a </w:t>
      </w:r>
      <w:r w:rsidR="00A64EB2" w:rsidRPr="002D3CD2">
        <w:rPr>
          <w:rFonts w:ascii="Times New Roman" w:hAnsi="Times New Roman" w:cs="Times New Roman"/>
          <w:sz w:val="24"/>
          <w:szCs w:val="24"/>
        </w:rPr>
        <w:t>considerable</w:t>
      </w:r>
      <w:r w:rsidR="002519C9" w:rsidRPr="002D3CD2">
        <w:rPr>
          <w:rFonts w:ascii="Times New Roman" w:hAnsi="Times New Roman" w:cs="Times New Roman"/>
          <w:sz w:val="24"/>
          <w:szCs w:val="24"/>
        </w:rPr>
        <w:t xml:space="preserve"> task and one which can only be carried out collectively.</w:t>
      </w:r>
      <w:r w:rsidR="00596161" w:rsidRPr="002D3CD2">
        <w:rPr>
          <w:rFonts w:ascii="Times New Roman" w:hAnsi="Times New Roman" w:cs="Times New Roman"/>
          <w:sz w:val="24"/>
          <w:szCs w:val="24"/>
        </w:rPr>
        <w:t xml:space="preserve"> </w:t>
      </w:r>
      <w:r w:rsidR="00A64EB2" w:rsidRPr="002D3CD2">
        <w:rPr>
          <w:rFonts w:ascii="Times New Roman" w:hAnsi="Times New Roman" w:cs="Times New Roman"/>
          <w:sz w:val="24"/>
          <w:szCs w:val="24"/>
        </w:rPr>
        <w:t xml:space="preserve">In respect of access to justice as a whole, </w:t>
      </w:r>
      <w:proofErr w:type="spellStart"/>
      <w:r w:rsidR="008A307A" w:rsidRPr="002D3CD2">
        <w:rPr>
          <w:rFonts w:ascii="Times New Roman" w:hAnsi="Times New Roman" w:cs="Times New Roman"/>
          <w:sz w:val="24"/>
          <w:szCs w:val="24"/>
        </w:rPr>
        <w:t>Barendrecht</w:t>
      </w:r>
      <w:proofErr w:type="spellEnd"/>
      <w:r w:rsidR="008A307A" w:rsidRPr="002D3CD2">
        <w:rPr>
          <w:rFonts w:ascii="Times New Roman" w:hAnsi="Times New Roman" w:cs="Times New Roman"/>
          <w:sz w:val="24"/>
          <w:szCs w:val="24"/>
        </w:rPr>
        <w:t xml:space="preserve">, Mulder and </w:t>
      </w:r>
      <w:proofErr w:type="spellStart"/>
      <w:r w:rsidR="008A307A" w:rsidRPr="002D3CD2">
        <w:rPr>
          <w:rFonts w:ascii="Times New Roman" w:hAnsi="Times New Roman" w:cs="Times New Roman"/>
          <w:sz w:val="24"/>
          <w:szCs w:val="24"/>
        </w:rPr>
        <w:t>Giesen</w:t>
      </w:r>
      <w:proofErr w:type="spellEnd"/>
      <w:r w:rsidR="008A307A" w:rsidRPr="002D3CD2">
        <w:rPr>
          <w:rFonts w:ascii="Times New Roman" w:hAnsi="Times New Roman" w:cs="Times New Roman"/>
          <w:sz w:val="24"/>
          <w:szCs w:val="24"/>
        </w:rPr>
        <w:t xml:space="preserve"> have suggested a framework for the measurement of the price and quality, </w:t>
      </w:r>
      <w:r w:rsidR="00A64EB2" w:rsidRPr="002D3CD2">
        <w:rPr>
          <w:rFonts w:ascii="Times New Roman" w:hAnsi="Times New Roman" w:cs="Times New Roman"/>
          <w:sz w:val="24"/>
          <w:szCs w:val="24"/>
        </w:rPr>
        <w:t>i</w:t>
      </w:r>
      <w:r w:rsidR="008A307A" w:rsidRPr="002D3CD2">
        <w:rPr>
          <w:rFonts w:ascii="Times New Roman" w:hAnsi="Times New Roman" w:cs="Times New Roman"/>
          <w:sz w:val="24"/>
          <w:szCs w:val="24"/>
        </w:rPr>
        <w:t>nclud</w:t>
      </w:r>
      <w:r w:rsidR="00A64EB2" w:rsidRPr="002D3CD2">
        <w:rPr>
          <w:rFonts w:ascii="Times New Roman" w:hAnsi="Times New Roman" w:cs="Times New Roman"/>
          <w:sz w:val="24"/>
          <w:szCs w:val="24"/>
        </w:rPr>
        <w:t>ing time and emotional costs,</w:t>
      </w:r>
      <w:r w:rsidR="008A307A" w:rsidRPr="002D3CD2">
        <w:rPr>
          <w:rStyle w:val="FootnoteReference"/>
          <w:rFonts w:ascii="Times New Roman" w:hAnsi="Times New Roman" w:cs="Times New Roman"/>
          <w:sz w:val="24"/>
          <w:szCs w:val="24"/>
        </w:rPr>
        <w:footnoteReference w:id="107"/>
      </w:r>
      <w:r w:rsidR="00A64EB2" w:rsidRPr="002D3CD2">
        <w:rPr>
          <w:rFonts w:ascii="Times New Roman" w:hAnsi="Times New Roman" w:cs="Times New Roman"/>
          <w:sz w:val="24"/>
          <w:szCs w:val="24"/>
        </w:rPr>
        <w:t xml:space="preserve"> and w</w:t>
      </w:r>
      <w:r w:rsidR="008A307A" w:rsidRPr="002D3CD2">
        <w:rPr>
          <w:rFonts w:ascii="Times New Roman" w:hAnsi="Times New Roman" w:cs="Times New Roman"/>
          <w:sz w:val="24"/>
          <w:szCs w:val="24"/>
        </w:rPr>
        <w:t>ork is underway to develop and test the framework.</w:t>
      </w:r>
      <w:r w:rsidR="008A307A" w:rsidRPr="002D3CD2">
        <w:rPr>
          <w:rStyle w:val="FootnoteReference"/>
          <w:rFonts w:ascii="Times New Roman" w:hAnsi="Times New Roman" w:cs="Times New Roman"/>
          <w:sz w:val="24"/>
          <w:szCs w:val="24"/>
        </w:rPr>
        <w:footnoteReference w:id="108"/>
      </w:r>
      <w:r w:rsidR="006C28DA" w:rsidRPr="002D3CD2">
        <w:rPr>
          <w:rFonts w:ascii="Times New Roman" w:hAnsi="Times New Roman" w:cs="Times New Roman"/>
          <w:sz w:val="24"/>
          <w:szCs w:val="24"/>
        </w:rPr>
        <w:t xml:space="preserve"> It is suggested that a similar, complementary exercise would be useful in the specific area of legal aid organisation.</w:t>
      </w:r>
      <w:r w:rsidR="00596161" w:rsidRPr="002D3CD2">
        <w:rPr>
          <w:rFonts w:ascii="Times New Roman" w:hAnsi="Times New Roman" w:cs="Times New Roman"/>
          <w:sz w:val="24"/>
          <w:szCs w:val="24"/>
        </w:rPr>
        <w:t xml:space="preserve"> </w:t>
      </w:r>
      <w:r w:rsidR="006C28DA" w:rsidRPr="002D3CD2">
        <w:rPr>
          <w:rFonts w:ascii="Times New Roman" w:hAnsi="Times New Roman" w:cs="Times New Roman"/>
          <w:sz w:val="24"/>
          <w:szCs w:val="24"/>
        </w:rPr>
        <w:t>A framework could be tested whilst being populated with data, much of which is already available in various discrete studies but which could be given further reach and relevance by such structure.</w:t>
      </w:r>
      <w:r w:rsidR="00596161" w:rsidRPr="002D3CD2">
        <w:rPr>
          <w:rFonts w:ascii="Times New Roman" w:hAnsi="Times New Roman" w:cs="Times New Roman"/>
          <w:sz w:val="24"/>
          <w:szCs w:val="24"/>
        </w:rPr>
        <w:t xml:space="preserve"> </w:t>
      </w:r>
      <w:r w:rsidR="006C28DA" w:rsidRPr="002D3CD2">
        <w:rPr>
          <w:rFonts w:ascii="Times New Roman" w:hAnsi="Times New Roman" w:cs="Times New Roman"/>
          <w:sz w:val="24"/>
          <w:szCs w:val="24"/>
        </w:rPr>
        <w:t>Current research would thus become more useful as an element in successful policy formulation.</w:t>
      </w:r>
      <w:r w:rsidR="00596161" w:rsidRPr="002D3CD2">
        <w:rPr>
          <w:rFonts w:ascii="Times New Roman" w:hAnsi="Times New Roman" w:cs="Times New Roman"/>
          <w:sz w:val="24"/>
          <w:szCs w:val="24"/>
        </w:rPr>
        <w:t xml:space="preserve"> </w:t>
      </w:r>
      <w:r w:rsidR="006842AF" w:rsidRPr="002D3CD2">
        <w:rPr>
          <w:rFonts w:ascii="Times New Roman" w:hAnsi="Times New Roman" w:cs="Times New Roman"/>
          <w:sz w:val="24"/>
          <w:szCs w:val="24"/>
        </w:rPr>
        <w:t xml:space="preserve">In </w:t>
      </w:r>
      <w:r w:rsidR="00A64EB2" w:rsidRPr="002D3CD2">
        <w:rPr>
          <w:rFonts w:ascii="Times New Roman" w:hAnsi="Times New Roman" w:cs="Times New Roman"/>
          <w:sz w:val="24"/>
          <w:szCs w:val="24"/>
        </w:rPr>
        <w:t xml:space="preserve">such a </w:t>
      </w:r>
      <w:r w:rsidR="006842AF" w:rsidRPr="002D3CD2">
        <w:rPr>
          <w:rFonts w:ascii="Times New Roman" w:hAnsi="Times New Roman" w:cs="Times New Roman"/>
          <w:sz w:val="24"/>
          <w:szCs w:val="24"/>
        </w:rPr>
        <w:t>develop</w:t>
      </w:r>
      <w:r w:rsidR="00A64EB2" w:rsidRPr="002D3CD2">
        <w:rPr>
          <w:rFonts w:ascii="Times New Roman" w:hAnsi="Times New Roman" w:cs="Times New Roman"/>
          <w:sz w:val="24"/>
          <w:szCs w:val="24"/>
        </w:rPr>
        <w:t xml:space="preserve">ment of </w:t>
      </w:r>
      <w:r w:rsidR="006842AF" w:rsidRPr="002D3CD2">
        <w:rPr>
          <w:rFonts w:ascii="Times New Roman" w:hAnsi="Times New Roman" w:cs="Times New Roman"/>
          <w:sz w:val="24"/>
          <w:szCs w:val="24"/>
        </w:rPr>
        <w:t xml:space="preserve">comparative methodology in legal aid, </w:t>
      </w:r>
      <w:r w:rsidR="006F4E31" w:rsidRPr="002D3CD2">
        <w:rPr>
          <w:rFonts w:ascii="Times New Roman" w:hAnsi="Times New Roman" w:cs="Times New Roman"/>
          <w:sz w:val="24"/>
          <w:szCs w:val="24"/>
        </w:rPr>
        <w:t xml:space="preserve">the measurement criteria proposed above will be useful and, in particular, consideration of fitness for environment, coherency and logic will assist in building a valuable framework. </w:t>
      </w:r>
    </w:p>
    <w:p w:rsidR="00AF07A6" w:rsidRDefault="00AF07A6">
      <w:pPr>
        <w:rPr>
          <w:rFonts w:ascii="Times New Roman" w:hAnsi="Times New Roman" w:cs="Times New Roman"/>
          <w:sz w:val="24"/>
          <w:szCs w:val="24"/>
        </w:rPr>
      </w:pPr>
      <w:r>
        <w:rPr>
          <w:rFonts w:ascii="Times New Roman" w:hAnsi="Times New Roman" w:cs="Times New Roman"/>
          <w:sz w:val="24"/>
          <w:szCs w:val="24"/>
        </w:rPr>
        <w:br w:type="page"/>
      </w:r>
    </w:p>
    <w:p w:rsidR="0016544F" w:rsidRPr="002D3CD2" w:rsidRDefault="0016544F" w:rsidP="002D3CD2">
      <w:pPr>
        <w:pStyle w:val="ListParagraph"/>
        <w:numPr>
          <w:ilvl w:val="1"/>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lastRenderedPageBreak/>
        <w:t>Proposal for a framework</w:t>
      </w:r>
    </w:p>
    <w:p w:rsidR="00927EEE" w:rsidRPr="002D3CD2" w:rsidRDefault="00927EEE" w:rsidP="002D3CD2">
      <w:pPr>
        <w:pStyle w:val="ListParagraph"/>
        <w:numPr>
          <w:ilvl w:val="2"/>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Overall structure</w:t>
      </w:r>
    </w:p>
    <w:p w:rsidR="004549FC" w:rsidRPr="002D3CD2" w:rsidRDefault="004549F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Existing research relevant to legal aid covers a variety of themes, including access to justice and human rights as well as lobbying and awareness-raising. There is also, inter alia, research on unmet legal needs and on outcomes of legal interventions. At present the various research threads remain largely separate but an interdisciplinary development of an analytical framework would enable them to be woven together into a more comprehensive and cohesive understanding of legal aid.</w:t>
      </w:r>
      <w:r w:rsidR="00596161" w:rsidRPr="002D3CD2">
        <w:rPr>
          <w:rFonts w:ascii="Times New Roman" w:hAnsi="Times New Roman" w:cs="Times New Roman"/>
          <w:sz w:val="24"/>
          <w:szCs w:val="24"/>
        </w:rPr>
        <w:t xml:space="preserve"> </w:t>
      </w:r>
      <w:r w:rsidR="001B7D6F" w:rsidRPr="002D3CD2">
        <w:rPr>
          <w:rFonts w:ascii="Times New Roman" w:hAnsi="Times New Roman" w:cs="Times New Roman"/>
          <w:sz w:val="24"/>
          <w:szCs w:val="24"/>
        </w:rPr>
        <w:t>In addition, the development of a framework would illuminate the gaps in understanding and suggest fruitful avenues for further research.</w:t>
      </w:r>
      <w:r w:rsidR="00596161" w:rsidRPr="002D3CD2">
        <w:rPr>
          <w:rFonts w:ascii="Times New Roman" w:hAnsi="Times New Roman" w:cs="Times New Roman"/>
          <w:sz w:val="24"/>
          <w:szCs w:val="24"/>
        </w:rPr>
        <w:t xml:space="preserve"> </w:t>
      </w:r>
      <w:r w:rsidR="001B7D6F" w:rsidRPr="002D3CD2">
        <w:rPr>
          <w:rFonts w:ascii="Times New Roman" w:hAnsi="Times New Roman" w:cs="Times New Roman"/>
          <w:sz w:val="24"/>
          <w:szCs w:val="24"/>
        </w:rPr>
        <w:t>The following is merely a tentative proposal for a framework, which invites comments and discussion.</w:t>
      </w:r>
    </w:p>
    <w:p w:rsidR="004549FC" w:rsidRPr="002D3CD2" w:rsidRDefault="001B7D6F"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To organise</w:t>
      </w:r>
      <w:r w:rsidR="004549FC" w:rsidRPr="002D3CD2">
        <w:rPr>
          <w:rFonts w:ascii="Times New Roman" w:hAnsi="Times New Roman" w:cs="Times New Roman"/>
          <w:sz w:val="24"/>
          <w:szCs w:val="24"/>
        </w:rPr>
        <w:t xml:space="preserve"> the variables identified by </w:t>
      </w:r>
      <w:r w:rsidR="000859B7" w:rsidRPr="002D3CD2">
        <w:rPr>
          <w:rFonts w:ascii="Times New Roman" w:hAnsi="Times New Roman" w:cs="Times New Roman"/>
          <w:sz w:val="24"/>
          <w:szCs w:val="24"/>
        </w:rPr>
        <w:t xml:space="preserve">the author’s </w:t>
      </w:r>
      <w:r w:rsidR="004549FC" w:rsidRPr="002D3CD2">
        <w:rPr>
          <w:rFonts w:ascii="Times New Roman" w:hAnsi="Times New Roman" w:cs="Times New Roman"/>
          <w:sz w:val="24"/>
          <w:szCs w:val="24"/>
        </w:rPr>
        <w:t xml:space="preserve">research into legal aid in the Nordic countries, the Republic of Ireland and the jurisdictions of the UK, four categories can be proposed, as illustrated below. </w:t>
      </w:r>
    </w:p>
    <w:p w:rsidR="004549FC" w:rsidRPr="002D3CD2" w:rsidRDefault="00550BF1" w:rsidP="002D3CD2">
      <w:pPr>
        <w:spacing w:after="0" w:line="360"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3302D136" wp14:editId="0E20D82A">
                <wp:simplePos x="0" y="0"/>
                <wp:positionH relativeFrom="column">
                  <wp:posOffset>1570008</wp:posOffset>
                </wp:positionH>
                <wp:positionV relativeFrom="paragraph">
                  <wp:posOffset>1214156</wp:posOffset>
                </wp:positionV>
                <wp:extent cx="431320" cy="560717"/>
                <wp:effectExtent l="76200" t="57150" r="26035" b="48895"/>
                <wp:wrapNone/>
                <wp:docPr id="16" name="Connector: Curved 16"/>
                <wp:cNvGraphicFramePr/>
                <a:graphic xmlns:a="http://schemas.openxmlformats.org/drawingml/2006/main">
                  <a:graphicData uri="http://schemas.microsoft.com/office/word/2010/wordprocessingShape">
                    <wps:wsp>
                      <wps:cNvCnPr/>
                      <wps:spPr>
                        <a:xfrm flipH="1">
                          <a:off x="0" y="0"/>
                          <a:ext cx="431320" cy="560717"/>
                        </a:xfrm>
                        <a:prstGeom prst="curvedConnector3">
                          <a:avLst>
                            <a:gd name="adj1" fmla="val 105982"/>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E5027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6" o:spid="_x0000_s1026" type="#_x0000_t38" style="position:absolute;margin-left:123.6pt;margin-top:95.6pt;width:33.95pt;height:44.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" adj="22892" strokecolor="black [3213]" strokeweight=".5pt">
                <v:stroke startarrow="block" endarrow="block" joinstyle="miter"/>
              </v:shape>
            </w:pict>
          </mc:Fallback>
        </mc:AlternateContent>
      </w:r>
      <w:r w:rsidR="00A06708" w:rsidRPr="002D3CD2">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1D118B0B" wp14:editId="450FD8EC">
                <wp:simplePos x="0" y="0"/>
                <wp:positionH relativeFrom="column">
                  <wp:posOffset>3441940</wp:posOffset>
                </wp:positionH>
                <wp:positionV relativeFrom="paragraph">
                  <wp:posOffset>713824</wp:posOffset>
                </wp:positionV>
                <wp:extent cx="319177" cy="517585"/>
                <wp:effectExtent l="0" t="57150" r="100330" b="53975"/>
                <wp:wrapNone/>
                <wp:docPr id="12" name="Connector: Curved 12"/>
                <wp:cNvGraphicFramePr/>
                <a:graphic xmlns:a="http://schemas.openxmlformats.org/drawingml/2006/main">
                  <a:graphicData uri="http://schemas.microsoft.com/office/word/2010/wordprocessingShape">
                    <wps:wsp>
                      <wps:cNvCnPr/>
                      <wps:spPr>
                        <a:xfrm>
                          <a:off x="0" y="0"/>
                          <a:ext cx="319177" cy="517585"/>
                        </a:xfrm>
                        <a:prstGeom prst="curvedConnector3">
                          <a:avLst>
                            <a:gd name="adj1" fmla="val 109396"/>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1DBC8" id="Connector: Curved 12" o:spid="_x0000_s1026" type="#_x0000_t38" style="position:absolute;margin-left:271pt;margin-top:56.2pt;width:25.15pt;height:40.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" adj="23630" strokecolor="black [3213]" strokeweight=".5pt">
                <v:stroke startarrow="block" endarrow="block" joinstyle="miter"/>
              </v:shape>
            </w:pict>
          </mc:Fallback>
        </mc:AlternateContent>
      </w:r>
      <w:r w:rsidR="00A06708" w:rsidRPr="002D3CD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C01AADB" wp14:editId="37045439">
                <wp:simplePos x="0" y="0"/>
                <wp:positionH relativeFrom="column">
                  <wp:posOffset>2251494</wp:posOffset>
                </wp:positionH>
                <wp:positionV relativeFrom="paragraph">
                  <wp:posOffset>291130</wp:posOffset>
                </wp:positionV>
                <wp:extent cx="276046" cy="465826"/>
                <wp:effectExtent l="76200" t="57150" r="10160" b="48895"/>
                <wp:wrapNone/>
                <wp:docPr id="10" name="Connector: Curved 10"/>
                <wp:cNvGraphicFramePr/>
                <a:graphic xmlns:a="http://schemas.openxmlformats.org/drawingml/2006/main">
                  <a:graphicData uri="http://schemas.microsoft.com/office/word/2010/wordprocessingShape">
                    <wps:wsp>
                      <wps:cNvCnPr/>
                      <wps:spPr>
                        <a:xfrm flipH="1">
                          <a:off x="0" y="0"/>
                          <a:ext cx="276046" cy="465826"/>
                        </a:xfrm>
                        <a:prstGeom prst="curvedConnector3">
                          <a:avLst>
                            <a:gd name="adj1" fmla="val 99917"/>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4CA3BD" id="Connector: Curved 10" o:spid="_x0000_s1026" type="#_x0000_t38" style="position:absolute;margin-left:177.3pt;margin-top:22.9pt;width:21.75pt;height:36.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" adj="21582" strokecolor="black [3213]" strokeweight=".5pt">
                <v:stroke startarrow="block" endarrow="block" joinstyle="miter"/>
              </v:shape>
            </w:pict>
          </mc:Fallback>
        </mc:AlternateContent>
      </w:r>
      <w:r w:rsidR="004549FC" w:rsidRPr="002D3CD2">
        <w:rPr>
          <w:rFonts w:ascii="Times New Roman" w:hAnsi="Times New Roman" w:cs="Times New Roman"/>
          <w:noProof/>
          <w:sz w:val="24"/>
          <w:szCs w:val="24"/>
          <w:lang w:eastAsia="en-GB"/>
        </w:rPr>
        <w:drawing>
          <wp:inline distT="0" distB="0" distL="0" distR="0" wp14:anchorId="3C1FDF2E" wp14:editId="2DC1C4B3">
            <wp:extent cx="2721254" cy="1989734"/>
            <wp:effectExtent l="0" t="0" r="31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549FC" w:rsidRPr="002D3CD2" w:rsidRDefault="004549FC" w:rsidP="002D3CD2">
      <w:pPr>
        <w:spacing w:after="240" w:line="360" w:lineRule="auto"/>
        <w:jc w:val="center"/>
        <w:rPr>
          <w:rFonts w:ascii="Times New Roman" w:hAnsi="Times New Roman" w:cs="Times New Roman"/>
          <w:sz w:val="24"/>
          <w:szCs w:val="24"/>
        </w:rPr>
      </w:pPr>
    </w:p>
    <w:p w:rsidR="004549FC" w:rsidRPr="002D3CD2" w:rsidRDefault="004549F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Three of these group</w:t>
      </w:r>
      <w:r w:rsidR="000859B7" w:rsidRPr="002D3CD2">
        <w:rPr>
          <w:rFonts w:ascii="Times New Roman" w:hAnsi="Times New Roman" w:cs="Times New Roman"/>
          <w:sz w:val="24"/>
          <w:szCs w:val="24"/>
        </w:rPr>
        <w:t>ings</w:t>
      </w:r>
      <w:r w:rsidRPr="002D3CD2">
        <w:rPr>
          <w:rFonts w:ascii="Times New Roman" w:hAnsi="Times New Roman" w:cs="Times New Roman"/>
          <w:sz w:val="24"/>
          <w:szCs w:val="24"/>
        </w:rPr>
        <w:t xml:space="preserve"> are internal to legal aid and represent the choices which can be made in creating a scheme, at three different levels. The highest level is the establishment of underlying principles; these may be expressly determined by </w:t>
      </w:r>
      <w:r w:rsidR="001B7D6F" w:rsidRPr="002D3CD2">
        <w:rPr>
          <w:rFonts w:ascii="Times New Roman" w:hAnsi="Times New Roman" w:cs="Times New Roman"/>
          <w:sz w:val="24"/>
          <w:szCs w:val="24"/>
        </w:rPr>
        <w:t>the state</w:t>
      </w:r>
      <w:r w:rsidRPr="002D3CD2">
        <w:rPr>
          <w:rFonts w:ascii="Times New Roman" w:hAnsi="Times New Roman" w:cs="Times New Roman"/>
          <w:sz w:val="24"/>
          <w:szCs w:val="24"/>
        </w:rPr>
        <w:t xml:space="preserve"> or may only be discernible by implication from the next category, policy choices. </w:t>
      </w:r>
      <w:r w:rsidR="000859B7" w:rsidRPr="002D3CD2">
        <w:rPr>
          <w:rFonts w:ascii="Times New Roman" w:hAnsi="Times New Roman" w:cs="Times New Roman"/>
          <w:sz w:val="24"/>
          <w:szCs w:val="24"/>
        </w:rPr>
        <w:t>The contents of this second category</w:t>
      </w:r>
      <w:r w:rsidRPr="002D3CD2">
        <w:rPr>
          <w:rFonts w:ascii="Times New Roman" w:hAnsi="Times New Roman" w:cs="Times New Roman"/>
          <w:sz w:val="24"/>
          <w:szCs w:val="24"/>
        </w:rPr>
        <w:t xml:space="preserve"> are, ideally, consistent with the underlying principles, and largely derive from them. However, it may be that there is conflict between the stated ideals of a legal aid system and the policies which determine the reach of the scheme in practice</w:t>
      </w:r>
      <w:r w:rsidR="001B7D6F" w:rsidRPr="002D3CD2">
        <w:rPr>
          <w:rFonts w:ascii="Times New Roman" w:hAnsi="Times New Roman" w:cs="Times New Roman"/>
          <w:sz w:val="24"/>
          <w:szCs w:val="24"/>
        </w:rPr>
        <w:t>, as seen above</w:t>
      </w:r>
      <w:r w:rsidRPr="002D3CD2">
        <w:rPr>
          <w:rFonts w:ascii="Times New Roman" w:hAnsi="Times New Roman" w:cs="Times New Roman"/>
          <w:sz w:val="24"/>
          <w:szCs w:val="24"/>
        </w:rPr>
        <w:t xml:space="preserve">. The lowest level of </w:t>
      </w:r>
      <w:r w:rsidR="000859B7" w:rsidRPr="002D3CD2">
        <w:rPr>
          <w:rFonts w:ascii="Times New Roman" w:hAnsi="Times New Roman" w:cs="Times New Roman"/>
          <w:sz w:val="24"/>
          <w:szCs w:val="24"/>
        </w:rPr>
        <w:t>the pyramid</w:t>
      </w:r>
      <w:r w:rsidR="00550BF1" w:rsidRPr="002D3CD2">
        <w:rPr>
          <w:rFonts w:ascii="Times New Roman" w:hAnsi="Times New Roman" w:cs="Times New Roman"/>
          <w:sz w:val="24"/>
          <w:szCs w:val="24"/>
        </w:rPr>
        <w:t xml:space="preserve"> which relates </w:t>
      </w:r>
      <w:r w:rsidR="00722093" w:rsidRPr="002D3CD2">
        <w:rPr>
          <w:rFonts w:ascii="Times New Roman" w:hAnsi="Times New Roman" w:cs="Times New Roman"/>
          <w:sz w:val="24"/>
          <w:szCs w:val="24"/>
        </w:rPr>
        <w:t>exclusively</w:t>
      </w:r>
      <w:r w:rsidR="00550BF1" w:rsidRPr="002D3CD2">
        <w:rPr>
          <w:rFonts w:ascii="Times New Roman" w:hAnsi="Times New Roman" w:cs="Times New Roman"/>
          <w:sz w:val="24"/>
          <w:szCs w:val="24"/>
        </w:rPr>
        <w:t xml:space="preserve"> to legal aid</w:t>
      </w:r>
      <w:r w:rsidRPr="002D3CD2">
        <w:rPr>
          <w:rFonts w:ascii="Times New Roman" w:hAnsi="Times New Roman" w:cs="Times New Roman"/>
          <w:sz w:val="24"/>
          <w:szCs w:val="24"/>
        </w:rPr>
        <w:t xml:space="preserve"> is the practical delivery methods. These</w:t>
      </w:r>
      <w:r w:rsidR="000859B7" w:rsidRPr="002D3CD2">
        <w:rPr>
          <w:rFonts w:ascii="Times New Roman" w:hAnsi="Times New Roman" w:cs="Times New Roman"/>
          <w:sz w:val="24"/>
          <w:szCs w:val="24"/>
        </w:rPr>
        <w:t xml:space="preserve"> generally</w:t>
      </w:r>
      <w:r w:rsidRPr="002D3CD2">
        <w:rPr>
          <w:rFonts w:ascii="Times New Roman" w:hAnsi="Times New Roman" w:cs="Times New Roman"/>
          <w:sz w:val="24"/>
          <w:szCs w:val="24"/>
        </w:rPr>
        <w:t xml:space="preserve"> have little connection to the theoretical basis of the scheme but may be dictated to a greater or lesser extent by policy choices. Again, ideally there should be a </w:t>
      </w:r>
      <w:r w:rsidRPr="002D3CD2">
        <w:rPr>
          <w:rFonts w:ascii="Times New Roman" w:hAnsi="Times New Roman" w:cs="Times New Roman"/>
          <w:sz w:val="24"/>
          <w:szCs w:val="24"/>
        </w:rPr>
        <w:lastRenderedPageBreak/>
        <w:t xml:space="preserve">logical harmony between the policy choices and practical delivery methods. The fourth and final category of variable is the elements making up the structural, societal and economic context of the legal aid scheme. Whilst this is not chosen by legal aid policy-makers, it </w:t>
      </w:r>
      <w:r w:rsidR="001B7D6F" w:rsidRPr="002D3CD2">
        <w:rPr>
          <w:rFonts w:ascii="Times New Roman" w:hAnsi="Times New Roman" w:cs="Times New Roman"/>
          <w:sz w:val="24"/>
          <w:szCs w:val="24"/>
        </w:rPr>
        <w:t>is</w:t>
      </w:r>
      <w:r w:rsidRPr="002D3CD2">
        <w:rPr>
          <w:rFonts w:ascii="Times New Roman" w:hAnsi="Times New Roman" w:cs="Times New Roman"/>
          <w:sz w:val="24"/>
          <w:szCs w:val="24"/>
        </w:rPr>
        <w:t xml:space="preserve"> highly relevant. In addition to identifying the constituent elements in these four categories, an understanding of the theoretical and practical links between them should be included as part of the framework. Choices</w:t>
      </w:r>
      <w:r w:rsidR="001B7D6F" w:rsidRPr="002D3CD2">
        <w:rPr>
          <w:rFonts w:ascii="Times New Roman" w:hAnsi="Times New Roman" w:cs="Times New Roman"/>
          <w:sz w:val="24"/>
          <w:szCs w:val="24"/>
        </w:rPr>
        <w:t xml:space="preserve"> or changes</w:t>
      </w:r>
      <w:r w:rsidRPr="002D3CD2">
        <w:rPr>
          <w:rFonts w:ascii="Times New Roman" w:hAnsi="Times New Roman" w:cs="Times New Roman"/>
          <w:sz w:val="24"/>
          <w:szCs w:val="24"/>
        </w:rPr>
        <w:t xml:space="preserve"> at any level may have consequences for other elements in the same or other</w:t>
      </w:r>
      <w:r w:rsidR="00DA3992" w:rsidRPr="002D3CD2">
        <w:rPr>
          <w:rFonts w:ascii="Times New Roman" w:hAnsi="Times New Roman" w:cs="Times New Roman"/>
          <w:sz w:val="24"/>
          <w:szCs w:val="24"/>
        </w:rPr>
        <w:t xml:space="preserve"> categories, either mandating an alteration </w:t>
      </w:r>
      <w:r w:rsidRPr="002D3CD2">
        <w:rPr>
          <w:rFonts w:ascii="Times New Roman" w:hAnsi="Times New Roman" w:cs="Times New Roman"/>
          <w:sz w:val="24"/>
          <w:szCs w:val="24"/>
        </w:rPr>
        <w:t xml:space="preserve">elsewhere in the system or </w:t>
      </w:r>
      <w:r w:rsidR="000859B7" w:rsidRPr="002D3CD2">
        <w:rPr>
          <w:rFonts w:ascii="Times New Roman" w:hAnsi="Times New Roman" w:cs="Times New Roman"/>
          <w:sz w:val="24"/>
          <w:szCs w:val="24"/>
        </w:rPr>
        <w:t>creating</w:t>
      </w:r>
      <w:r w:rsidRPr="002D3CD2">
        <w:rPr>
          <w:rFonts w:ascii="Times New Roman" w:hAnsi="Times New Roman" w:cs="Times New Roman"/>
          <w:sz w:val="24"/>
          <w:szCs w:val="24"/>
        </w:rPr>
        <w:t xml:space="preserve"> logical inconsistency.</w:t>
      </w:r>
    </w:p>
    <w:p w:rsidR="004549FC" w:rsidRPr="002D3CD2" w:rsidRDefault="004549FC"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More research is needed, encompassing more jurisdictions and, importantly, other disciplines beyond administrative and public law. Nonetheless, a provisional attempt can be made to list some of the constituent elements of each category. The following section aims only to describe the outline of each category; a small start to the considerable work which is needed in the field.</w:t>
      </w:r>
    </w:p>
    <w:p w:rsidR="00927EEE" w:rsidRPr="002D3CD2" w:rsidRDefault="00927EEE" w:rsidP="002D3CD2">
      <w:pPr>
        <w:pStyle w:val="ListParagraph"/>
        <w:numPr>
          <w:ilvl w:val="2"/>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Guiding principles</w:t>
      </w:r>
    </w:p>
    <w:p w:rsidR="00DA3992" w:rsidRPr="002D3CD2" w:rsidRDefault="00DA399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Each of the suggested guiding principles of a legal aid scheme can usefully be envisaged as a position on a spectrum: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1570"/>
        <w:gridCol w:w="3167"/>
      </w:tblGrid>
      <w:tr w:rsidR="00E95D12" w:rsidRPr="002D3CD2" w:rsidTr="005C15F6">
        <w:trPr>
          <w:jc w:val="center"/>
        </w:trPr>
        <w:tc>
          <w:tcPr>
            <w:tcW w:w="7923" w:type="dxa"/>
            <w:gridSpan w:val="3"/>
            <w:tcBorders>
              <w:bottom w:val="single" w:sz="4" w:space="0" w:color="auto"/>
            </w:tcBorders>
            <w:vAlign w:val="center"/>
          </w:tcPr>
          <w:p w:rsidR="00E95D12" w:rsidRPr="0036664D" w:rsidRDefault="00E95D12" w:rsidP="00D36D84">
            <w:pPr>
              <w:spacing w:before="100" w:after="100" w:line="276" w:lineRule="auto"/>
              <w:jc w:val="center"/>
              <w:rPr>
                <w:rFonts w:ascii="Times New Roman" w:hAnsi="Times New Roman" w:cs="Times New Roman"/>
                <w:b/>
                <w:i/>
                <w:sz w:val="24"/>
                <w:szCs w:val="24"/>
              </w:rPr>
            </w:pPr>
            <w:r w:rsidRPr="0036664D">
              <w:rPr>
                <w:rFonts w:ascii="Times New Roman" w:hAnsi="Times New Roman" w:cs="Times New Roman"/>
                <w:b/>
                <w:i/>
                <w:sz w:val="24"/>
                <w:szCs w:val="24"/>
              </w:rPr>
              <w:t>Spectrum of positions</w:t>
            </w:r>
            <w:r w:rsidR="005C15F6" w:rsidRPr="0036664D">
              <w:rPr>
                <w:rFonts w:ascii="Times New Roman" w:hAnsi="Times New Roman" w:cs="Times New Roman"/>
                <w:b/>
                <w:i/>
                <w:sz w:val="24"/>
                <w:szCs w:val="24"/>
              </w:rPr>
              <w:t xml:space="preserve"> of principle</w:t>
            </w:r>
          </w:p>
        </w:tc>
      </w:tr>
      <w:tr w:rsidR="00E95D12" w:rsidRPr="002D3CD2" w:rsidTr="005C15F6">
        <w:trPr>
          <w:jc w:val="center"/>
        </w:trPr>
        <w:tc>
          <w:tcPr>
            <w:tcW w:w="3186"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Commitment to the rule of law and the principle of fair tr</w:t>
            </w:r>
            <w:r w:rsidR="005237E9" w:rsidRPr="002D3CD2">
              <w:rPr>
                <w:rFonts w:ascii="Times New Roman" w:hAnsi="Times New Roman" w:cs="Times New Roman"/>
                <w:sz w:val="24"/>
                <w:szCs w:val="24"/>
              </w:rPr>
              <w:t>ia</w:t>
            </w:r>
            <w:r w:rsidRPr="002D3CD2">
              <w:rPr>
                <w:rFonts w:ascii="Times New Roman" w:hAnsi="Times New Roman" w:cs="Times New Roman"/>
                <w:sz w:val="24"/>
                <w:szCs w:val="24"/>
              </w:rPr>
              <w:t>l</w:t>
            </w:r>
          </w:p>
        </w:tc>
        <w:tc>
          <w:tcPr>
            <w:tcW w:w="1570"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7DA3CA76" wp14:editId="0F9AFCFE">
                  <wp:extent cx="859790" cy="213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Commitment to fulfilling only constitutional and international obligations concerning legal aid</w:t>
            </w:r>
          </w:p>
        </w:tc>
      </w:tr>
      <w:tr w:rsidR="00E95D12" w:rsidRPr="002D3CD2" w:rsidTr="005C15F6">
        <w:trPr>
          <w:jc w:val="center"/>
        </w:trPr>
        <w:tc>
          <w:tcPr>
            <w:tcW w:w="3186"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a justice issue</w:t>
            </w:r>
          </w:p>
        </w:tc>
        <w:tc>
          <w:tcPr>
            <w:tcW w:w="1570"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47E853F2" wp14:editId="36E9432E">
                  <wp:extent cx="85979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a social issue</w:t>
            </w:r>
          </w:p>
        </w:tc>
      </w:tr>
      <w:tr w:rsidR="00E95D12" w:rsidRPr="002D3CD2" w:rsidTr="005C15F6">
        <w:trPr>
          <w:jc w:val="center"/>
        </w:trPr>
        <w:tc>
          <w:tcPr>
            <w:tcW w:w="3186"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part of the justice system</w:t>
            </w:r>
          </w:p>
        </w:tc>
        <w:tc>
          <w:tcPr>
            <w:tcW w:w="1570"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2DC31481" wp14:editId="2FF655B5">
                  <wp:extent cx="85979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about access to the justice system, but is itself ancillary to it</w:t>
            </w:r>
          </w:p>
        </w:tc>
      </w:tr>
      <w:tr w:rsidR="007F6936" w:rsidRPr="002D3CD2" w:rsidTr="005C15F6">
        <w:trPr>
          <w:jc w:val="center"/>
        </w:trPr>
        <w:tc>
          <w:tcPr>
            <w:tcW w:w="3186"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the main element of access to justice</w:t>
            </w:r>
          </w:p>
        </w:tc>
        <w:tc>
          <w:tcPr>
            <w:tcW w:w="1570"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1842C71D" wp14:editId="54DD6C84">
                  <wp:extent cx="85979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Legal aid is a minor player in access to justice</w:t>
            </w:r>
          </w:p>
        </w:tc>
      </w:tr>
      <w:tr w:rsidR="007F6936" w:rsidRPr="002D3CD2" w:rsidTr="005C15F6">
        <w:trPr>
          <w:jc w:val="center"/>
        </w:trPr>
        <w:tc>
          <w:tcPr>
            <w:tcW w:w="3186"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Costs control is paramount</w:t>
            </w:r>
          </w:p>
        </w:tc>
        <w:tc>
          <w:tcPr>
            <w:tcW w:w="1570"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4D98DAA5" wp14:editId="7C08CBD9">
                  <wp:extent cx="85979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Independent decision-making is paramount</w:t>
            </w:r>
          </w:p>
        </w:tc>
      </w:tr>
      <w:tr w:rsidR="007F6936" w:rsidRPr="002D3CD2" w:rsidTr="005C15F6">
        <w:trPr>
          <w:jc w:val="center"/>
        </w:trPr>
        <w:tc>
          <w:tcPr>
            <w:tcW w:w="3186"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Selection for assistance can best be achieved efficiently by categorising cases</w:t>
            </w:r>
          </w:p>
        </w:tc>
        <w:tc>
          <w:tcPr>
            <w:tcW w:w="1570"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788130D9" wp14:editId="0F3C0021">
                  <wp:extent cx="85979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Selection for assistance must be individualised so that those who need help are identified</w:t>
            </w:r>
          </w:p>
        </w:tc>
      </w:tr>
      <w:tr w:rsidR="007F6936" w:rsidRPr="002D3CD2" w:rsidTr="005C15F6">
        <w:trPr>
          <w:jc w:val="center"/>
        </w:trPr>
        <w:tc>
          <w:tcPr>
            <w:tcW w:w="3186"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lastRenderedPageBreak/>
              <w:t>Commitment to the principles of ‘innocent until proven guilty’ and the right to a defence</w:t>
            </w:r>
          </w:p>
        </w:tc>
        <w:tc>
          <w:tcPr>
            <w:tcW w:w="1570"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0BDD98E1" wp14:editId="4F3EADA1">
                  <wp:extent cx="859790" cy="213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Willingness to make those with means pay to realise these rights</w:t>
            </w:r>
          </w:p>
        </w:tc>
      </w:tr>
      <w:tr w:rsidR="007F6936" w:rsidRPr="002D3CD2" w:rsidTr="005C15F6">
        <w:trPr>
          <w:jc w:val="center"/>
        </w:trPr>
        <w:tc>
          <w:tcPr>
            <w:tcW w:w="3186"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Budget generous and flexible</w:t>
            </w:r>
          </w:p>
        </w:tc>
        <w:tc>
          <w:tcPr>
            <w:tcW w:w="1570"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3297D4AD" wp14:editId="05C6CCDD">
                  <wp:extent cx="859790" cy="21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3167" w:type="dxa"/>
            <w:tcBorders>
              <w:top w:val="single" w:sz="4" w:space="0" w:color="auto"/>
              <w:bottom w:val="single" w:sz="4" w:space="0" w:color="auto"/>
            </w:tcBorders>
            <w:vAlign w:val="center"/>
          </w:tcPr>
          <w:p w:rsidR="007F6936"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Budget low and fixed</w:t>
            </w:r>
          </w:p>
        </w:tc>
      </w:tr>
    </w:tbl>
    <w:p w:rsidR="00E95D12" w:rsidRPr="002D3CD2" w:rsidRDefault="00E95D12" w:rsidP="002D3CD2">
      <w:pPr>
        <w:spacing w:line="360" w:lineRule="auto"/>
        <w:jc w:val="both"/>
        <w:rPr>
          <w:rFonts w:ascii="Times New Roman" w:hAnsi="Times New Roman" w:cs="Times New Roman"/>
          <w:sz w:val="24"/>
          <w:szCs w:val="24"/>
        </w:rPr>
      </w:pPr>
    </w:p>
    <w:p w:rsidR="005237E9" w:rsidRPr="002D3CD2" w:rsidRDefault="00927EEE" w:rsidP="002D3CD2">
      <w:pPr>
        <w:pStyle w:val="ListParagraph"/>
        <w:numPr>
          <w:ilvl w:val="2"/>
          <w:numId w:val="2"/>
        </w:numPr>
        <w:spacing w:line="360" w:lineRule="auto"/>
        <w:rPr>
          <w:rFonts w:ascii="Times New Roman" w:hAnsi="Times New Roman" w:cs="Times New Roman"/>
          <w:sz w:val="24"/>
          <w:szCs w:val="24"/>
        </w:rPr>
      </w:pPr>
      <w:r w:rsidRPr="002D3CD2">
        <w:rPr>
          <w:rFonts w:ascii="Times New Roman" w:hAnsi="Times New Roman" w:cs="Times New Roman"/>
          <w:sz w:val="24"/>
          <w:szCs w:val="24"/>
        </w:rPr>
        <w:t>Policy choices</w:t>
      </w:r>
    </w:p>
    <w:p w:rsidR="00E95D12" w:rsidRPr="002D3CD2" w:rsidRDefault="005C15F6"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Following on from these decisions of principle, policy must be determined.</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Again, policy decisions are not generally binary choices but can be placed on a scale:</w:t>
      </w:r>
    </w:p>
    <w:tbl>
      <w:tblPr>
        <w:tblStyle w:val="TableGrid"/>
        <w:tblW w:w="7938" w:type="dxa"/>
        <w:tblInd w:w="67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874"/>
        <w:gridCol w:w="2345"/>
        <w:gridCol w:w="2719"/>
      </w:tblGrid>
      <w:tr w:rsidR="007F6936" w:rsidRPr="002D3CD2" w:rsidTr="008A24F9">
        <w:tc>
          <w:tcPr>
            <w:tcW w:w="7938" w:type="dxa"/>
            <w:gridSpan w:val="3"/>
            <w:vAlign w:val="center"/>
          </w:tcPr>
          <w:p w:rsidR="00E95D12" w:rsidRPr="0036664D" w:rsidRDefault="00E95D12" w:rsidP="00D36D84">
            <w:pPr>
              <w:spacing w:before="100" w:after="100" w:line="276" w:lineRule="auto"/>
              <w:jc w:val="center"/>
              <w:rPr>
                <w:rFonts w:ascii="Times New Roman" w:hAnsi="Times New Roman" w:cs="Times New Roman"/>
                <w:b/>
                <w:i/>
                <w:sz w:val="24"/>
                <w:szCs w:val="24"/>
              </w:rPr>
            </w:pPr>
            <w:r w:rsidRPr="0036664D">
              <w:rPr>
                <w:rFonts w:ascii="Times New Roman" w:hAnsi="Times New Roman" w:cs="Times New Roman"/>
                <w:b/>
                <w:i/>
                <w:sz w:val="24"/>
                <w:szCs w:val="24"/>
              </w:rPr>
              <w:t>Choice on policy</w:t>
            </w:r>
          </w:p>
        </w:tc>
      </w:tr>
      <w:tr w:rsidR="007F6936" w:rsidRPr="002D3CD2" w:rsidTr="008A24F9">
        <w:tc>
          <w:tcPr>
            <w:tcW w:w="2874" w:type="dxa"/>
            <w:vAlign w:val="center"/>
          </w:tcPr>
          <w:p w:rsidR="00E95D12"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w:t>
            </w:r>
            <w:r w:rsidR="00E95D12" w:rsidRPr="002D3CD2">
              <w:rPr>
                <w:rFonts w:ascii="Times New Roman" w:hAnsi="Times New Roman" w:cs="Times New Roman"/>
                <w:sz w:val="24"/>
                <w:szCs w:val="24"/>
              </w:rPr>
              <w:t xml:space="preserve">egal aid </w:t>
            </w:r>
            <w:r w:rsidRPr="002D3CD2">
              <w:rPr>
                <w:rFonts w:ascii="Times New Roman" w:hAnsi="Times New Roman" w:cs="Times New Roman"/>
                <w:sz w:val="24"/>
                <w:szCs w:val="24"/>
              </w:rPr>
              <w:t xml:space="preserve">decisions </w:t>
            </w:r>
            <w:r w:rsidR="005237E9" w:rsidRPr="002D3CD2">
              <w:rPr>
                <w:rFonts w:ascii="Times New Roman" w:hAnsi="Times New Roman" w:cs="Times New Roman"/>
                <w:sz w:val="24"/>
                <w:szCs w:val="24"/>
              </w:rPr>
              <w:t>by courts</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36ADEFDC" wp14:editId="49D79FE4">
                  <wp:extent cx="859790" cy="213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E95D12" w:rsidRPr="002D3CD2" w:rsidRDefault="007F6936"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w:t>
            </w:r>
            <w:r w:rsidR="00E95D12" w:rsidRPr="002D3CD2">
              <w:rPr>
                <w:rFonts w:ascii="Times New Roman" w:hAnsi="Times New Roman" w:cs="Times New Roman"/>
                <w:sz w:val="24"/>
                <w:szCs w:val="24"/>
              </w:rPr>
              <w:t xml:space="preserve">egal aid </w:t>
            </w:r>
            <w:r w:rsidRPr="002D3CD2">
              <w:rPr>
                <w:rFonts w:ascii="Times New Roman" w:hAnsi="Times New Roman" w:cs="Times New Roman"/>
                <w:sz w:val="24"/>
                <w:szCs w:val="24"/>
              </w:rPr>
              <w:t xml:space="preserve">decisions </w:t>
            </w:r>
            <w:r w:rsidR="005237E9" w:rsidRPr="002D3CD2">
              <w:rPr>
                <w:rFonts w:ascii="Times New Roman" w:hAnsi="Times New Roman" w:cs="Times New Roman"/>
                <w:sz w:val="24"/>
                <w:szCs w:val="24"/>
              </w:rPr>
              <w:t>by</w:t>
            </w:r>
            <w:r w:rsidR="00E95D12" w:rsidRPr="002D3CD2">
              <w:rPr>
                <w:rFonts w:ascii="Times New Roman" w:hAnsi="Times New Roman" w:cs="Times New Roman"/>
                <w:sz w:val="24"/>
                <w:szCs w:val="24"/>
              </w:rPr>
              <w:t xml:space="preserve"> government</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Independent appeal and/or oversight</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701DC6EA" wp14:editId="4164FE16">
                  <wp:extent cx="859790"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Internal review/appeal</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 xml:space="preserve">Focus on advice </w:t>
            </w:r>
            <w:r w:rsidR="007F6936" w:rsidRPr="002D3CD2">
              <w:rPr>
                <w:rFonts w:ascii="Times New Roman" w:hAnsi="Times New Roman" w:cs="Times New Roman"/>
                <w:sz w:val="24"/>
                <w:szCs w:val="24"/>
              </w:rPr>
              <w:t xml:space="preserve">and </w:t>
            </w:r>
            <w:r w:rsidRPr="002D3CD2">
              <w:rPr>
                <w:rFonts w:ascii="Times New Roman" w:hAnsi="Times New Roman" w:cs="Times New Roman"/>
                <w:sz w:val="24"/>
                <w:szCs w:val="24"/>
              </w:rPr>
              <w:t>assistance</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5A746E3A" wp14:editId="3FB597EA">
                  <wp:extent cx="859790"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Focus on court representation</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 xml:space="preserve">Legal aid should cover all </w:t>
            </w:r>
            <w:r w:rsidR="007F6936" w:rsidRPr="002D3CD2">
              <w:rPr>
                <w:rFonts w:ascii="Times New Roman" w:hAnsi="Times New Roman" w:cs="Times New Roman"/>
                <w:sz w:val="24"/>
                <w:szCs w:val="24"/>
              </w:rPr>
              <w:t xml:space="preserve">case </w:t>
            </w:r>
            <w:r w:rsidRPr="002D3CD2">
              <w:rPr>
                <w:rFonts w:ascii="Times New Roman" w:hAnsi="Times New Roman" w:cs="Times New Roman"/>
                <w:sz w:val="24"/>
                <w:szCs w:val="24"/>
              </w:rPr>
              <w:t xml:space="preserve">types </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3491B49D" wp14:editId="54CAC53F">
                  <wp:extent cx="85979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 xml:space="preserve">Legal aid should cover few </w:t>
            </w:r>
            <w:r w:rsidR="007F6936" w:rsidRPr="002D3CD2">
              <w:rPr>
                <w:rFonts w:ascii="Times New Roman" w:hAnsi="Times New Roman" w:cs="Times New Roman"/>
                <w:sz w:val="24"/>
                <w:szCs w:val="24"/>
              </w:rPr>
              <w:t xml:space="preserve">case </w:t>
            </w:r>
            <w:r w:rsidRPr="002D3CD2">
              <w:rPr>
                <w:rFonts w:ascii="Times New Roman" w:hAnsi="Times New Roman" w:cs="Times New Roman"/>
                <w:sz w:val="24"/>
                <w:szCs w:val="24"/>
              </w:rPr>
              <w:t xml:space="preserve">types </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Public defender scheme</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or</w:t>
            </w: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Criminal legal aid</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No reliance on merits test</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01FDF668" wp14:editId="06E29235">
                  <wp:extent cx="859790" cy="213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p w:rsidR="00E95D12" w:rsidRPr="002D3CD2" w:rsidRDefault="00E95D12" w:rsidP="00D36D84">
            <w:pPr>
              <w:spacing w:before="100" w:after="100" w:line="276" w:lineRule="auto"/>
              <w:jc w:val="center"/>
              <w:rPr>
                <w:rFonts w:ascii="Times New Roman" w:hAnsi="Times New Roman" w:cs="Times New Roman"/>
                <w:sz w:val="24"/>
                <w:szCs w:val="24"/>
              </w:rPr>
            </w:pP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Significant reliance on merits test</w:t>
            </w:r>
          </w:p>
        </w:tc>
      </w:tr>
      <w:tr w:rsidR="007F6936" w:rsidRPr="002D3CD2" w:rsidTr="008A24F9">
        <w:tc>
          <w:tcPr>
            <w:tcW w:w="2874"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High percentage of population financially eligible</w:t>
            </w:r>
          </w:p>
        </w:tc>
        <w:tc>
          <w:tcPr>
            <w:tcW w:w="2345"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3D0FA4FE" wp14:editId="1C39756A">
                  <wp:extent cx="859790" cy="213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E95D12" w:rsidRPr="002D3CD2" w:rsidRDefault="00E95D12"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Low percentage of population financially eligible</w:t>
            </w:r>
          </w:p>
        </w:tc>
      </w:tr>
      <w:tr w:rsidR="00B37FC5" w:rsidRPr="002D3CD2" w:rsidTr="008A24F9">
        <w:tc>
          <w:tcPr>
            <w:tcW w:w="2874" w:type="dxa"/>
            <w:vAlign w:val="center"/>
          </w:tcPr>
          <w:p w:rsidR="00B37FC5" w:rsidRPr="002D3CD2" w:rsidRDefault="00B37FC5"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Universal contributions towards legal aid</w:t>
            </w:r>
          </w:p>
        </w:tc>
        <w:tc>
          <w:tcPr>
            <w:tcW w:w="2345" w:type="dxa"/>
            <w:vAlign w:val="center"/>
          </w:tcPr>
          <w:p w:rsidR="00B37FC5" w:rsidRPr="002D3CD2" w:rsidRDefault="00B37FC5"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noProof/>
                <w:sz w:val="24"/>
                <w:szCs w:val="24"/>
                <w:lang w:eastAsia="en-GB"/>
              </w:rPr>
              <w:drawing>
                <wp:inline distT="0" distB="0" distL="0" distR="0" wp14:anchorId="635A2332" wp14:editId="14051E24">
                  <wp:extent cx="85979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p>
        </w:tc>
        <w:tc>
          <w:tcPr>
            <w:tcW w:w="2719" w:type="dxa"/>
            <w:vAlign w:val="center"/>
          </w:tcPr>
          <w:p w:rsidR="00B37FC5" w:rsidRPr="002D3CD2" w:rsidRDefault="00B37FC5" w:rsidP="00D36D84">
            <w:pPr>
              <w:spacing w:before="100" w:after="100" w:line="276" w:lineRule="auto"/>
              <w:jc w:val="center"/>
              <w:rPr>
                <w:rFonts w:ascii="Times New Roman" w:hAnsi="Times New Roman" w:cs="Times New Roman"/>
                <w:sz w:val="24"/>
                <w:szCs w:val="24"/>
              </w:rPr>
            </w:pPr>
            <w:r w:rsidRPr="002D3CD2">
              <w:rPr>
                <w:rFonts w:ascii="Times New Roman" w:hAnsi="Times New Roman" w:cs="Times New Roman"/>
                <w:sz w:val="24"/>
                <w:szCs w:val="24"/>
              </w:rPr>
              <w:t>No legal aid contributions</w:t>
            </w:r>
          </w:p>
        </w:tc>
      </w:tr>
    </w:tbl>
    <w:p w:rsidR="0016544F" w:rsidRPr="002D3CD2" w:rsidRDefault="0016544F" w:rsidP="002D3CD2">
      <w:pPr>
        <w:spacing w:line="360" w:lineRule="auto"/>
        <w:jc w:val="both"/>
        <w:rPr>
          <w:rFonts w:ascii="Times New Roman" w:hAnsi="Times New Roman" w:cs="Times New Roman"/>
          <w:sz w:val="24"/>
          <w:szCs w:val="24"/>
        </w:rPr>
      </w:pPr>
    </w:p>
    <w:p w:rsidR="00927EEE" w:rsidRPr="002D3CD2" w:rsidRDefault="00927EEE" w:rsidP="002D3CD2">
      <w:pPr>
        <w:pStyle w:val="ListParagraph"/>
        <w:numPr>
          <w:ilvl w:val="2"/>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Delivery methods</w:t>
      </w:r>
    </w:p>
    <w:p w:rsidR="00E95D12" w:rsidRPr="002D3CD2" w:rsidRDefault="008A24F9"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Implementation of policy is achieved through the selection of consistent organisational methods; the procedural and material content of the legal aid scheme.</w:t>
      </w:r>
      <w:r w:rsidR="00596161" w:rsidRPr="002D3CD2">
        <w:rPr>
          <w:rFonts w:ascii="Times New Roman" w:hAnsi="Times New Roman" w:cs="Times New Roman"/>
          <w:sz w:val="24"/>
          <w:szCs w:val="24"/>
        </w:rPr>
        <w:t xml:space="preserve"> </w:t>
      </w:r>
      <w:r w:rsidRPr="002D3CD2">
        <w:rPr>
          <w:rFonts w:ascii="Times New Roman" w:hAnsi="Times New Roman" w:cs="Times New Roman"/>
          <w:sz w:val="24"/>
          <w:szCs w:val="24"/>
        </w:rPr>
        <w:t xml:space="preserve">At this level of the </w:t>
      </w:r>
      <w:r w:rsidRPr="002D3CD2">
        <w:rPr>
          <w:rFonts w:ascii="Times New Roman" w:hAnsi="Times New Roman" w:cs="Times New Roman"/>
          <w:sz w:val="24"/>
          <w:szCs w:val="24"/>
        </w:rPr>
        <w:lastRenderedPageBreak/>
        <w:t xml:space="preserve">framework, </w:t>
      </w:r>
      <w:r w:rsidR="005237E9" w:rsidRPr="002D3CD2">
        <w:rPr>
          <w:rFonts w:ascii="Times New Roman" w:hAnsi="Times New Roman" w:cs="Times New Roman"/>
          <w:sz w:val="24"/>
          <w:szCs w:val="24"/>
        </w:rPr>
        <w:t>there tend to be multiple discrete options, which are</w:t>
      </w:r>
      <w:r w:rsidRPr="002D3CD2">
        <w:rPr>
          <w:rFonts w:ascii="Times New Roman" w:hAnsi="Times New Roman" w:cs="Times New Roman"/>
          <w:sz w:val="24"/>
          <w:szCs w:val="24"/>
        </w:rPr>
        <w:t xml:space="preserve"> harder to </w:t>
      </w:r>
      <w:r w:rsidR="00EC3D87" w:rsidRPr="002D3CD2">
        <w:rPr>
          <w:rFonts w:ascii="Times New Roman" w:hAnsi="Times New Roman" w:cs="Times New Roman"/>
          <w:sz w:val="24"/>
          <w:szCs w:val="24"/>
        </w:rPr>
        <w:t>arrange on</w:t>
      </w:r>
      <w:r w:rsidRPr="002D3CD2">
        <w:rPr>
          <w:rFonts w:ascii="Times New Roman" w:hAnsi="Times New Roman" w:cs="Times New Roman"/>
          <w:sz w:val="24"/>
          <w:szCs w:val="24"/>
        </w:rPr>
        <w:t xml:space="preserve"> a series of </w:t>
      </w:r>
      <w:r w:rsidR="00EC3D87" w:rsidRPr="002D3CD2">
        <w:rPr>
          <w:rFonts w:ascii="Times New Roman" w:hAnsi="Times New Roman" w:cs="Times New Roman"/>
          <w:sz w:val="24"/>
          <w:szCs w:val="24"/>
        </w:rPr>
        <w:t>scales.</w:t>
      </w:r>
      <w:r w:rsidR="00596161" w:rsidRPr="002D3CD2">
        <w:rPr>
          <w:rFonts w:ascii="Times New Roman" w:hAnsi="Times New Roman" w:cs="Times New Roman"/>
          <w:sz w:val="24"/>
          <w:szCs w:val="24"/>
        </w:rPr>
        <w:t xml:space="preserve"> </w:t>
      </w:r>
      <w:r w:rsidR="00BC79E4" w:rsidRPr="002D3CD2">
        <w:rPr>
          <w:rFonts w:ascii="Times New Roman" w:hAnsi="Times New Roman" w:cs="Times New Roman"/>
          <w:sz w:val="24"/>
          <w:szCs w:val="24"/>
        </w:rPr>
        <w:t>Amongst the organisational choices to be made are:</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Access arrangements</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Whether provision is to be through private practitioners or state-employed lawyers</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Payment arrangements</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The delineation of scope restrictions, both the modes of determination (by venue or by case type) and the actual content of the categories</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The details of the civil and criminal legal aid merits test</w:t>
      </w:r>
    </w:p>
    <w:p w:rsidR="00BC79E4" w:rsidRPr="002D3CD2" w:rsidRDefault="00BC79E4" w:rsidP="0036664D">
      <w:pPr>
        <w:pStyle w:val="ListParagraph"/>
        <w:numPr>
          <w:ilvl w:val="0"/>
          <w:numId w:val="9"/>
        </w:numPr>
        <w:spacing w:line="276" w:lineRule="auto"/>
        <w:jc w:val="both"/>
        <w:rPr>
          <w:rFonts w:ascii="Times New Roman" w:hAnsi="Times New Roman" w:cs="Times New Roman"/>
          <w:sz w:val="24"/>
          <w:szCs w:val="24"/>
        </w:rPr>
      </w:pPr>
      <w:r w:rsidRPr="002D3CD2">
        <w:rPr>
          <w:rFonts w:ascii="Times New Roman" w:hAnsi="Times New Roman" w:cs="Times New Roman"/>
          <w:sz w:val="24"/>
          <w:szCs w:val="24"/>
        </w:rPr>
        <w:t>Financial eligibility details</w:t>
      </w:r>
    </w:p>
    <w:p w:rsidR="00927EEE" w:rsidRPr="002D3CD2" w:rsidRDefault="00927EEE" w:rsidP="002D3CD2">
      <w:pPr>
        <w:pStyle w:val="ListParagraph"/>
        <w:spacing w:line="360" w:lineRule="auto"/>
        <w:ind w:left="0"/>
        <w:jc w:val="both"/>
        <w:rPr>
          <w:rFonts w:ascii="Times New Roman" w:hAnsi="Times New Roman" w:cs="Times New Roman"/>
          <w:sz w:val="24"/>
          <w:szCs w:val="24"/>
        </w:rPr>
      </w:pPr>
    </w:p>
    <w:p w:rsidR="00927EEE" w:rsidRPr="002D3CD2" w:rsidRDefault="00927EEE" w:rsidP="002D3CD2">
      <w:pPr>
        <w:pStyle w:val="ListParagraph"/>
        <w:numPr>
          <w:ilvl w:val="2"/>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Context</w:t>
      </w:r>
    </w:p>
    <w:p w:rsidR="00E95D12" w:rsidRPr="002D3CD2" w:rsidRDefault="00F46447" w:rsidP="002D3CD2">
      <w:pPr>
        <w:pStyle w:val="ListParagraph"/>
        <w:spacing w:line="360" w:lineRule="auto"/>
        <w:ind w:left="0"/>
        <w:jc w:val="both"/>
        <w:rPr>
          <w:rFonts w:ascii="Times New Roman" w:hAnsi="Times New Roman" w:cs="Times New Roman"/>
          <w:sz w:val="24"/>
          <w:szCs w:val="24"/>
        </w:rPr>
      </w:pPr>
      <w:r w:rsidRPr="002D3CD2">
        <w:rPr>
          <w:rFonts w:ascii="Times New Roman" w:hAnsi="Times New Roman" w:cs="Times New Roman"/>
          <w:sz w:val="24"/>
          <w:szCs w:val="24"/>
        </w:rPr>
        <w:t>Finally, in analysing legal aid schemes attention must be paid to the environment in which they operate, as discussed above.</w:t>
      </w:r>
      <w:r w:rsidR="00596161" w:rsidRPr="002D3CD2">
        <w:rPr>
          <w:rFonts w:ascii="Times New Roman" w:hAnsi="Times New Roman" w:cs="Times New Roman"/>
          <w:sz w:val="24"/>
          <w:szCs w:val="24"/>
        </w:rPr>
        <w:t xml:space="preserve"> </w:t>
      </w:r>
      <w:r w:rsidR="00A85DA6" w:rsidRPr="002D3CD2">
        <w:rPr>
          <w:rFonts w:ascii="Times New Roman" w:hAnsi="Times New Roman" w:cs="Times New Roman"/>
          <w:sz w:val="24"/>
          <w:szCs w:val="24"/>
        </w:rPr>
        <w:t>It is important to note, in particular when considering changes to legal aid, that the</w:t>
      </w:r>
      <w:r w:rsidR="00E95D12" w:rsidRPr="002D3CD2">
        <w:rPr>
          <w:rFonts w:ascii="Times New Roman" w:hAnsi="Times New Roman" w:cs="Times New Roman"/>
          <w:sz w:val="24"/>
          <w:szCs w:val="24"/>
        </w:rPr>
        <w:t xml:space="preserve"> context </w:t>
      </w:r>
      <w:r w:rsidRPr="002D3CD2">
        <w:rPr>
          <w:rFonts w:ascii="Times New Roman" w:hAnsi="Times New Roman" w:cs="Times New Roman"/>
          <w:sz w:val="24"/>
          <w:szCs w:val="24"/>
        </w:rPr>
        <w:t>is in many instances rigid compared to the elements within the legal aid system.</w:t>
      </w:r>
      <w:r w:rsidR="00596161" w:rsidRPr="002D3CD2">
        <w:rPr>
          <w:rFonts w:ascii="Times New Roman" w:hAnsi="Times New Roman" w:cs="Times New Roman"/>
          <w:sz w:val="24"/>
          <w:szCs w:val="24"/>
        </w:rPr>
        <w:t xml:space="preserve"> </w:t>
      </w:r>
      <w:r w:rsidR="00F5468D" w:rsidRPr="002D3CD2">
        <w:rPr>
          <w:rFonts w:ascii="Times New Roman" w:hAnsi="Times New Roman" w:cs="Times New Roman"/>
          <w:sz w:val="24"/>
          <w:szCs w:val="24"/>
        </w:rPr>
        <w:t>Indeed, s</w:t>
      </w:r>
      <w:r w:rsidR="00E95D12" w:rsidRPr="002D3CD2">
        <w:rPr>
          <w:rFonts w:ascii="Times New Roman" w:hAnsi="Times New Roman" w:cs="Times New Roman"/>
          <w:sz w:val="24"/>
          <w:szCs w:val="24"/>
        </w:rPr>
        <w:t xml:space="preserve">ome significant </w:t>
      </w:r>
      <w:r w:rsidR="00A85DA6" w:rsidRPr="002D3CD2">
        <w:rPr>
          <w:rFonts w:ascii="Times New Roman" w:hAnsi="Times New Roman" w:cs="Times New Roman"/>
          <w:sz w:val="24"/>
          <w:szCs w:val="24"/>
        </w:rPr>
        <w:t xml:space="preserve">contextual </w:t>
      </w:r>
      <w:r w:rsidR="00E95D12" w:rsidRPr="002D3CD2">
        <w:rPr>
          <w:rFonts w:ascii="Times New Roman" w:hAnsi="Times New Roman" w:cs="Times New Roman"/>
          <w:sz w:val="24"/>
          <w:szCs w:val="24"/>
        </w:rPr>
        <w:t xml:space="preserve">elements are outside the justice system and therefore unlikely to be within the scope of </w:t>
      </w:r>
      <w:r w:rsidR="00F5468D" w:rsidRPr="002D3CD2">
        <w:rPr>
          <w:rFonts w:ascii="Times New Roman" w:hAnsi="Times New Roman" w:cs="Times New Roman"/>
          <w:sz w:val="24"/>
          <w:szCs w:val="24"/>
        </w:rPr>
        <w:t xml:space="preserve">even </w:t>
      </w:r>
      <w:r w:rsidR="00E95D12" w:rsidRPr="002D3CD2">
        <w:rPr>
          <w:rFonts w:ascii="Times New Roman" w:hAnsi="Times New Roman" w:cs="Times New Roman"/>
          <w:sz w:val="24"/>
          <w:szCs w:val="24"/>
        </w:rPr>
        <w:t>access to justice reviews</w:t>
      </w:r>
      <w:r w:rsidR="00F5468D" w:rsidRPr="002D3CD2">
        <w:rPr>
          <w:rFonts w:ascii="Times New Roman" w:hAnsi="Times New Roman" w:cs="Times New Roman"/>
          <w:sz w:val="24"/>
          <w:szCs w:val="24"/>
        </w:rPr>
        <w:t>, let alone legal aid reform programmes</w:t>
      </w:r>
      <w:r w:rsidR="00E95D12" w:rsidRPr="002D3CD2">
        <w:rPr>
          <w:rFonts w:ascii="Times New Roman" w:hAnsi="Times New Roman" w:cs="Times New Roman"/>
          <w:sz w:val="24"/>
          <w:szCs w:val="24"/>
        </w:rPr>
        <w:t xml:space="preserve">. </w:t>
      </w:r>
      <w:r w:rsidR="00F5468D" w:rsidRPr="002D3CD2">
        <w:rPr>
          <w:rFonts w:ascii="Times New Roman" w:hAnsi="Times New Roman" w:cs="Times New Roman"/>
          <w:sz w:val="24"/>
          <w:szCs w:val="24"/>
        </w:rPr>
        <w:t>Elements</w:t>
      </w:r>
      <w:r w:rsidR="00E95D12" w:rsidRPr="002D3CD2">
        <w:rPr>
          <w:rFonts w:ascii="Times New Roman" w:hAnsi="Times New Roman" w:cs="Times New Roman"/>
          <w:sz w:val="24"/>
          <w:szCs w:val="24"/>
        </w:rPr>
        <w:t xml:space="preserve"> within the justice sphere </w:t>
      </w:r>
      <w:r w:rsidR="00F5468D" w:rsidRPr="002D3CD2">
        <w:rPr>
          <w:rFonts w:ascii="Times New Roman" w:hAnsi="Times New Roman" w:cs="Times New Roman"/>
          <w:sz w:val="24"/>
          <w:szCs w:val="24"/>
        </w:rPr>
        <w:t xml:space="preserve">can </w:t>
      </w:r>
      <w:r w:rsidR="003901FB" w:rsidRPr="002D3CD2">
        <w:rPr>
          <w:rFonts w:ascii="Times New Roman" w:hAnsi="Times New Roman" w:cs="Times New Roman"/>
          <w:sz w:val="24"/>
          <w:szCs w:val="24"/>
        </w:rPr>
        <w:t xml:space="preserve">also </w:t>
      </w:r>
      <w:r w:rsidR="00F5468D" w:rsidRPr="002D3CD2">
        <w:rPr>
          <w:rFonts w:ascii="Times New Roman" w:hAnsi="Times New Roman" w:cs="Times New Roman"/>
          <w:sz w:val="24"/>
          <w:szCs w:val="24"/>
        </w:rPr>
        <w:t>be</w:t>
      </w:r>
      <w:r w:rsidR="00E95D12" w:rsidRPr="002D3CD2">
        <w:rPr>
          <w:rFonts w:ascii="Times New Roman" w:hAnsi="Times New Roman" w:cs="Times New Roman"/>
          <w:sz w:val="24"/>
          <w:szCs w:val="24"/>
        </w:rPr>
        <w:t xml:space="preserve"> resistant to change. Any framework for analysis, comparison or planning of legal aid systems must </w:t>
      </w:r>
      <w:r w:rsidR="00C811A4" w:rsidRPr="002D3CD2">
        <w:rPr>
          <w:rFonts w:ascii="Times New Roman" w:hAnsi="Times New Roman" w:cs="Times New Roman"/>
          <w:sz w:val="24"/>
          <w:szCs w:val="24"/>
        </w:rPr>
        <w:t>take account of the immovable context, but may include plans for change of those elements which can be altered.</w:t>
      </w:r>
      <w:r w:rsidR="00596161" w:rsidRPr="002D3CD2">
        <w:rPr>
          <w:rFonts w:ascii="Times New Roman" w:hAnsi="Times New Roman" w:cs="Times New Roman"/>
          <w:sz w:val="24"/>
          <w:szCs w:val="24"/>
        </w:rPr>
        <w:t xml:space="preserve"> </w:t>
      </w:r>
      <w:r w:rsidR="00CA647D" w:rsidRPr="002D3CD2">
        <w:rPr>
          <w:rFonts w:ascii="Times New Roman" w:hAnsi="Times New Roman" w:cs="Times New Roman"/>
          <w:sz w:val="24"/>
          <w:szCs w:val="24"/>
        </w:rPr>
        <w:t>Attention must be paid to</w:t>
      </w:r>
      <w:r w:rsidR="00E95D12" w:rsidRPr="002D3CD2">
        <w:rPr>
          <w:rFonts w:ascii="Times New Roman" w:hAnsi="Times New Roman" w:cs="Times New Roman"/>
          <w:sz w:val="24"/>
          <w:szCs w:val="24"/>
        </w:rPr>
        <w:t xml:space="preserve"> at least the following contextual factors: </w:t>
      </w:r>
    </w:p>
    <w:p w:rsidR="00E95D12" w:rsidRPr="002D3CD2" w:rsidRDefault="00E95D12" w:rsidP="00A81147">
      <w:pPr>
        <w:numPr>
          <w:ilvl w:val="1"/>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External to the justice system</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Poverty levels</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Public attitude to risk</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Public </w:t>
      </w:r>
      <w:r w:rsidR="003901FB" w:rsidRPr="002D3CD2">
        <w:rPr>
          <w:rFonts w:ascii="Times New Roman" w:hAnsi="Times New Roman" w:cs="Times New Roman"/>
          <w:sz w:val="24"/>
          <w:szCs w:val="24"/>
        </w:rPr>
        <w:t>‘</w:t>
      </w:r>
      <w:r w:rsidRPr="002D3CD2">
        <w:rPr>
          <w:rFonts w:ascii="Times New Roman" w:hAnsi="Times New Roman" w:cs="Times New Roman"/>
          <w:sz w:val="24"/>
          <w:szCs w:val="24"/>
        </w:rPr>
        <w:t>litigiousness</w:t>
      </w:r>
      <w:r w:rsidR="003901FB" w:rsidRPr="002D3CD2">
        <w:rPr>
          <w:rFonts w:ascii="Times New Roman" w:hAnsi="Times New Roman" w:cs="Times New Roman"/>
          <w:sz w:val="24"/>
          <w:szCs w:val="24"/>
        </w:rPr>
        <w:t>’</w:t>
      </w:r>
      <w:r w:rsidRPr="002D3CD2">
        <w:rPr>
          <w:rFonts w:ascii="Times New Roman" w:hAnsi="Times New Roman" w:cs="Times New Roman"/>
          <w:sz w:val="24"/>
          <w:szCs w:val="24"/>
        </w:rPr>
        <w:t xml:space="preserve"> </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Population size and density</w:t>
      </w:r>
    </w:p>
    <w:p w:rsidR="00CA647D" w:rsidRPr="002D3CD2" w:rsidRDefault="00CA647D"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Availability of other sources of funding for advice or litigation (e.g. insurance) </w:t>
      </w:r>
    </w:p>
    <w:p w:rsidR="00CA647D" w:rsidRPr="002D3CD2" w:rsidRDefault="00CA647D"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Affordability of private lawyers</w:t>
      </w:r>
    </w:p>
    <w:p w:rsidR="00E95D12" w:rsidRPr="002D3CD2" w:rsidRDefault="00CA647D" w:rsidP="00A81147">
      <w:pPr>
        <w:numPr>
          <w:ilvl w:val="1"/>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W</w:t>
      </w:r>
      <w:r w:rsidR="00E95D12" w:rsidRPr="002D3CD2">
        <w:rPr>
          <w:rFonts w:ascii="Times New Roman" w:hAnsi="Times New Roman" w:cs="Times New Roman"/>
          <w:sz w:val="24"/>
          <w:szCs w:val="24"/>
        </w:rPr>
        <w:t>ithin</w:t>
      </w:r>
      <w:r w:rsidRPr="002D3CD2">
        <w:rPr>
          <w:rFonts w:ascii="Times New Roman" w:hAnsi="Times New Roman" w:cs="Times New Roman"/>
          <w:sz w:val="24"/>
          <w:szCs w:val="24"/>
        </w:rPr>
        <w:t xml:space="preserve"> the</w:t>
      </w:r>
      <w:r w:rsidR="00E95D12" w:rsidRPr="002D3CD2">
        <w:rPr>
          <w:rFonts w:ascii="Times New Roman" w:hAnsi="Times New Roman" w:cs="Times New Roman"/>
          <w:sz w:val="24"/>
          <w:szCs w:val="24"/>
        </w:rPr>
        <w:t xml:space="preserve"> justice sphere</w:t>
      </w:r>
      <w:r w:rsidRPr="002D3CD2">
        <w:rPr>
          <w:rFonts w:ascii="Times New Roman" w:hAnsi="Times New Roman" w:cs="Times New Roman"/>
          <w:sz w:val="24"/>
          <w:szCs w:val="24"/>
        </w:rPr>
        <w:t xml:space="preserve"> </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Access to justice budget</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Diversion of cases to non-court resolution mechanisms</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Level of assistance for litigants from court during hearings</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Complexity of laws</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Permissibility of non-lawyer advice and representation</w:t>
      </w:r>
    </w:p>
    <w:p w:rsidR="00E95D12" w:rsidRPr="002D3CD2" w:rsidRDefault="00E95D12" w:rsidP="00A81147">
      <w:pPr>
        <w:numPr>
          <w:ilvl w:val="3"/>
          <w:numId w:val="8"/>
        </w:numPr>
        <w:spacing w:after="40" w:line="276" w:lineRule="auto"/>
        <w:jc w:val="both"/>
        <w:rPr>
          <w:rFonts w:ascii="Times New Roman" w:hAnsi="Times New Roman" w:cs="Times New Roman"/>
          <w:sz w:val="24"/>
          <w:szCs w:val="24"/>
        </w:rPr>
      </w:pPr>
      <w:r w:rsidRPr="002D3CD2">
        <w:rPr>
          <w:rFonts w:ascii="Times New Roman" w:hAnsi="Times New Roman" w:cs="Times New Roman"/>
          <w:sz w:val="24"/>
          <w:szCs w:val="24"/>
        </w:rPr>
        <w:t>Nature of hearings, in particular the extent to which evidence and argument are oral</w:t>
      </w:r>
    </w:p>
    <w:p w:rsidR="00C811A4" w:rsidRPr="002D3CD2" w:rsidRDefault="00C811A4" w:rsidP="002D3CD2">
      <w:pPr>
        <w:spacing w:line="360" w:lineRule="auto"/>
        <w:jc w:val="both"/>
        <w:rPr>
          <w:rFonts w:ascii="Times New Roman" w:hAnsi="Times New Roman" w:cs="Times New Roman"/>
          <w:sz w:val="24"/>
          <w:szCs w:val="24"/>
        </w:rPr>
      </w:pPr>
    </w:p>
    <w:p w:rsidR="003901FB" w:rsidRPr="002D3CD2" w:rsidRDefault="003901FB"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These four categories together with the interrelationships between and within </w:t>
      </w:r>
      <w:proofErr w:type="gramStart"/>
      <w:r w:rsidRPr="002D3CD2">
        <w:rPr>
          <w:rFonts w:ascii="Times New Roman" w:hAnsi="Times New Roman" w:cs="Times New Roman"/>
          <w:sz w:val="24"/>
          <w:szCs w:val="24"/>
        </w:rPr>
        <w:t>them,</w:t>
      </w:r>
      <w:proofErr w:type="gramEnd"/>
      <w:r w:rsidRPr="002D3CD2">
        <w:rPr>
          <w:rFonts w:ascii="Times New Roman" w:hAnsi="Times New Roman" w:cs="Times New Roman"/>
          <w:sz w:val="24"/>
          <w:szCs w:val="24"/>
        </w:rPr>
        <w:t xml:space="preserve"> make up the pyramidal structure proposed for the analysis of legal aid schemes.</w:t>
      </w:r>
    </w:p>
    <w:p w:rsidR="003901FB" w:rsidRPr="002D3CD2" w:rsidRDefault="003901FB" w:rsidP="002D3CD2">
      <w:pPr>
        <w:pStyle w:val="ListParagraph"/>
        <w:numPr>
          <w:ilvl w:val="0"/>
          <w:numId w:val="2"/>
        </w:num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Conclusions</w:t>
      </w:r>
    </w:p>
    <w:p w:rsidR="003901FB" w:rsidRPr="002D3CD2" w:rsidRDefault="003901FB"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The</w:t>
      </w:r>
      <w:r w:rsidR="00DA3992" w:rsidRPr="002D3CD2">
        <w:rPr>
          <w:rFonts w:ascii="Times New Roman" w:hAnsi="Times New Roman" w:cs="Times New Roman"/>
          <w:sz w:val="24"/>
          <w:szCs w:val="24"/>
        </w:rPr>
        <w:t xml:space="preserve"> framework</w:t>
      </w:r>
      <w:r w:rsidRPr="002D3CD2">
        <w:rPr>
          <w:rFonts w:ascii="Times New Roman" w:hAnsi="Times New Roman" w:cs="Times New Roman"/>
          <w:sz w:val="24"/>
          <w:szCs w:val="24"/>
        </w:rPr>
        <w:t xml:space="preserve"> set out above</w:t>
      </w:r>
      <w:r w:rsidR="00DA3992" w:rsidRPr="002D3CD2">
        <w:rPr>
          <w:rFonts w:ascii="Times New Roman" w:hAnsi="Times New Roman" w:cs="Times New Roman"/>
          <w:sz w:val="24"/>
          <w:szCs w:val="24"/>
        </w:rPr>
        <w:t xml:space="preserve">, if developed, could have various applications in the analysis of existing legal aid systems, either individually or by comparison with each other, and also in the planning of change to schemes or indeed of altogether new schemes. </w:t>
      </w:r>
    </w:p>
    <w:p w:rsidR="00DA3992" w:rsidRPr="002D3CD2" w:rsidRDefault="00DA399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In analysis of existing legal aid systems, the structure could be used to consider delivery </w:t>
      </w:r>
      <w:r w:rsidR="003901FB" w:rsidRPr="002D3CD2">
        <w:rPr>
          <w:rFonts w:ascii="Times New Roman" w:hAnsi="Times New Roman" w:cs="Times New Roman"/>
          <w:sz w:val="24"/>
          <w:szCs w:val="24"/>
        </w:rPr>
        <w:t xml:space="preserve">methods </w:t>
      </w:r>
      <w:r w:rsidRPr="002D3CD2">
        <w:rPr>
          <w:rFonts w:ascii="Times New Roman" w:hAnsi="Times New Roman" w:cs="Times New Roman"/>
          <w:sz w:val="24"/>
          <w:szCs w:val="24"/>
        </w:rPr>
        <w:t xml:space="preserve">and policy </w:t>
      </w:r>
      <w:r w:rsidR="003901FB" w:rsidRPr="002D3CD2">
        <w:rPr>
          <w:rFonts w:ascii="Times New Roman" w:hAnsi="Times New Roman" w:cs="Times New Roman"/>
          <w:sz w:val="24"/>
          <w:szCs w:val="24"/>
        </w:rPr>
        <w:t>and</w:t>
      </w:r>
      <w:r w:rsidRPr="002D3CD2">
        <w:rPr>
          <w:rFonts w:ascii="Times New Roman" w:hAnsi="Times New Roman" w:cs="Times New Roman"/>
          <w:sz w:val="24"/>
          <w:szCs w:val="24"/>
        </w:rPr>
        <w:t xml:space="preserve"> to indicate which principles are demonstrated</w:t>
      </w:r>
      <w:r w:rsidR="003901FB" w:rsidRPr="002D3CD2">
        <w:rPr>
          <w:rFonts w:ascii="Times New Roman" w:hAnsi="Times New Roman" w:cs="Times New Roman"/>
          <w:sz w:val="24"/>
          <w:szCs w:val="24"/>
        </w:rPr>
        <w:t xml:space="preserve"> by these. This</w:t>
      </w:r>
      <w:r w:rsidRPr="002D3CD2">
        <w:rPr>
          <w:rFonts w:ascii="Times New Roman" w:hAnsi="Times New Roman" w:cs="Times New Roman"/>
          <w:sz w:val="24"/>
          <w:szCs w:val="24"/>
        </w:rPr>
        <w:t xml:space="preserve"> could then be compared with the values which the system purports to </w:t>
      </w:r>
      <w:r w:rsidR="003901FB" w:rsidRPr="002D3CD2">
        <w:rPr>
          <w:rFonts w:ascii="Times New Roman" w:hAnsi="Times New Roman" w:cs="Times New Roman"/>
          <w:sz w:val="24"/>
          <w:szCs w:val="24"/>
        </w:rPr>
        <w:t>uphold</w:t>
      </w:r>
      <w:r w:rsidRPr="002D3CD2">
        <w:rPr>
          <w:rFonts w:ascii="Times New Roman" w:hAnsi="Times New Roman" w:cs="Times New Roman"/>
          <w:sz w:val="24"/>
          <w:szCs w:val="24"/>
        </w:rPr>
        <w:t xml:space="preserve"> in order to determine whether the legal aid scheme is fit for its stated purpose. This will not always be the case, as the system may not have been set up in a coherent manner; often economics and a history of piecemeal reform lead to internal contradictions. Development through comparison with other jurisdictions may also have led to a system not being fully rational if the context and interrelationship of factors were not fully explored or understood when changes were made.</w:t>
      </w:r>
    </w:p>
    <w:p w:rsidR="00DA3992" w:rsidRPr="002D3CD2" w:rsidRDefault="00DA399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 xml:space="preserve">Comparison of legal aid schemes in different jurisdictions </w:t>
      </w:r>
      <w:r w:rsidR="00A81147" w:rsidRPr="002D3CD2">
        <w:rPr>
          <w:rFonts w:ascii="Times New Roman" w:hAnsi="Times New Roman" w:cs="Times New Roman"/>
          <w:sz w:val="24"/>
          <w:szCs w:val="24"/>
        </w:rPr>
        <w:t xml:space="preserve">may </w:t>
      </w:r>
      <w:r w:rsidRPr="002D3CD2">
        <w:rPr>
          <w:rFonts w:ascii="Times New Roman" w:hAnsi="Times New Roman" w:cs="Times New Roman"/>
          <w:sz w:val="24"/>
          <w:szCs w:val="24"/>
        </w:rPr>
        <w:t xml:space="preserve">also be facilitated by the application of such a framework. Breaking down the administrative law elements of legal aid systems according to the same schematic provides a structure which enables comparison of the equivalent element of each system; a more in-depth approach than comparing whole systems. By indicating the links between principles, policy and organisation the schematic can aid comparative analysis. For example, if two systems profess to follow similar guiding principles, significant difference in policy choices would be particularly interesting and invite further investigation. Conversely, discrepancy in policy may be of little note if it clearly relates to different values expressed in the guiding principles; in that situation it is the difference in principle which is of interest. Sometimes, also, as discussed above, difference in performance (particularly expense) may be found to relate very largely to context if principles and policy are aligned between two jurisdictions but outcomes are at variance. </w:t>
      </w:r>
    </w:p>
    <w:p w:rsidR="00DA3992" w:rsidRPr="002D3CD2" w:rsidRDefault="00DA3992"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When used in planning, the framework would provide a series of issues to be addressed, identify the range of options available and alert policy-makers to the implications of their choice for the values demonstrated by the legal aid system. It could also highlight practical consequences of a given choice</w:t>
      </w:r>
      <w:r w:rsidR="00410BD8" w:rsidRPr="002D3CD2">
        <w:rPr>
          <w:rFonts w:ascii="Times New Roman" w:hAnsi="Times New Roman" w:cs="Times New Roman"/>
          <w:sz w:val="24"/>
          <w:szCs w:val="24"/>
        </w:rPr>
        <w:t xml:space="preserve"> and</w:t>
      </w:r>
      <w:r w:rsidRPr="002D3CD2">
        <w:rPr>
          <w:rFonts w:ascii="Times New Roman" w:hAnsi="Times New Roman" w:cs="Times New Roman"/>
          <w:sz w:val="24"/>
          <w:szCs w:val="24"/>
        </w:rPr>
        <w:t xml:space="preserve"> the interrelationship between that and other elements of </w:t>
      </w:r>
      <w:r w:rsidRPr="002D3CD2">
        <w:rPr>
          <w:rFonts w:ascii="Times New Roman" w:hAnsi="Times New Roman" w:cs="Times New Roman"/>
          <w:sz w:val="24"/>
          <w:szCs w:val="24"/>
        </w:rPr>
        <w:lastRenderedPageBreak/>
        <w:t>the system. Very many of the choices to be made involve compromises, often with a tension between budget and principles, and these need to be carefully considered in a structured manner. A framework for doing this would improve the chances of a rational outcome and help to avoid unintended and unwanted consequences arising from the interactions between policy and practice in the interwoven elements of a necessarily complex legal aid system. The aim would be to enable the development of a coherent legal aid scheme, consistent with the underlying principles on which the system is founded.</w:t>
      </w:r>
    </w:p>
    <w:p w:rsidR="00C326C1" w:rsidRPr="002D3CD2" w:rsidRDefault="00E27516" w:rsidP="002D3CD2">
      <w:pPr>
        <w:spacing w:line="360" w:lineRule="auto"/>
        <w:jc w:val="both"/>
        <w:rPr>
          <w:rFonts w:ascii="Times New Roman" w:hAnsi="Times New Roman" w:cs="Times New Roman"/>
          <w:sz w:val="24"/>
          <w:szCs w:val="24"/>
        </w:rPr>
      </w:pPr>
      <w:r w:rsidRPr="002D3CD2">
        <w:rPr>
          <w:rFonts w:ascii="Times New Roman" w:hAnsi="Times New Roman" w:cs="Times New Roman"/>
          <w:sz w:val="24"/>
          <w:szCs w:val="24"/>
        </w:rPr>
        <w:t>T</w:t>
      </w:r>
      <w:r w:rsidR="00C326C1" w:rsidRPr="002D3CD2">
        <w:rPr>
          <w:rFonts w:ascii="Times New Roman" w:hAnsi="Times New Roman" w:cs="Times New Roman"/>
          <w:sz w:val="24"/>
          <w:szCs w:val="24"/>
        </w:rPr>
        <w:t xml:space="preserve">his paper </w:t>
      </w:r>
      <w:r w:rsidRPr="002D3CD2">
        <w:rPr>
          <w:rFonts w:ascii="Times New Roman" w:hAnsi="Times New Roman" w:cs="Times New Roman"/>
          <w:sz w:val="24"/>
          <w:szCs w:val="24"/>
        </w:rPr>
        <w:t xml:space="preserve">has </w:t>
      </w:r>
      <w:r w:rsidR="00C326C1" w:rsidRPr="002D3CD2">
        <w:rPr>
          <w:rFonts w:ascii="Times New Roman" w:hAnsi="Times New Roman" w:cs="Times New Roman"/>
          <w:sz w:val="24"/>
          <w:szCs w:val="24"/>
        </w:rPr>
        <w:t>merely suggest</w:t>
      </w:r>
      <w:r w:rsidRPr="002D3CD2">
        <w:rPr>
          <w:rFonts w:ascii="Times New Roman" w:hAnsi="Times New Roman" w:cs="Times New Roman"/>
          <w:sz w:val="24"/>
          <w:szCs w:val="24"/>
        </w:rPr>
        <w:t>ed</w:t>
      </w:r>
      <w:r w:rsidR="00C326C1" w:rsidRPr="002D3CD2">
        <w:rPr>
          <w:rFonts w:ascii="Times New Roman" w:hAnsi="Times New Roman" w:cs="Times New Roman"/>
          <w:sz w:val="24"/>
          <w:szCs w:val="24"/>
        </w:rPr>
        <w:t xml:space="preserve"> a starting point for the development of an analytical framework for legal </w:t>
      </w:r>
      <w:r w:rsidR="00A5606B" w:rsidRPr="002D3CD2">
        <w:rPr>
          <w:rFonts w:ascii="Times New Roman" w:hAnsi="Times New Roman" w:cs="Times New Roman"/>
          <w:sz w:val="24"/>
          <w:szCs w:val="24"/>
        </w:rPr>
        <w:t>aid and</w:t>
      </w:r>
      <w:r w:rsidRPr="002D3CD2">
        <w:rPr>
          <w:rFonts w:ascii="Times New Roman" w:hAnsi="Times New Roman" w:cs="Times New Roman"/>
          <w:sz w:val="24"/>
          <w:szCs w:val="24"/>
        </w:rPr>
        <w:t xml:space="preserve"> presented a fledgling structure</w:t>
      </w:r>
      <w:r w:rsidR="00C326C1"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r w:rsidR="00C326C1" w:rsidRPr="002D3CD2">
        <w:rPr>
          <w:rFonts w:ascii="Times New Roman" w:hAnsi="Times New Roman" w:cs="Times New Roman"/>
          <w:sz w:val="24"/>
          <w:szCs w:val="24"/>
        </w:rPr>
        <w:t>Discussion between researches across disciplines is needed to determine whether such a system would be useful and, if so, to develop the concept</w:t>
      </w:r>
      <w:r w:rsidR="00927EEE" w:rsidRPr="002D3CD2">
        <w:rPr>
          <w:rFonts w:ascii="Times New Roman" w:hAnsi="Times New Roman" w:cs="Times New Roman"/>
          <w:sz w:val="24"/>
          <w:szCs w:val="24"/>
        </w:rPr>
        <w:t>.</w:t>
      </w:r>
      <w:r w:rsidR="001C2A69">
        <w:rPr>
          <w:rFonts w:ascii="Times New Roman" w:hAnsi="Times New Roman" w:cs="Times New Roman"/>
          <w:sz w:val="24"/>
          <w:szCs w:val="24"/>
        </w:rPr>
        <w:t xml:space="preserve"> </w:t>
      </w:r>
      <w:r w:rsidR="00927EEE" w:rsidRPr="002D3CD2">
        <w:rPr>
          <w:rFonts w:ascii="Times New Roman" w:hAnsi="Times New Roman" w:cs="Times New Roman"/>
          <w:sz w:val="24"/>
          <w:szCs w:val="24"/>
        </w:rPr>
        <w:t>However,</w:t>
      </w:r>
      <w:r w:rsidR="00A5606B" w:rsidRPr="002D3CD2">
        <w:rPr>
          <w:rFonts w:ascii="Times New Roman" w:hAnsi="Times New Roman" w:cs="Times New Roman"/>
          <w:sz w:val="24"/>
          <w:szCs w:val="24"/>
        </w:rPr>
        <w:t xml:space="preserve"> the rewards are potentially great and it is hoped that there might be an appetite for the task</w:t>
      </w:r>
      <w:r w:rsidR="00C326C1" w:rsidRPr="002D3CD2">
        <w:rPr>
          <w:rFonts w:ascii="Times New Roman" w:hAnsi="Times New Roman" w:cs="Times New Roman"/>
          <w:sz w:val="24"/>
          <w:szCs w:val="24"/>
        </w:rPr>
        <w:t>.</w:t>
      </w:r>
    </w:p>
    <w:sectPr w:rsidR="00C326C1" w:rsidRPr="002D3CD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F6" w:rsidRDefault="006C24F6" w:rsidP="00E82BD4">
      <w:pPr>
        <w:spacing w:after="0" w:line="240" w:lineRule="auto"/>
      </w:pPr>
      <w:r>
        <w:separator/>
      </w:r>
    </w:p>
  </w:endnote>
  <w:endnote w:type="continuationSeparator" w:id="0">
    <w:p w:rsidR="006C24F6" w:rsidRDefault="006C24F6" w:rsidP="00E8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5931"/>
      <w:docPartObj>
        <w:docPartGallery w:val="Page Numbers (Bottom of Page)"/>
        <w:docPartUnique/>
      </w:docPartObj>
    </w:sdtPr>
    <w:sdtEndPr>
      <w:rPr>
        <w:noProof/>
      </w:rPr>
    </w:sdtEndPr>
    <w:sdtContent>
      <w:p w:rsidR="00D803F0" w:rsidRDefault="00D803F0">
        <w:pPr>
          <w:pStyle w:val="Footer"/>
          <w:jc w:val="right"/>
        </w:pPr>
        <w:r>
          <w:fldChar w:fldCharType="begin"/>
        </w:r>
        <w:r>
          <w:instrText xml:space="preserve"> PAGE   \* MERGEFORMAT </w:instrText>
        </w:r>
        <w:r>
          <w:fldChar w:fldCharType="separate"/>
        </w:r>
        <w:r w:rsidR="00CD6324">
          <w:rPr>
            <w:noProof/>
          </w:rPr>
          <w:t>14</w:t>
        </w:r>
        <w:r>
          <w:rPr>
            <w:noProof/>
          </w:rPr>
          <w:fldChar w:fldCharType="end"/>
        </w:r>
      </w:p>
    </w:sdtContent>
  </w:sdt>
  <w:p w:rsidR="00D803F0" w:rsidRDefault="00D80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F6" w:rsidRDefault="006C24F6" w:rsidP="00E82BD4">
      <w:pPr>
        <w:spacing w:after="0" w:line="240" w:lineRule="auto"/>
      </w:pPr>
      <w:r>
        <w:separator/>
      </w:r>
    </w:p>
  </w:footnote>
  <w:footnote w:type="continuationSeparator" w:id="0">
    <w:p w:rsidR="006C24F6" w:rsidRDefault="006C24F6" w:rsidP="00E82BD4">
      <w:pPr>
        <w:spacing w:after="0" w:line="240" w:lineRule="auto"/>
      </w:pPr>
      <w:r>
        <w:continuationSeparator/>
      </w:r>
    </w:p>
  </w:footnote>
  <w:footnote w:id="1">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Anna Barlow is a doctoral researcher in public law at Åbo Akademi University, Finland.</w:t>
      </w:r>
    </w:p>
  </w:footnote>
  <w:footnote w:id="2">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rPr>
        <w:t xml:space="preserve">De Cruz, Peter, </w:t>
      </w:r>
      <w:r w:rsidRPr="002D3CD2">
        <w:rPr>
          <w:rFonts w:ascii="Times New Roman" w:hAnsi="Times New Roman" w:cs="Times New Roman"/>
          <w:i/>
        </w:rPr>
        <w:t>Comparative law in a changing world</w:t>
      </w:r>
      <w:r w:rsidRPr="002D3CD2">
        <w:rPr>
          <w:rFonts w:ascii="Times New Roman" w:hAnsi="Times New Roman" w:cs="Times New Roman"/>
        </w:rPr>
        <w:t xml:space="preserve"> (3</w:t>
      </w:r>
      <w:r w:rsidRPr="002D3CD2">
        <w:rPr>
          <w:rFonts w:ascii="Times New Roman" w:hAnsi="Times New Roman" w:cs="Times New Roman"/>
          <w:vertAlign w:val="superscript"/>
        </w:rPr>
        <w:t>rd</w:t>
      </w:r>
      <w:r w:rsidRPr="002D3CD2">
        <w:rPr>
          <w:rFonts w:ascii="Times New Roman" w:hAnsi="Times New Roman" w:cs="Times New Roman"/>
        </w:rPr>
        <w:t xml:space="preserve"> edition), 2008, p. 18.</w:t>
      </w:r>
      <w:proofErr w:type="gramEnd"/>
    </w:p>
  </w:footnote>
  <w:footnote w:id="3">
    <w:p w:rsidR="00A06708" w:rsidRPr="0088472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lang w:val="da-DK"/>
        </w:rPr>
        <w:t xml:space="preserve"> E.g. </w:t>
      </w:r>
      <w:r w:rsidR="00884722" w:rsidRPr="00884722">
        <w:rPr>
          <w:rFonts w:ascii="Times New Roman" w:hAnsi="Times New Roman" w:cs="Times New Roman"/>
          <w:lang w:val="da-DK"/>
        </w:rPr>
        <w:t xml:space="preserve">Halvorsen Rønning, Olaf and Hammerslev, Ole (eds.) </w:t>
      </w:r>
      <w:r w:rsidR="00884722" w:rsidRPr="00884722">
        <w:rPr>
          <w:rFonts w:ascii="Times New Roman" w:hAnsi="Times New Roman" w:cs="Times New Roman"/>
          <w:i/>
        </w:rPr>
        <w:t>Outsourcing Legal Aid in the Nordic Welfare States</w:t>
      </w:r>
      <w:r w:rsidR="00884722" w:rsidRPr="00884722">
        <w:rPr>
          <w:rFonts w:ascii="Times New Roman" w:hAnsi="Times New Roman" w:cs="Times New Roman"/>
        </w:rPr>
        <w:t>, Open Access, 2018.</w:t>
      </w:r>
    </w:p>
  </w:footnote>
  <w:footnote w:id="4">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00884722" w:rsidRPr="00884722">
        <w:rPr>
          <w:rFonts w:ascii="Times New Roman" w:hAnsi="Times New Roman" w:cs="Times New Roman"/>
        </w:rPr>
        <w:t>Rosti</w:t>
      </w:r>
      <w:proofErr w:type="spellEnd"/>
      <w:r w:rsidR="00884722" w:rsidRPr="00884722">
        <w:rPr>
          <w:rFonts w:ascii="Times New Roman" w:hAnsi="Times New Roman" w:cs="Times New Roman"/>
        </w:rPr>
        <w:t xml:space="preserve">, </w:t>
      </w:r>
      <w:proofErr w:type="spellStart"/>
      <w:r w:rsidR="00884722" w:rsidRPr="00884722">
        <w:rPr>
          <w:rFonts w:ascii="Times New Roman" w:hAnsi="Times New Roman" w:cs="Times New Roman"/>
        </w:rPr>
        <w:t>Henriikka</w:t>
      </w:r>
      <w:proofErr w:type="spellEnd"/>
      <w:r w:rsidR="00884722" w:rsidRPr="00884722">
        <w:rPr>
          <w:rFonts w:ascii="Times New Roman" w:hAnsi="Times New Roman" w:cs="Times New Roman"/>
        </w:rPr>
        <w:t xml:space="preserve">; </w:t>
      </w:r>
      <w:proofErr w:type="spellStart"/>
      <w:r w:rsidR="00884722" w:rsidRPr="00884722">
        <w:rPr>
          <w:rFonts w:ascii="Times New Roman" w:hAnsi="Times New Roman" w:cs="Times New Roman"/>
        </w:rPr>
        <w:t>Niemi</w:t>
      </w:r>
      <w:proofErr w:type="spellEnd"/>
      <w:r w:rsidR="00884722" w:rsidRPr="00884722">
        <w:rPr>
          <w:rFonts w:ascii="Times New Roman" w:hAnsi="Times New Roman" w:cs="Times New Roman"/>
        </w:rPr>
        <w:t xml:space="preserve">, Johanna and </w:t>
      </w:r>
      <w:proofErr w:type="spellStart"/>
      <w:r w:rsidR="00884722" w:rsidRPr="00884722">
        <w:rPr>
          <w:rFonts w:ascii="Times New Roman" w:hAnsi="Times New Roman" w:cs="Times New Roman"/>
        </w:rPr>
        <w:t>Lasola</w:t>
      </w:r>
      <w:proofErr w:type="spellEnd"/>
      <w:r w:rsidR="00884722" w:rsidRPr="00884722">
        <w:rPr>
          <w:rFonts w:ascii="Times New Roman" w:hAnsi="Times New Roman" w:cs="Times New Roman"/>
        </w:rPr>
        <w:t xml:space="preserve">, </w:t>
      </w:r>
      <w:proofErr w:type="spellStart"/>
      <w:r w:rsidR="00884722" w:rsidRPr="00884722">
        <w:rPr>
          <w:rFonts w:ascii="Times New Roman" w:hAnsi="Times New Roman" w:cs="Times New Roman"/>
        </w:rPr>
        <w:t>Marjukka</w:t>
      </w:r>
      <w:proofErr w:type="spellEnd"/>
      <w:r w:rsidR="00884722" w:rsidRPr="00884722">
        <w:rPr>
          <w:rFonts w:ascii="Times New Roman" w:hAnsi="Times New Roman" w:cs="Times New Roman"/>
        </w:rPr>
        <w:t xml:space="preserve">, </w:t>
      </w:r>
      <w:r w:rsidR="00884722" w:rsidRPr="00884722">
        <w:rPr>
          <w:rFonts w:ascii="Times New Roman" w:hAnsi="Times New Roman" w:cs="Times New Roman"/>
          <w:i/>
        </w:rPr>
        <w:t>Legal Aid and Legal Services in Finland</w:t>
      </w:r>
      <w:r w:rsidR="00884722" w:rsidRPr="00884722">
        <w:rPr>
          <w:rFonts w:ascii="Times New Roman" w:hAnsi="Times New Roman" w:cs="Times New Roman"/>
        </w:rPr>
        <w:t xml:space="preserve">, </w:t>
      </w:r>
      <w:r w:rsidR="00884722" w:rsidRPr="00884722">
        <w:rPr>
          <w:rFonts w:ascii="Times New Roman" w:hAnsi="Times New Roman" w:cs="Times New Roman"/>
          <w:i/>
        </w:rPr>
        <w:t>Research Report No. 237</w:t>
      </w:r>
      <w:r w:rsidR="00884722" w:rsidRPr="00884722">
        <w:rPr>
          <w:rFonts w:ascii="Times New Roman" w:hAnsi="Times New Roman" w:cs="Times New Roman"/>
        </w:rPr>
        <w:t>, Helsinki, National Research Institute of Legal Policy, 2008</w:t>
      </w:r>
      <w:r w:rsidRPr="002D3CD2">
        <w:rPr>
          <w:rFonts w:ascii="Times New Roman" w:hAnsi="Times New Roman" w:cs="Times New Roman"/>
        </w:rPr>
        <w:t>, p.92.</w:t>
      </w:r>
    </w:p>
  </w:footnote>
  <w:footnote w:id="5">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rPr>
        <w:t>Department of Justice website.</w:t>
      </w:r>
      <w:proofErr w:type="gramEnd"/>
    </w:p>
  </w:footnote>
  <w:footnote w:id="6">
    <w:p w:rsidR="00A06708" w:rsidRPr="0088472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884722">
        <w:rPr>
          <w:rFonts w:ascii="Times New Roman" w:hAnsi="Times New Roman" w:cs="Times New Roman"/>
        </w:rPr>
        <w:t xml:space="preserve"> </w:t>
      </w:r>
      <w:proofErr w:type="gramStart"/>
      <w:r w:rsidRPr="00884722">
        <w:rPr>
          <w:rFonts w:ascii="Times New Roman" w:hAnsi="Times New Roman" w:cs="Times New Roman"/>
        </w:rPr>
        <w:t>Statistics Finland.</w:t>
      </w:r>
      <w:proofErr w:type="gramEnd"/>
    </w:p>
  </w:footnote>
  <w:footnote w:id="7">
    <w:p w:rsidR="00A06708" w:rsidRPr="0088472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884722">
        <w:rPr>
          <w:rFonts w:ascii="Times New Roman" w:hAnsi="Times New Roman" w:cs="Times New Roman"/>
        </w:rPr>
        <w:t xml:space="preserve"> </w:t>
      </w:r>
      <w:proofErr w:type="spellStart"/>
      <w:proofErr w:type="gramStart"/>
      <w:r w:rsidRPr="00884722">
        <w:rPr>
          <w:rFonts w:ascii="Times New Roman" w:hAnsi="Times New Roman" w:cs="Times New Roman"/>
        </w:rPr>
        <w:t>Rättshjälpslag</w:t>
      </w:r>
      <w:proofErr w:type="spellEnd"/>
      <w:r w:rsidRPr="00884722">
        <w:rPr>
          <w:rFonts w:ascii="Times New Roman" w:hAnsi="Times New Roman" w:cs="Times New Roman"/>
        </w:rPr>
        <w:t>, 2002, 8§1.</w:t>
      </w:r>
      <w:proofErr w:type="gramEnd"/>
    </w:p>
  </w:footnote>
  <w:footnote w:id="8">
    <w:p w:rsidR="00A06708" w:rsidRPr="0088472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884722">
        <w:rPr>
          <w:rFonts w:ascii="Times New Roman" w:hAnsi="Times New Roman" w:cs="Times New Roman"/>
        </w:rPr>
        <w:t xml:space="preserve"> </w:t>
      </w:r>
      <w:proofErr w:type="spellStart"/>
      <w:proofErr w:type="gramStart"/>
      <w:r w:rsidRPr="00884722">
        <w:rPr>
          <w:rFonts w:ascii="Times New Roman" w:hAnsi="Times New Roman" w:cs="Times New Roman"/>
          <w:i/>
        </w:rPr>
        <w:t>Ibidem</w:t>
      </w:r>
      <w:proofErr w:type="spellEnd"/>
      <w:r w:rsidRPr="00884722">
        <w:rPr>
          <w:rFonts w:ascii="Times New Roman" w:hAnsi="Times New Roman" w:cs="Times New Roman"/>
        </w:rPr>
        <w:t>.</w:t>
      </w:r>
      <w:proofErr w:type="gramEnd"/>
    </w:p>
  </w:footnote>
  <w:footnote w:id="9">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884722">
        <w:rPr>
          <w:rFonts w:ascii="Times New Roman" w:hAnsi="Times New Roman" w:cs="Times New Roman"/>
        </w:rPr>
        <w:t xml:space="preserve"> Lag </w:t>
      </w:r>
      <w:proofErr w:type="gramStart"/>
      <w:r w:rsidRPr="00884722">
        <w:rPr>
          <w:rFonts w:ascii="Times New Roman" w:hAnsi="Times New Roman" w:cs="Times New Roman"/>
        </w:rPr>
        <w:t>om</w:t>
      </w:r>
      <w:proofErr w:type="gramEnd"/>
      <w:r w:rsidRPr="00884722">
        <w:rPr>
          <w:rFonts w:ascii="Times New Roman" w:hAnsi="Times New Roman" w:cs="Times New Roman"/>
        </w:rPr>
        <w:t xml:space="preserve"> </w:t>
      </w:r>
      <w:proofErr w:type="spellStart"/>
      <w:r w:rsidRPr="00884722">
        <w:rPr>
          <w:rFonts w:ascii="Times New Roman" w:hAnsi="Times New Roman" w:cs="Times New Roman"/>
        </w:rPr>
        <w:t>statens</w:t>
      </w:r>
      <w:proofErr w:type="spellEnd"/>
      <w:r w:rsidRPr="00884722">
        <w:rPr>
          <w:rFonts w:ascii="Times New Roman" w:hAnsi="Times New Roman" w:cs="Times New Roman"/>
        </w:rPr>
        <w:t xml:space="preserve"> </w:t>
      </w:r>
      <w:proofErr w:type="spellStart"/>
      <w:r w:rsidRPr="00884722">
        <w:rPr>
          <w:rFonts w:ascii="Times New Roman" w:hAnsi="Times New Roman" w:cs="Times New Roman"/>
        </w:rPr>
        <w:t>rättshjälps</w:t>
      </w:r>
      <w:proofErr w:type="spellEnd"/>
      <w:r w:rsidRPr="00884722">
        <w:rPr>
          <w:rFonts w:ascii="Times New Roman" w:hAnsi="Times New Roman" w:cs="Times New Roman"/>
        </w:rPr>
        <w:t xml:space="preserve">- </w:t>
      </w:r>
      <w:proofErr w:type="spellStart"/>
      <w:r w:rsidRPr="00884722">
        <w:rPr>
          <w:rFonts w:ascii="Times New Roman" w:hAnsi="Times New Roman" w:cs="Times New Roman"/>
        </w:rPr>
        <w:t>och</w:t>
      </w:r>
      <w:proofErr w:type="spellEnd"/>
      <w:r w:rsidRPr="00884722">
        <w:rPr>
          <w:rFonts w:ascii="Times New Roman" w:hAnsi="Times New Roman" w:cs="Times New Roman"/>
        </w:rPr>
        <w:t xml:space="preserve"> </w:t>
      </w:r>
      <w:r w:rsidRPr="002D3CD2">
        <w:rPr>
          <w:rFonts w:ascii="Times New Roman" w:hAnsi="Times New Roman" w:cs="Times New Roman"/>
          <w:lang w:val="sv-FI"/>
        </w:rPr>
        <w:t>intressebevakningsdistrikt, 2016, 12§.</w:t>
      </w:r>
    </w:p>
  </w:footnote>
  <w:footnote w:id="10">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0" w:name="_Hlk510443727"/>
      <w:r w:rsidRPr="002D3CD2">
        <w:rPr>
          <w:rFonts w:ascii="Times New Roman" w:hAnsi="Times New Roman" w:cs="Times New Roman"/>
          <w:lang w:val="sv-FI"/>
        </w:rPr>
        <w:t>HFD:2016:27</w:t>
      </w:r>
      <w:bookmarkEnd w:id="0"/>
      <w:r w:rsidRPr="002D3CD2">
        <w:rPr>
          <w:rFonts w:ascii="Times New Roman" w:hAnsi="Times New Roman" w:cs="Times New Roman"/>
          <w:lang w:val="sv-FI"/>
        </w:rPr>
        <w:t>.</w:t>
      </w:r>
    </w:p>
  </w:footnote>
  <w:footnote w:id="11">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2002, 8§3.</w:t>
      </w:r>
    </w:p>
  </w:footnote>
  <w:footnote w:id="12">
    <w:p w:rsidR="00D803F0" w:rsidRPr="002D3CD2" w:rsidRDefault="00D803F0"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2002, 11§1.</w:t>
      </w:r>
    </w:p>
  </w:footnote>
  <w:footnote w:id="1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00AF07A6" w:rsidRPr="00AF07A6">
        <w:rPr>
          <w:rFonts w:ascii="Times New Roman" w:hAnsi="Times New Roman" w:cs="Times New Roman"/>
          <w:i/>
          <w:lang w:val="sv-FI"/>
        </w:rPr>
        <w:t>Ibidem</w:t>
      </w:r>
      <w:r w:rsidRPr="002D3CD2">
        <w:rPr>
          <w:rFonts w:ascii="Times New Roman" w:hAnsi="Times New Roman" w:cs="Times New Roman"/>
          <w:lang w:val="sv-FI"/>
        </w:rPr>
        <w:t>, 11§1 and 24§.</w:t>
      </w:r>
    </w:p>
  </w:footnote>
  <w:footnote w:id="1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lang w:val="sv-FI"/>
        </w:rPr>
        <w:t>Oikeusavun käsikirja 2013.</w:t>
      </w:r>
    </w:p>
  </w:footnote>
  <w:footnote w:id="1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2002, 6§.</w:t>
      </w:r>
    </w:p>
  </w:footnote>
  <w:footnote w:id="1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 xml:space="preserve">. </w:t>
      </w:r>
    </w:p>
  </w:footnote>
  <w:footnote w:id="17">
    <w:p w:rsidR="00A06708" w:rsidRPr="002D3CD2" w:rsidRDefault="00A06708" w:rsidP="002D3CD2">
      <w:pPr>
        <w:spacing w:after="0" w:line="240" w:lineRule="auto"/>
        <w:rPr>
          <w:rFonts w:ascii="Times New Roman" w:hAnsi="Times New Roman" w:cs="Times New Roman"/>
          <w:sz w:val="20"/>
          <w:szCs w:val="20"/>
          <w:lang w:val="sv-FI"/>
        </w:rPr>
      </w:pPr>
      <w:r w:rsidRPr="002D3CD2">
        <w:rPr>
          <w:rStyle w:val="FootnoteReference"/>
          <w:rFonts w:ascii="Times New Roman" w:hAnsi="Times New Roman" w:cs="Times New Roman"/>
          <w:sz w:val="20"/>
          <w:szCs w:val="20"/>
        </w:rPr>
        <w:footnoteRef/>
      </w:r>
      <w:r w:rsidRPr="002D3CD2">
        <w:rPr>
          <w:rFonts w:ascii="Times New Roman" w:hAnsi="Times New Roman" w:cs="Times New Roman"/>
          <w:sz w:val="20"/>
          <w:szCs w:val="20"/>
          <w:lang w:val="sv-FI"/>
        </w:rPr>
        <w:t xml:space="preserve"> </w:t>
      </w:r>
      <w:r w:rsidRPr="002D3CD2">
        <w:rPr>
          <w:rFonts w:ascii="Times New Roman" w:hAnsi="Times New Roman" w:cs="Times New Roman"/>
          <w:i/>
          <w:sz w:val="20"/>
          <w:szCs w:val="20"/>
          <w:lang w:val="sv-FI"/>
        </w:rPr>
        <w:t>Ibidem</w:t>
      </w:r>
      <w:r w:rsidRPr="002D3CD2">
        <w:rPr>
          <w:rFonts w:ascii="Times New Roman" w:hAnsi="Times New Roman" w:cs="Times New Roman"/>
          <w:sz w:val="20"/>
          <w:szCs w:val="20"/>
          <w:lang w:val="sv-FI"/>
        </w:rPr>
        <w:t>, 7§.</w:t>
      </w:r>
    </w:p>
  </w:footnote>
  <w:footnote w:id="18">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Oikeusavun käsikirja 2013, section 2.2.2.</w:t>
      </w:r>
    </w:p>
  </w:footnote>
  <w:footnote w:id="19">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00AF07A6" w:rsidRPr="00AF07A6">
        <w:rPr>
          <w:rFonts w:ascii="Times New Roman" w:hAnsi="Times New Roman" w:cs="Times New Roman"/>
          <w:i/>
          <w:lang w:val="sv-FI"/>
        </w:rPr>
        <w:t>Ibidem</w:t>
      </w:r>
      <w:r w:rsidRPr="002D3CD2">
        <w:rPr>
          <w:rFonts w:ascii="Times New Roman" w:hAnsi="Times New Roman" w:cs="Times New Roman"/>
          <w:lang w:val="sv-FI"/>
        </w:rPr>
        <w:t>.</w:t>
      </w:r>
    </w:p>
  </w:footnote>
  <w:footnote w:id="20">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RP132/1997 rd.</w:t>
      </w:r>
    </w:p>
  </w:footnote>
  <w:footnote w:id="21">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Oikeusavun käsikirja 2013, section 2.2.2.</w:t>
      </w:r>
    </w:p>
  </w:footnote>
  <w:footnote w:id="2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w:t>
      </w:r>
    </w:p>
  </w:footnote>
  <w:footnote w:id="2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2002, 13§1.</w:t>
      </w:r>
    </w:p>
  </w:footnote>
  <w:footnote w:id="2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00E25ED8" w:rsidRPr="00E25ED8">
        <w:rPr>
          <w:rFonts w:ascii="Times New Roman" w:hAnsi="Times New Roman" w:cs="Times New Roman"/>
          <w:i/>
          <w:lang w:val="sv-FI"/>
        </w:rPr>
        <w:t>Ibidem</w:t>
      </w:r>
      <w:r w:rsidRPr="002D3CD2">
        <w:rPr>
          <w:rFonts w:ascii="Times New Roman" w:hAnsi="Times New Roman" w:cs="Times New Roman"/>
          <w:lang w:val="sv-FI"/>
        </w:rPr>
        <w:t>.</w:t>
      </w:r>
    </w:p>
  </w:footnote>
  <w:footnote w:id="25">
    <w:p w:rsidR="00A06708" w:rsidRPr="002D3CD2" w:rsidRDefault="00A06708" w:rsidP="002D3CD2">
      <w:pPr>
        <w:pStyle w:val="FootnoteText"/>
        <w:rPr>
          <w:rFonts w:ascii="Times New Roman" w:hAnsi="Times New Roman" w:cs="Times New Roman"/>
          <w:lang w:val="fi-FI"/>
        </w:rPr>
      </w:pPr>
      <w:r w:rsidRPr="002D3CD2">
        <w:rPr>
          <w:rStyle w:val="FootnoteReference"/>
          <w:rFonts w:ascii="Times New Roman" w:hAnsi="Times New Roman" w:cs="Times New Roman"/>
        </w:rPr>
        <w:footnoteRef/>
      </w:r>
      <w:r w:rsidRPr="002D3CD2">
        <w:rPr>
          <w:rFonts w:ascii="Times New Roman" w:hAnsi="Times New Roman" w:cs="Times New Roman"/>
          <w:lang w:val="fi-FI"/>
        </w:rPr>
        <w:t xml:space="preserve"> Oikeusavun käsikirja 2013, section 1.4.</w:t>
      </w:r>
    </w:p>
  </w:footnote>
  <w:footnote w:id="26">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bookmarkStart w:id="2" w:name="_Hlk510512967"/>
      <w:r w:rsidRPr="002D3CD2">
        <w:rPr>
          <w:rFonts w:ascii="Times New Roman" w:hAnsi="Times New Roman" w:cs="Times New Roman"/>
        </w:rPr>
        <w:t>European Commission for the Efficiency of Justice</w:t>
      </w:r>
      <w:bookmarkEnd w:id="2"/>
      <w:r w:rsidRPr="002D3CD2">
        <w:rPr>
          <w:rFonts w:ascii="Times New Roman" w:hAnsi="Times New Roman" w:cs="Times New Roman"/>
        </w:rPr>
        <w:t xml:space="preserve">, </w:t>
      </w:r>
      <w:r w:rsidRPr="002D3CD2">
        <w:rPr>
          <w:rFonts w:ascii="Times New Roman" w:hAnsi="Times New Roman" w:cs="Times New Roman"/>
          <w:i/>
        </w:rPr>
        <w:t>European judicial systems: Efficiency and quality of justice CEPEJ Studies No. 23 Edition 2016 (2014 data)</w:t>
      </w:r>
      <w:r w:rsidRPr="002D3CD2">
        <w:rPr>
          <w:rFonts w:ascii="Times New Roman" w:hAnsi="Times New Roman" w:cs="Times New Roman"/>
        </w:rPr>
        <w:t>, Strasbourg, Council of Europe, 2016, p.17.</w:t>
      </w:r>
    </w:p>
  </w:footnote>
  <w:footnote w:id="27">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See a list of some of the governing legislation at </w:t>
      </w:r>
      <w:proofErr w:type="spellStart"/>
      <w:r w:rsidRPr="002D3CD2">
        <w:rPr>
          <w:rFonts w:ascii="Times New Roman" w:hAnsi="Times New Roman" w:cs="Times New Roman"/>
        </w:rPr>
        <w:t>Kanslihandbook</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allmän</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förvaltningsdomstol</w:t>
      </w:r>
      <w:proofErr w:type="spellEnd"/>
      <w:r w:rsidRPr="002D3CD2">
        <w:rPr>
          <w:rFonts w:ascii="Times New Roman" w:hAnsi="Times New Roman" w:cs="Times New Roman"/>
        </w:rPr>
        <w:t xml:space="preserve"> 4.4.1 http://www.dvhandbok.domstol.se/</w:t>
      </w:r>
      <w:r w:rsidR="00E25ED8">
        <w:rPr>
          <w:rFonts w:ascii="Times New Roman" w:hAnsi="Times New Roman" w:cs="Times New Roman"/>
        </w:rPr>
        <w:t>.</w:t>
      </w:r>
    </w:p>
  </w:footnote>
  <w:footnote w:id="28">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SOU 2014:86, p. 26.</w:t>
      </w:r>
    </w:p>
  </w:footnote>
  <w:footnote w:id="29">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1996, 26§.</w:t>
      </w:r>
    </w:p>
  </w:footnote>
  <w:footnote w:id="30">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w:t>
      </w:r>
    </w:p>
  </w:footnote>
  <w:footnote w:id="31">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00E25ED8" w:rsidRPr="00E25ED8">
        <w:rPr>
          <w:rFonts w:ascii="Times New Roman" w:hAnsi="Times New Roman" w:cs="Times New Roman"/>
          <w:i/>
          <w:lang w:val="sv-FI"/>
        </w:rPr>
        <w:t>Ibidem</w:t>
      </w:r>
      <w:r w:rsidRPr="002D3CD2">
        <w:rPr>
          <w:rFonts w:ascii="Times New Roman" w:hAnsi="Times New Roman" w:cs="Times New Roman"/>
          <w:lang w:val="sv-FI"/>
        </w:rPr>
        <w:t>, 2§.</w:t>
      </w:r>
    </w:p>
  </w:footnote>
  <w:footnote w:id="3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RH 1998:25.</w:t>
      </w:r>
    </w:p>
  </w:footnote>
  <w:footnote w:id="3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Rättshjälpsnämnden 363-1998.</w:t>
      </w:r>
    </w:p>
  </w:footnote>
  <w:footnote w:id="3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Approximately 60 euros, plus tax.</w:t>
      </w:r>
    </w:p>
  </w:footnote>
  <w:footnote w:id="3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002A38EE">
        <w:rPr>
          <w:rFonts w:ascii="Times New Roman" w:hAnsi="Times New Roman" w:cs="Times New Roman"/>
          <w:lang w:val="sv-FI"/>
        </w:rPr>
        <w:t xml:space="preserve"> Prop. </w:t>
      </w:r>
      <w:r w:rsidR="002A38EE">
        <w:rPr>
          <w:rFonts w:ascii="Times New Roman" w:hAnsi="Times New Roman" w:cs="Times New Roman"/>
          <w:lang w:val="sv-FI"/>
        </w:rPr>
        <w:t>1996/97:9, p</w:t>
      </w:r>
      <w:r w:rsidRPr="002D3CD2">
        <w:rPr>
          <w:rFonts w:ascii="Times New Roman" w:hAnsi="Times New Roman" w:cs="Times New Roman"/>
          <w:lang w:val="sv-FI"/>
        </w:rPr>
        <w:t>.</w:t>
      </w:r>
      <w:r w:rsidR="002A38EE">
        <w:rPr>
          <w:rFonts w:ascii="Times New Roman" w:hAnsi="Times New Roman" w:cs="Times New Roman"/>
          <w:lang w:val="sv-FI"/>
        </w:rPr>
        <w:t xml:space="preserve"> </w:t>
      </w:r>
      <w:r w:rsidRPr="002D3CD2">
        <w:rPr>
          <w:rFonts w:ascii="Times New Roman" w:hAnsi="Times New Roman" w:cs="Times New Roman"/>
          <w:lang w:val="sv-FI"/>
        </w:rPr>
        <w:t>160-161.</w:t>
      </w:r>
    </w:p>
  </w:footnote>
  <w:footnote w:id="3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1996, 39§.</w:t>
      </w:r>
    </w:p>
  </w:footnote>
  <w:footnote w:id="37">
    <w:p w:rsidR="00A06708" w:rsidRPr="008A41B5"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8A41B5">
        <w:rPr>
          <w:rFonts w:ascii="Times New Roman" w:hAnsi="Times New Roman" w:cs="Times New Roman"/>
          <w:lang w:val="sv-FI"/>
        </w:rPr>
        <w:t xml:space="preserve"> </w:t>
      </w:r>
      <w:r w:rsidR="008A41B5" w:rsidRPr="008A41B5">
        <w:rPr>
          <w:rFonts w:ascii="Times New Roman" w:hAnsi="Times New Roman" w:cs="Times New Roman"/>
          <w:lang w:val="sv-FI"/>
        </w:rPr>
        <w:t xml:space="preserve">Renfors, Cecilia and Arvill, Ebba Sverne, </w:t>
      </w:r>
      <w:r w:rsidR="008A41B5" w:rsidRPr="008A41B5">
        <w:rPr>
          <w:rFonts w:ascii="Times New Roman" w:hAnsi="Times New Roman" w:cs="Times New Roman"/>
          <w:i/>
          <w:lang w:val="sv-FI"/>
        </w:rPr>
        <w:t>Rättshjälpslagen och annan lagstiftning om rättsligt bistånd: En kommentar</w:t>
      </w:r>
      <w:r w:rsidR="008A41B5" w:rsidRPr="008A41B5">
        <w:rPr>
          <w:rFonts w:ascii="Times New Roman" w:hAnsi="Times New Roman" w:cs="Times New Roman"/>
          <w:lang w:val="sv-FI"/>
        </w:rPr>
        <w:t xml:space="preserve"> (3rd edition), Stockholm, Norstedts Juridik, 2012.</w:t>
      </w:r>
    </w:p>
  </w:footnote>
  <w:footnote w:id="3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rPr>
        <w:t>Rättshjälpslag</w:t>
      </w:r>
      <w:proofErr w:type="spellEnd"/>
      <w:r w:rsidRPr="002D3CD2">
        <w:rPr>
          <w:rFonts w:ascii="Times New Roman" w:hAnsi="Times New Roman" w:cs="Times New Roman"/>
        </w:rPr>
        <w:t>, 1996, 44§.</w:t>
      </w:r>
      <w:proofErr w:type="gramEnd"/>
    </w:p>
  </w:footnote>
  <w:footnote w:id="39">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rPr>
        <w:t xml:space="preserve">The </w:t>
      </w:r>
      <w:proofErr w:type="spellStart"/>
      <w:r w:rsidRPr="002D3CD2">
        <w:rPr>
          <w:rFonts w:ascii="Times New Roman" w:hAnsi="Times New Roman" w:cs="Times New Roman"/>
        </w:rPr>
        <w:t>Hovrätten</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för</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Nedre</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Norrlands</w:t>
      </w:r>
      <w:proofErr w:type="spellEnd"/>
      <w:r w:rsidRPr="002D3CD2">
        <w:rPr>
          <w:rFonts w:ascii="Times New Roman" w:hAnsi="Times New Roman" w:cs="Times New Roman"/>
        </w:rPr>
        <w:t xml:space="preserve"> in Sundsvall, as directed by </w:t>
      </w:r>
      <w:bookmarkStart w:id="3" w:name="_Hlk509299345"/>
      <w:proofErr w:type="spellStart"/>
      <w:r w:rsidRPr="002D3CD2">
        <w:rPr>
          <w:rFonts w:ascii="Times New Roman" w:hAnsi="Times New Roman" w:cs="Times New Roman"/>
        </w:rPr>
        <w:t>Förordning</w:t>
      </w:r>
      <w:proofErr w:type="spellEnd"/>
      <w:r w:rsidRPr="002D3CD2">
        <w:rPr>
          <w:rFonts w:ascii="Times New Roman" w:hAnsi="Times New Roman" w:cs="Times New Roman"/>
        </w:rPr>
        <w:t xml:space="preserve"> 2007:1079</w:t>
      </w:r>
      <w:bookmarkEnd w:id="3"/>
      <w:r w:rsidRPr="002D3CD2">
        <w:rPr>
          <w:rFonts w:ascii="Times New Roman" w:hAnsi="Times New Roman" w:cs="Times New Roman"/>
        </w:rPr>
        <w:t>, 5§.</w:t>
      </w:r>
      <w:proofErr w:type="gramEnd"/>
    </w:p>
  </w:footnote>
  <w:footnote w:id="40">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DVFS 2012:15, 17§.</w:t>
      </w:r>
    </w:p>
  </w:footnote>
  <w:footnote w:id="41">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i/>
        </w:rPr>
        <w:t>Ibidem</w:t>
      </w:r>
      <w:r w:rsidRPr="002D3CD2">
        <w:rPr>
          <w:rFonts w:ascii="Times New Roman" w:hAnsi="Times New Roman" w:cs="Times New Roman"/>
        </w:rPr>
        <w:t>, 18§.</w:t>
      </w:r>
      <w:proofErr w:type="gramEnd"/>
      <w:r w:rsidRPr="002D3CD2">
        <w:rPr>
          <w:rFonts w:ascii="Times New Roman" w:hAnsi="Times New Roman" w:cs="Times New Roman"/>
        </w:rPr>
        <w:t xml:space="preserve"> Refusals of legal aid are not so reported, leading to a gap in the information available to the Legal Aid Authority.</w:t>
      </w:r>
    </w:p>
  </w:footnote>
  <w:footnote w:id="42">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i/>
        </w:rPr>
        <w:t>Ibidem</w:t>
      </w:r>
      <w:proofErr w:type="spellEnd"/>
      <w:r w:rsidRPr="002D3CD2">
        <w:rPr>
          <w:rFonts w:ascii="Times New Roman" w:hAnsi="Times New Roman" w:cs="Times New Roman"/>
        </w:rPr>
        <w:t xml:space="preserve">, 19§; </w:t>
      </w:r>
      <w:proofErr w:type="spellStart"/>
      <w:r w:rsidRPr="002D3CD2">
        <w:rPr>
          <w:rFonts w:ascii="Times New Roman" w:hAnsi="Times New Roman" w:cs="Times New Roman"/>
        </w:rPr>
        <w:t>Rättshjälpsförordning</w:t>
      </w:r>
      <w:proofErr w:type="spellEnd"/>
      <w:r w:rsidRPr="002D3CD2">
        <w:rPr>
          <w:rFonts w:ascii="Times New Roman" w:hAnsi="Times New Roman" w:cs="Times New Roman"/>
        </w:rPr>
        <w:t>, 1997, 30§ places responsibility for payment on the Legal Aid Authority.</w:t>
      </w:r>
    </w:p>
  </w:footnote>
  <w:footnote w:id="4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rPr>
        <w:t xml:space="preserve"> At the time of the transfer of responsibility for this task, the Chancellor of Justice expressed concerns that there might be a perceived conflict of interests between her office and lawyers acting in cases against the state. However, this concern was not sufficient to counteract the benefits of the transfer. </w:t>
      </w:r>
      <w:r w:rsidRPr="002D3CD2">
        <w:rPr>
          <w:rFonts w:ascii="Times New Roman" w:hAnsi="Times New Roman" w:cs="Times New Roman"/>
          <w:i/>
          <w:lang w:val="sv-FI"/>
        </w:rPr>
        <w:t>Justitiekanslerns remissyttrande över departementspromemorian (Ds 2003:55) Rättshjälp och ersättning till rättsliga biträden</w:t>
      </w:r>
      <w:r w:rsidRPr="002D3CD2">
        <w:rPr>
          <w:rFonts w:ascii="Times New Roman" w:hAnsi="Times New Roman" w:cs="Times New Roman"/>
          <w:lang w:val="sv-FI"/>
        </w:rPr>
        <w:t xml:space="preserve"> document number 3866-03-80 of 9 February 2004.</w:t>
      </w:r>
    </w:p>
  </w:footnote>
  <w:footnote w:id="4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Approximately 14,600 </w:t>
      </w:r>
      <w:r w:rsidR="00E25ED8">
        <w:rPr>
          <w:rFonts w:ascii="Times New Roman" w:hAnsi="Times New Roman" w:cs="Times New Roman"/>
          <w:lang w:val="sv-FI"/>
        </w:rPr>
        <w:t>euros</w:t>
      </w:r>
      <w:r w:rsidRPr="002D3CD2">
        <w:rPr>
          <w:rFonts w:ascii="Times New Roman" w:hAnsi="Times New Roman" w:cs="Times New Roman"/>
          <w:lang w:val="sv-FI"/>
        </w:rPr>
        <w:t>. DVFS 2016:16.</w:t>
      </w:r>
    </w:p>
  </w:footnote>
  <w:footnote w:id="4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4" w:name="_Hlk509301573"/>
      <w:r w:rsidRPr="002D3CD2">
        <w:rPr>
          <w:rFonts w:ascii="Times New Roman" w:hAnsi="Times New Roman" w:cs="Times New Roman"/>
          <w:lang w:val="sv-FI"/>
        </w:rPr>
        <w:t xml:space="preserve">DVFS 2013:7, </w:t>
      </w:r>
      <w:bookmarkEnd w:id="4"/>
      <w:r w:rsidRPr="002D3CD2">
        <w:rPr>
          <w:rFonts w:ascii="Times New Roman" w:hAnsi="Times New Roman" w:cs="Times New Roman"/>
          <w:lang w:val="sv-FI"/>
        </w:rPr>
        <w:t>§28.</w:t>
      </w:r>
    </w:p>
  </w:footnote>
  <w:footnote w:id="4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1996, 45§.</w:t>
      </w:r>
    </w:p>
  </w:footnote>
  <w:footnote w:id="47">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See e.g. Rättshjälpslag, 1996, 45§ and </w:t>
      </w:r>
      <w:bookmarkStart w:id="5" w:name="_Hlk509301721"/>
      <w:r w:rsidRPr="002D3CD2">
        <w:rPr>
          <w:rFonts w:ascii="Times New Roman" w:hAnsi="Times New Roman" w:cs="Times New Roman"/>
          <w:lang w:val="sv-FI"/>
        </w:rPr>
        <w:t xml:space="preserve">Lag om offentligt biträde, 1996, </w:t>
      </w:r>
      <w:bookmarkEnd w:id="5"/>
      <w:r w:rsidRPr="002D3CD2">
        <w:rPr>
          <w:rFonts w:ascii="Times New Roman" w:hAnsi="Times New Roman" w:cs="Times New Roman"/>
          <w:lang w:val="sv-FI"/>
        </w:rPr>
        <w:t>8§.</w:t>
      </w:r>
    </w:p>
  </w:footnote>
  <w:footnote w:id="4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rPr>
        <w:t>Rättshjälpslag</w:t>
      </w:r>
      <w:proofErr w:type="spellEnd"/>
      <w:r w:rsidRPr="002D3CD2">
        <w:rPr>
          <w:rFonts w:ascii="Times New Roman" w:hAnsi="Times New Roman" w:cs="Times New Roman"/>
        </w:rPr>
        <w:t>, 1996, 4§.</w:t>
      </w:r>
      <w:proofErr w:type="gramEnd"/>
    </w:p>
  </w:footnote>
  <w:footnote w:id="49">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00E25ED8" w:rsidRPr="00E25ED8">
        <w:rPr>
          <w:rFonts w:ascii="Times New Roman" w:hAnsi="Times New Roman" w:cs="Times New Roman"/>
          <w:i/>
        </w:rPr>
        <w:t>Ibidem</w:t>
      </w:r>
      <w:proofErr w:type="spellEnd"/>
      <w:r w:rsidRPr="002D3CD2">
        <w:rPr>
          <w:rFonts w:ascii="Times New Roman" w:hAnsi="Times New Roman" w:cs="Times New Roman"/>
        </w:rPr>
        <w:t>, 10§.</w:t>
      </w:r>
      <w:proofErr w:type="gramEnd"/>
    </w:p>
  </w:footnote>
  <w:footnote w:id="50">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i/>
        </w:rPr>
        <w:t>Ibidem</w:t>
      </w:r>
      <w:r w:rsidRPr="002D3CD2">
        <w:rPr>
          <w:rFonts w:ascii="Times New Roman" w:hAnsi="Times New Roman" w:cs="Times New Roman"/>
        </w:rPr>
        <w:t>, 11§.</w:t>
      </w:r>
      <w:proofErr w:type="gramEnd"/>
    </w:p>
  </w:footnote>
  <w:footnote w:id="51">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rPr>
        <w:t>Half the “</w:t>
      </w:r>
      <w:proofErr w:type="spellStart"/>
      <w:r w:rsidRPr="002D3CD2">
        <w:rPr>
          <w:rFonts w:ascii="Times New Roman" w:hAnsi="Times New Roman" w:cs="Times New Roman"/>
        </w:rPr>
        <w:t>prisbasbelopp</w:t>
      </w:r>
      <w:proofErr w:type="spellEnd"/>
      <w:r w:rsidRPr="002D3CD2">
        <w:rPr>
          <w:rFonts w:ascii="Times New Roman" w:hAnsi="Times New Roman" w:cs="Times New Roman"/>
        </w:rPr>
        <w:t>”, which in 2018 is 45 500 Swedish kronor, with a resultant minimum value of case for legal aid of 22 750 kronor, or about 2 250</w:t>
      </w:r>
      <w:r w:rsidR="00E25ED8">
        <w:rPr>
          <w:rFonts w:ascii="Times New Roman" w:hAnsi="Times New Roman" w:cs="Times New Roman"/>
        </w:rPr>
        <w:t xml:space="preserve"> euros</w:t>
      </w:r>
      <w:r w:rsidRPr="002D3CD2">
        <w:rPr>
          <w:rFonts w:ascii="Times New Roman" w:hAnsi="Times New Roman" w:cs="Times New Roman"/>
        </w:rPr>
        <w:t>.</w:t>
      </w:r>
      <w:proofErr w:type="gramEnd"/>
      <w:r w:rsidRPr="002D3CD2">
        <w:rPr>
          <w:rFonts w:ascii="Times New Roman" w:hAnsi="Times New Roman" w:cs="Times New Roman"/>
        </w:rPr>
        <w:t xml:space="preserve"> </w:t>
      </w:r>
      <w:r w:rsidRPr="002D3CD2">
        <w:rPr>
          <w:rFonts w:ascii="Times New Roman" w:hAnsi="Times New Roman" w:cs="Times New Roman"/>
          <w:lang w:val="sv-FI"/>
        </w:rPr>
        <w:t>Rättshjälpslag, 1996, 11§ 4 and Rättegångsbalken, Chapter 1, 3d§.</w:t>
      </w:r>
    </w:p>
  </w:footnote>
  <w:footnote w:id="5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RH 1998:66, 1998 and Ö 1754-99, 2000.</w:t>
      </w:r>
    </w:p>
  </w:footnote>
  <w:footnote w:id="5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6" w:name="_Hlk509410558"/>
      <w:r w:rsidRPr="002D3CD2">
        <w:rPr>
          <w:rFonts w:ascii="Times New Roman" w:hAnsi="Times New Roman" w:cs="Times New Roman"/>
          <w:lang w:val="sv-FI"/>
        </w:rPr>
        <w:t>Ö 1209-01, 2001</w:t>
      </w:r>
      <w:bookmarkEnd w:id="6"/>
      <w:r w:rsidRPr="002D3CD2">
        <w:rPr>
          <w:rFonts w:ascii="Times New Roman" w:hAnsi="Times New Roman" w:cs="Times New Roman"/>
          <w:lang w:val="sv-FI"/>
        </w:rPr>
        <w:t>.</w:t>
      </w:r>
    </w:p>
  </w:footnote>
  <w:footnote w:id="5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7" w:name="_Hlk509410612"/>
      <w:r w:rsidRPr="002D3CD2">
        <w:rPr>
          <w:rFonts w:ascii="Times New Roman" w:hAnsi="Times New Roman" w:cs="Times New Roman"/>
          <w:lang w:val="sv-FI"/>
        </w:rPr>
        <w:t>Rättshjälpsnämnden 401-1999</w:t>
      </w:r>
      <w:bookmarkEnd w:id="7"/>
      <w:r w:rsidRPr="002D3CD2">
        <w:rPr>
          <w:rFonts w:ascii="Times New Roman" w:hAnsi="Times New Roman" w:cs="Times New Roman"/>
          <w:lang w:val="sv-FI"/>
        </w:rPr>
        <w:t>.</w:t>
      </w:r>
    </w:p>
  </w:footnote>
  <w:footnote w:id="5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8" w:name="_Hlk509410730"/>
      <w:r w:rsidRPr="002D3CD2">
        <w:rPr>
          <w:rFonts w:ascii="Times New Roman" w:hAnsi="Times New Roman" w:cs="Times New Roman"/>
          <w:lang w:val="sv-FI"/>
        </w:rPr>
        <w:t>Rättshjälpsnämnden 227-1999.</w:t>
      </w:r>
    </w:p>
    <w:bookmarkEnd w:id="8"/>
  </w:footnote>
  <w:footnote w:id="5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NJA 1999 s.149 I.</w:t>
      </w:r>
    </w:p>
  </w:footnote>
  <w:footnote w:id="57">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9" w:name="_Hlk509410912"/>
      <w:r w:rsidRPr="002D3CD2">
        <w:rPr>
          <w:rFonts w:ascii="Times New Roman" w:hAnsi="Times New Roman" w:cs="Times New Roman"/>
          <w:lang w:val="sv-FI"/>
        </w:rPr>
        <w:t>RH 1998:9</w:t>
      </w:r>
      <w:bookmarkEnd w:id="9"/>
      <w:r w:rsidRPr="002D3CD2">
        <w:rPr>
          <w:rFonts w:ascii="Times New Roman" w:hAnsi="Times New Roman" w:cs="Times New Roman"/>
          <w:lang w:val="sv-FI"/>
        </w:rPr>
        <w:t>.</w:t>
      </w:r>
    </w:p>
  </w:footnote>
  <w:footnote w:id="5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bookmarkStart w:id="10" w:name="_Hlk509410961"/>
      <w:r w:rsidRPr="002D3CD2">
        <w:rPr>
          <w:rFonts w:ascii="Times New Roman" w:hAnsi="Times New Roman" w:cs="Times New Roman"/>
        </w:rPr>
        <w:t>RH 1998:33</w:t>
      </w:r>
      <w:bookmarkEnd w:id="10"/>
      <w:r w:rsidRPr="002D3CD2">
        <w:rPr>
          <w:rFonts w:ascii="Times New Roman" w:hAnsi="Times New Roman" w:cs="Times New Roman"/>
        </w:rPr>
        <w:t>.</w:t>
      </w:r>
    </w:p>
  </w:footnote>
  <w:footnote w:id="59">
    <w:p w:rsidR="00A06708" w:rsidRPr="002D3CD2" w:rsidRDefault="00A06708" w:rsidP="002D3CD2">
      <w:pPr>
        <w:spacing w:after="0" w:line="240" w:lineRule="auto"/>
        <w:rPr>
          <w:rFonts w:ascii="Times New Roman" w:hAnsi="Times New Roman" w:cs="Times New Roman"/>
          <w:sz w:val="20"/>
          <w:szCs w:val="20"/>
        </w:rPr>
      </w:pPr>
      <w:r w:rsidRPr="002D3CD2">
        <w:rPr>
          <w:rStyle w:val="FootnoteReference"/>
          <w:rFonts w:ascii="Times New Roman" w:hAnsi="Times New Roman" w:cs="Times New Roman"/>
          <w:sz w:val="20"/>
          <w:szCs w:val="20"/>
        </w:rPr>
        <w:footnoteRef/>
      </w:r>
      <w:r w:rsidRPr="002D3CD2">
        <w:rPr>
          <w:rFonts w:ascii="Times New Roman" w:hAnsi="Times New Roman" w:cs="Times New Roman"/>
          <w:sz w:val="20"/>
          <w:szCs w:val="20"/>
        </w:rPr>
        <w:t xml:space="preserve"> </w:t>
      </w:r>
      <w:proofErr w:type="spellStart"/>
      <w:proofErr w:type="gramStart"/>
      <w:r w:rsidRPr="002D3CD2">
        <w:rPr>
          <w:rFonts w:ascii="Times New Roman" w:hAnsi="Times New Roman" w:cs="Times New Roman"/>
          <w:sz w:val="20"/>
          <w:szCs w:val="20"/>
        </w:rPr>
        <w:t>Rättshjälpslag</w:t>
      </w:r>
      <w:proofErr w:type="spellEnd"/>
      <w:r w:rsidRPr="002D3CD2">
        <w:rPr>
          <w:rFonts w:ascii="Times New Roman" w:hAnsi="Times New Roman" w:cs="Times New Roman"/>
          <w:sz w:val="20"/>
          <w:szCs w:val="20"/>
        </w:rPr>
        <w:t>, 1996, 7§.</w:t>
      </w:r>
      <w:proofErr w:type="gramEnd"/>
    </w:p>
  </w:footnote>
  <w:footnote w:id="60">
    <w:p w:rsidR="00A06708" w:rsidRPr="002D3CD2" w:rsidRDefault="00A06708" w:rsidP="002D3CD2">
      <w:pPr>
        <w:spacing w:after="0" w:line="240" w:lineRule="auto"/>
        <w:rPr>
          <w:rFonts w:ascii="Times New Roman" w:hAnsi="Times New Roman" w:cs="Times New Roman"/>
          <w:sz w:val="20"/>
          <w:szCs w:val="20"/>
        </w:rPr>
      </w:pPr>
      <w:r w:rsidRPr="002D3CD2">
        <w:rPr>
          <w:rStyle w:val="FootnoteReference"/>
          <w:rFonts w:ascii="Times New Roman" w:hAnsi="Times New Roman" w:cs="Times New Roman"/>
          <w:sz w:val="20"/>
          <w:szCs w:val="20"/>
        </w:rPr>
        <w:footnoteRef/>
      </w:r>
      <w:r w:rsidRPr="002D3CD2">
        <w:rPr>
          <w:rFonts w:ascii="Times New Roman" w:hAnsi="Times New Roman" w:cs="Times New Roman"/>
          <w:sz w:val="20"/>
          <w:szCs w:val="20"/>
        </w:rPr>
        <w:t xml:space="preserve"> </w:t>
      </w:r>
      <w:proofErr w:type="gramStart"/>
      <w:r w:rsidRPr="002D3CD2">
        <w:rPr>
          <w:rFonts w:ascii="Times New Roman" w:hAnsi="Times New Roman" w:cs="Times New Roman"/>
          <w:i/>
          <w:sz w:val="20"/>
          <w:szCs w:val="20"/>
        </w:rPr>
        <w:t>Ibidem</w:t>
      </w:r>
      <w:r w:rsidRPr="002D3CD2">
        <w:rPr>
          <w:rFonts w:ascii="Times New Roman" w:hAnsi="Times New Roman" w:cs="Times New Roman"/>
          <w:sz w:val="20"/>
          <w:szCs w:val="20"/>
        </w:rPr>
        <w:t>, 8§.</w:t>
      </w:r>
      <w:proofErr w:type="gramEnd"/>
    </w:p>
  </w:footnote>
  <w:footnote w:id="61">
    <w:p w:rsidR="00A06708" w:rsidRPr="002D3CD2" w:rsidRDefault="00A06708" w:rsidP="002D3CD2">
      <w:pPr>
        <w:spacing w:after="0" w:line="240" w:lineRule="auto"/>
        <w:rPr>
          <w:rFonts w:ascii="Times New Roman" w:hAnsi="Times New Roman" w:cs="Times New Roman"/>
          <w:sz w:val="20"/>
          <w:szCs w:val="20"/>
        </w:rPr>
      </w:pPr>
      <w:r w:rsidRPr="002D3CD2">
        <w:rPr>
          <w:rStyle w:val="FootnoteReference"/>
          <w:rFonts w:ascii="Times New Roman" w:hAnsi="Times New Roman" w:cs="Times New Roman"/>
          <w:sz w:val="20"/>
          <w:szCs w:val="20"/>
        </w:rPr>
        <w:footnoteRef/>
      </w:r>
      <w:r w:rsidRPr="002D3CD2">
        <w:rPr>
          <w:rFonts w:ascii="Times New Roman" w:hAnsi="Times New Roman" w:cs="Times New Roman"/>
          <w:sz w:val="20"/>
          <w:szCs w:val="20"/>
        </w:rPr>
        <w:t xml:space="preserve"> </w:t>
      </w:r>
      <w:proofErr w:type="gramStart"/>
      <w:r w:rsidRPr="002D3CD2">
        <w:rPr>
          <w:rFonts w:ascii="Times New Roman" w:hAnsi="Times New Roman" w:cs="Times New Roman"/>
          <w:i/>
          <w:sz w:val="20"/>
          <w:szCs w:val="20"/>
        </w:rPr>
        <w:t>Ibidem</w:t>
      </w:r>
      <w:r w:rsidRPr="002D3CD2">
        <w:rPr>
          <w:rFonts w:ascii="Times New Roman" w:hAnsi="Times New Roman" w:cs="Times New Roman"/>
          <w:sz w:val="20"/>
          <w:szCs w:val="20"/>
        </w:rPr>
        <w:t>, 11§.</w:t>
      </w:r>
      <w:proofErr w:type="gramEnd"/>
      <w:r w:rsidRPr="002D3CD2">
        <w:rPr>
          <w:rFonts w:ascii="Times New Roman" w:hAnsi="Times New Roman" w:cs="Times New Roman"/>
          <w:sz w:val="20"/>
          <w:szCs w:val="20"/>
        </w:rPr>
        <w:t xml:space="preserve"> Examples include divorce and ancillary matters and child maintenance.</w:t>
      </w:r>
    </w:p>
  </w:footnote>
  <w:footnote w:id="6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 10§</w:t>
      </w:r>
      <w:r w:rsidR="00E25ED8">
        <w:rPr>
          <w:rFonts w:ascii="Times New Roman" w:hAnsi="Times New Roman" w:cs="Times New Roman"/>
          <w:lang w:val="sv-FI"/>
        </w:rPr>
        <w:t>.</w:t>
      </w:r>
    </w:p>
  </w:footnote>
  <w:footnote w:id="63">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Domstolsverkets handböcker, Rättshjälp, Chapter 8, para. </w:t>
      </w:r>
      <w:r w:rsidRPr="002D3CD2">
        <w:rPr>
          <w:rFonts w:ascii="Times New Roman" w:hAnsi="Times New Roman" w:cs="Times New Roman"/>
        </w:rPr>
        <w:t>8.2.</w:t>
      </w:r>
    </w:p>
  </w:footnote>
  <w:footnote w:id="64">
    <w:p w:rsidR="00A06708" w:rsidRPr="002D3CD2" w:rsidRDefault="00A06708" w:rsidP="002D3CD2">
      <w:pPr>
        <w:spacing w:after="0" w:line="240" w:lineRule="auto"/>
        <w:rPr>
          <w:rFonts w:ascii="Times New Roman" w:hAnsi="Times New Roman" w:cs="Times New Roman"/>
          <w:sz w:val="20"/>
          <w:szCs w:val="20"/>
        </w:rPr>
      </w:pPr>
      <w:r w:rsidRPr="002D3CD2">
        <w:rPr>
          <w:rStyle w:val="FootnoteReference"/>
          <w:rFonts w:ascii="Times New Roman" w:hAnsi="Times New Roman" w:cs="Times New Roman"/>
          <w:sz w:val="20"/>
          <w:szCs w:val="20"/>
        </w:rPr>
        <w:footnoteRef/>
      </w:r>
      <w:r w:rsidRPr="002D3CD2">
        <w:rPr>
          <w:rFonts w:ascii="Times New Roman" w:hAnsi="Times New Roman" w:cs="Times New Roman"/>
          <w:sz w:val="20"/>
          <w:szCs w:val="20"/>
        </w:rPr>
        <w:t xml:space="preserve"> </w:t>
      </w:r>
      <w:r w:rsidRPr="002D3CD2">
        <w:rPr>
          <w:rFonts w:ascii="Times New Roman" w:hAnsi="Times New Roman" w:cs="Times New Roman"/>
          <w:i/>
          <w:sz w:val="20"/>
          <w:szCs w:val="20"/>
        </w:rPr>
        <w:t>Ibidem</w:t>
      </w:r>
      <w:r w:rsidRPr="002D3CD2">
        <w:rPr>
          <w:rFonts w:ascii="Times New Roman" w:hAnsi="Times New Roman" w:cs="Times New Roman"/>
          <w:sz w:val="20"/>
          <w:szCs w:val="20"/>
        </w:rPr>
        <w:t>, Chapter 8.3, referring case NJA 1982 s.175, I and II.</w:t>
      </w:r>
    </w:p>
  </w:footnote>
  <w:footnote w:id="6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w:t>
      </w:r>
    </w:p>
  </w:footnote>
  <w:footnote w:id="6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Rättshjälpsnämnden 677-1998.</w:t>
      </w:r>
    </w:p>
  </w:footnote>
  <w:footnote w:id="67">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Domstolsverkets handböcker, Rättshjälp, Chapter 8, para. 8.2.</w:t>
      </w:r>
    </w:p>
  </w:footnote>
  <w:footnote w:id="68">
    <w:p w:rsidR="00A06708" w:rsidRPr="002D3CD2" w:rsidRDefault="00A06708" w:rsidP="002D3CD2">
      <w:pPr>
        <w:pStyle w:val="FootnoteText"/>
        <w:jc w:val="both"/>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Rättshjälpsnämnden 58-1999.</w:t>
      </w:r>
    </w:p>
  </w:footnote>
  <w:footnote w:id="69">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Domstolsverkets handböcker, Rättshjälp, Chapter 8, para. </w:t>
      </w:r>
      <w:r w:rsidRPr="002D3CD2">
        <w:rPr>
          <w:rFonts w:ascii="Times New Roman" w:hAnsi="Times New Roman" w:cs="Times New Roman"/>
        </w:rPr>
        <w:t>8.2, referring case RN 58/1999.</w:t>
      </w:r>
    </w:p>
  </w:footnote>
  <w:footnote w:id="70">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rPr>
        <w:t>Renfors</w:t>
      </w:r>
      <w:proofErr w:type="spellEnd"/>
      <w:r w:rsidRPr="002D3CD2">
        <w:rPr>
          <w:rFonts w:ascii="Times New Roman" w:hAnsi="Times New Roman" w:cs="Times New Roman"/>
        </w:rPr>
        <w:t xml:space="preserve"> and Arvill 2012, </w:t>
      </w:r>
      <w:r w:rsidR="008A41B5" w:rsidRPr="00A67283">
        <w:rPr>
          <w:rFonts w:ascii="Times New Roman" w:hAnsi="Times New Roman" w:cs="Times New Roman"/>
          <w:i/>
        </w:rPr>
        <w:t>supra</w:t>
      </w:r>
      <w:r w:rsidR="008A41B5">
        <w:rPr>
          <w:rFonts w:ascii="Times New Roman" w:hAnsi="Times New Roman" w:cs="Times New Roman"/>
        </w:rPr>
        <w:t xml:space="preserve"> note 37, </w:t>
      </w:r>
      <w:r w:rsidRPr="002D3CD2">
        <w:rPr>
          <w:rFonts w:ascii="Times New Roman" w:hAnsi="Times New Roman" w:cs="Times New Roman"/>
        </w:rPr>
        <w:t>p. 25.</w:t>
      </w:r>
    </w:p>
  </w:footnote>
  <w:footnote w:id="71">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rPr>
        <w:t>Rättshjälpslag</w:t>
      </w:r>
      <w:proofErr w:type="spellEnd"/>
      <w:r w:rsidRPr="002D3CD2">
        <w:rPr>
          <w:rFonts w:ascii="Times New Roman" w:hAnsi="Times New Roman" w:cs="Times New Roman"/>
        </w:rPr>
        <w:t>, 1996, 27§3.</w:t>
      </w:r>
      <w:proofErr w:type="gramEnd"/>
      <w:r w:rsidRPr="002D3CD2">
        <w:rPr>
          <w:rFonts w:ascii="Times New Roman" w:hAnsi="Times New Roman" w:cs="Times New Roman"/>
        </w:rPr>
        <w:t xml:space="preserve"> The Supreme Court has confirmed that this rule will be strictly applied; where the reason for the delay in application was that the applicant was awaiting the outcome of a claim for legal expenses insurance, the lawyer could only be paid under legal aid for 6 hours’ work, as there was no particular urgency: </w:t>
      </w:r>
      <w:proofErr w:type="spellStart"/>
      <w:r w:rsidRPr="002D3CD2">
        <w:rPr>
          <w:rFonts w:ascii="Times New Roman" w:hAnsi="Times New Roman" w:cs="Times New Roman"/>
        </w:rPr>
        <w:t>Högsta</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Domstolens</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avgörande</w:t>
      </w:r>
      <w:proofErr w:type="spellEnd"/>
      <w:r w:rsidRPr="002D3CD2">
        <w:rPr>
          <w:rFonts w:ascii="Times New Roman" w:hAnsi="Times New Roman" w:cs="Times New Roman"/>
        </w:rPr>
        <w:t xml:space="preserve"> Ö 5072-14, 2015.</w:t>
      </w:r>
    </w:p>
  </w:footnote>
  <w:footnote w:id="7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1996, 15§.</w:t>
      </w:r>
    </w:p>
  </w:footnote>
  <w:footnote w:id="7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r w:rsidRPr="002D3CD2">
        <w:rPr>
          <w:rFonts w:ascii="Times New Roman" w:hAnsi="Times New Roman" w:cs="Times New Roman"/>
          <w:i/>
          <w:lang w:val="sv-FI"/>
        </w:rPr>
        <w:t>Ibidem</w:t>
      </w:r>
      <w:r w:rsidRPr="002D3CD2">
        <w:rPr>
          <w:rFonts w:ascii="Times New Roman" w:hAnsi="Times New Roman" w:cs="Times New Roman"/>
          <w:lang w:val="sv-FI"/>
        </w:rPr>
        <w:t>, 34§.</w:t>
      </w:r>
    </w:p>
  </w:footnote>
  <w:footnote w:id="7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Högsta domstolen Ö722-00, 2000.</w:t>
      </w:r>
    </w:p>
  </w:footnote>
  <w:footnote w:id="7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 1996, 27§.</w:t>
      </w:r>
    </w:p>
  </w:footnote>
  <w:footnote w:id="7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See e.g. </w:t>
      </w:r>
      <w:bookmarkStart w:id="11" w:name="_Hlk510509176"/>
      <w:r w:rsidRPr="002D3CD2">
        <w:rPr>
          <w:rFonts w:ascii="Times New Roman" w:hAnsi="Times New Roman" w:cs="Times New Roman"/>
          <w:lang w:val="sv-FI"/>
        </w:rPr>
        <w:t>Förordning om särskild företrädare för barn, 1999</w:t>
      </w:r>
      <w:bookmarkEnd w:id="11"/>
      <w:r w:rsidRPr="002D3CD2">
        <w:rPr>
          <w:rFonts w:ascii="Times New Roman" w:hAnsi="Times New Roman" w:cs="Times New Roman"/>
          <w:lang w:val="sv-FI"/>
        </w:rPr>
        <w:t xml:space="preserve">, 3§; </w:t>
      </w:r>
      <w:bookmarkStart w:id="12" w:name="_Hlk510509199"/>
      <w:r w:rsidRPr="002D3CD2">
        <w:rPr>
          <w:rFonts w:ascii="Times New Roman" w:hAnsi="Times New Roman" w:cs="Times New Roman"/>
          <w:lang w:val="sv-FI"/>
        </w:rPr>
        <w:t>Lag om målsägandebiträde, 1988</w:t>
      </w:r>
      <w:bookmarkEnd w:id="12"/>
      <w:r w:rsidRPr="002D3CD2">
        <w:rPr>
          <w:rFonts w:ascii="Times New Roman" w:hAnsi="Times New Roman" w:cs="Times New Roman"/>
          <w:lang w:val="sv-FI"/>
        </w:rPr>
        <w:t>, 5§.</w:t>
      </w:r>
    </w:p>
  </w:footnote>
  <w:footnote w:id="77">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rPr>
        <w:t>Rättshjälpslagen</w:t>
      </w:r>
      <w:proofErr w:type="spellEnd"/>
      <w:r w:rsidRPr="002D3CD2">
        <w:rPr>
          <w:rFonts w:ascii="Times New Roman" w:hAnsi="Times New Roman" w:cs="Times New Roman"/>
        </w:rPr>
        <w:t xml:space="preserve">, 1996, 29§ and </w:t>
      </w:r>
      <w:proofErr w:type="spellStart"/>
      <w:r w:rsidRPr="002D3CD2">
        <w:rPr>
          <w:rFonts w:ascii="Times New Roman" w:hAnsi="Times New Roman" w:cs="Times New Roman"/>
        </w:rPr>
        <w:t>Rättegångsbalken</w:t>
      </w:r>
      <w:proofErr w:type="spellEnd"/>
      <w:r w:rsidRPr="002D3CD2">
        <w:rPr>
          <w:rFonts w:ascii="Times New Roman" w:hAnsi="Times New Roman" w:cs="Times New Roman"/>
        </w:rPr>
        <w:t>, 1942, Chapter 21, 10§.</w:t>
      </w:r>
      <w:proofErr w:type="gramEnd"/>
    </w:p>
  </w:footnote>
  <w:footnote w:id="7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This ‘</w:t>
      </w:r>
      <w:proofErr w:type="spellStart"/>
      <w:r w:rsidRPr="002D3CD2">
        <w:rPr>
          <w:rFonts w:ascii="Times New Roman" w:hAnsi="Times New Roman" w:cs="Times New Roman"/>
        </w:rPr>
        <w:t>prisbasbelopp</w:t>
      </w:r>
      <w:proofErr w:type="spellEnd"/>
      <w:r w:rsidRPr="002D3CD2">
        <w:rPr>
          <w:rFonts w:ascii="Times New Roman" w:hAnsi="Times New Roman" w:cs="Times New Roman"/>
        </w:rPr>
        <w:t xml:space="preserve">’ is set annually; in 2018 it is 45 500 kronor, and thus legal expenses insurance will generally not cover cases worth under 22,750 kronor or about 2,300 </w:t>
      </w:r>
      <w:r w:rsidR="00E25ED8">
        <w:rPr>
          <w:rFonts w:ascii="Times New Roman" w:hAnsi="Times New Roman" w:cs="Times New Roman"/>
        </w:rPr>
        <w:t>euros</w:t>
      </w:r>
      <w:r w:rsidRPr="002D3CD2">
        <w:rPr>
          <w:rFonts w:ascii="Times New Roman" w:hAnsi="Times New Roman" w:cs="Times New Roman"/>
        </w:rPr>
        <w:t>.</w:t>
      </w:r>
    </w:p>
  </w:footnote>
  <w:footnote w:id="79">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Rättshjälpslagen, 1996, 9§2.</w:t>
      </w:r>
    </w:p>
  </w:footnote>
  <w:footnote w:id="80">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Ö647-99, 1999.</w:t>
      </w:r>
    </w:p>
  </w:footnote>
  <w:footnote w:id="81">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Ö1327-99, 2001.</w:t>
      </w:r>
    </w:p>
  </w:footnote>
  <w:footnote w:id="82">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13" w:name="_Hlk510691840"/>
      <w:r w:rsidRPr="002D3CD2">
        <w:rPr>
          <w:rFonts w:ascii="Times New Roman" w:hAnsi="Times New Roman" w:cs="Times New Roman"/>
          <w:lang w:val="sv-FI"/>
        </w:rPr>
        <w:t>RH 1998:26, 1998</w:t>
      </w:r>
      <w:bookmarkEnd w:id="13"/>
      <w:r w:rsidRPr="002D3CD2">
        <w:rPr>
          <w:rFonts w:ascii="Times New Roman" w:hAnsi="Times New Roman" w:cs="Times New Roman"/>
          <w:lang w:val="sv-FI"/>
        </w:rPr>
        <w:t>.</w:t>
      </w:r>
    </w:p>
  </w:footnote>
  <w:footnote w:id="83">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14" w:name="_Hlk510691879"/>
      <w:r w:rsidRPr="002D3CD2">
        <w:rPr>
          <w:rFonts w:ascii="Times New Roman" w:hAnsi="Times New Roman" w:cs="Times New Roman"/>
          <w:lang w:val="sv-FI"/>
        </w:rPr>
        <w:t>RH 1998:64, 1998</w:t>
      </w:r>
      <w:bookmarkEnd w:id="14"/>
      <w:r w:rsidRPr="002D3CD2">
        <w:rPr>
          <w:rFonts w:ascii="Times New Roman" w:hAnsi="Times New Roman" w:cs="Times New Roman"/>
          <w:lang w:val="sv-FI"/>
        </w:rPr>
        <w:t>.</w:t>
      </w:r>
    </w:p>
  </w:footnote>
  <w:footnote w:id="84">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15" w:name="_Hlk509425074"/>
      <w:r w:rsidRPr="002D3CD2">
        <w:rPr>
          <w:rFonts w:ascii="Times New Roman" w:hAnsi="Times New Roman" w:cs="Times New Roman"/>
          <w:lang w:val="sv-FI"/>
        </w:rPr>
        <w:t>Rättshjälpsnämnden 405-1998</w:t>
      </w:r>
      <w:bookmarkEnd w:id="15"/>
      <w:r w:rsidRPr="002D3CD2">
        <w:rPr>
          <w:rFonts w:ascii="Times New Roman" w:hAnsi="Times New Roman" w:cs="Times New Roman"/>
          <w:lang w:val="sv-FI"/>
        </w:rPr>
        <w:t>.</w:t>
      </w:r>
    </w:p>
  </w:footnote>
  <w:footnote w:id="85">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w:t>
      </w:r>
      <w:bookmarkStart w:id="16" w:name="_Hlk510691957"/>
      <w:r w:rsidRPr="002D3CD2">
        <w:rPr>
          <w:rFonts w:ascii="Times New Roman" w:hAnsi="Times New Roman" w:cs="Times New Roman"/>
          <w:lang w:val="sv-FI"/>
        </w:rPr>
        <w:t>Rättshjälpsnämnden 623-1998.</w:t>
      </w:r>
      <w:bookmarkStart w:id="17" w:name="_GoBack"/>
      <w:bookmarkEnd w:id="17"/>
    </w:p>
    <w:bookmarkEnd w:id="16"/>
  </w:footnote>
  <w:footnote w:id="86">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Rättshjälpsnämnden 478-1998.</w:t>
      </w:r>
    </w:p>
  </w:footnote>
  <w:footnote w:id="87">
    <w:p w:rsidR="00A06708" w:rsidRPr="002D3CD2" w:rsidRDefault="00A06708" w:rsidP="002D3CD2">
      <w:pPr>
        <w:pStyle w:val="FootnoteText"/>
        <w:rPr>
          <w:rFonts w:ascii="Times New Roman" w:hAnsi="Times New Roman" w:cs="Times New Roman"/>
          <w:lang w:val="sv-FI"/>
        </w:rPr>
      </w:pPr>
      <w:r w:rsidRPr="002D3CD2">
        <w:rPr>
          <w:rStyle w:val="FootnoteReference"/>
          <w:rFonts w:ascii="Times New Roman" w:hAnsi="Times New Roman" w:cs="Times New Roman"/>
        </w:rPr>
        <w:footnoteRef/>
      </w:r>
      <w:r w:rsidRPr="002D3CD2">
        <w:rPr>
          <w:rFonts w:ascii="Times New Roman" w:hAnsi="Times New Roman" w:cs="Times New Roman"/>
          <w:lang w:val="sv-FI"/>
        </w:rPr>
        <w:t xml:space="preserve"> See e.g. Ö 38/00; </w:t>
      </w:r>
      <w:bookmarkStart w:id="18" w:name="_Hlk510691815"/>
      <w:r w:rsidRPr="002D3CD2">
        <w:rPr>
          <w:rFonts w:ascii="Times New Roman" w:hAnsi="Times New Roman" w:cs="Times New Roman"/>
          <w:lang w:val="sv-FI"/>
        </w:rPr>
        <w:t>Ö1327-99</w:t>
      </w:r>
      <w:bookmarkEnd w:id="18"/>
      <w:r w:rsidRPr="002D3CD2">
        <w:rPr>
          <w:rFonts w:ascii="Times New Roman" w:hAnsi="Times New Roman" w:cs="Times New Roman"/>
          <w:lang w:val="sv-FI"/>
        </w:rPr>
        <w:t>.</w:t>
      </w:r>
    </w:p>
  </w:footnote>
  <w:footnote w:id="8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An applicant must produce any relevant policies when making an application for legal aid. </w:t>
      </w:r>
      <w:proofErr w:type="spellStart"/>
      <w:r w:rsidRPr="002D3CD2">
        <w:rPr>
          <w:rFonts w:ascii="Times New Roman" w:hAnsi="Times New Roman" w:cs="Times New Roman"/>
        </w:rPr>
        <w:t>Statsrådets</w:t>
      </w:r>
      <w:proofErr w:type="spellEnd"/>
      <w:r w:rsidRPr="002D3CD2">
        <w:rPr>
          <w:rFonts w:ascii="Times New Roman" w:hAnsi="Times New Roman" w:cs="Times New Roman"/>
        </w:rPr>
        <w:t xml:space="preserve"> </w:t>
      </w:r>
      <w:proofErr w:type="spellStart"/>
      <w:r w:rsidRPr="002D3CD2">
        <w:rPr>
          <w:rFonts w:ascii="Times New Roman" w:hAnsi="Times New Roman" w:cs="Times New Roman"/>
        </w:rPr>
        <w:t>förordning</w:t>
      </w:r>
      <w:proofErr w:type="spellEnd"/>
      <w:r w:rsidRPr="002D3CD2">
        <w:rPr>
          <w:rFonts w:ascii="Times New Roman" w:hAnsi="Times New Roman" w:cs="Times New Roman"/>
        </w:rPr>
        <w:t xml:space="preserve"> </w:t>
      </w:r>
      <w:proofErr w:type="gramStart"/>
      <w:r w:rsidRPr="002D3CD2">
        <w:rPr>
          <w:rFonts w:ascii="Times New Roman" w:hAnsi="Times New Roman" w:cs="Times New Roman"/>
        </w:rPr>
        <w:t>om</w:t>
      </w:r>
      <w:proofErr w:type="gramEnd"/>
      <w:r w:rsidRPr="002D3CD2">
        <w:rPr>
          <w:rFonts w:ascii="Times New Roman" w:hAnsi="Times New Roman" w:cs="Times New Roman"/>
        </w:rPr>
        <w:t xml:space="preserve"> </w:t>
      </w:r>
      <w:proofErr w:type="spellStart"/>
      <w:r w:rsidRPr="002D3CD2">
        <w:rPr>
          <w:rFonts w:ascii="Times New Roman" w:hAnsi="Times New Roman" w:cs="Times New Roman"/>
        </w:rPr>
        <w:t>rättshjälp</w:t>
      </w:r>
      <w:proofErr w:type="spellEnd"/>
      <w:r w:rsidRPr="002D3CD2">
        <w:rPr>
          <w:rFonts w:ascii="Times New Roman" w:hAnsi="Times New Roman" w:cs="Times New Roman"/>
        </w:rPr>
        <w:t xml:space="preserve">, 2002, 8§2. </w:t>
      </w:r>
    </w:p>
  </w:footnote>
  <w:footnote w:id="89">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rPr>
        <w:t>Rättshjälpslag</w:t>
      </w:r>
      <w:proofErr w:type="spellEnd"/>
      <w:r w:rsidRPr="002D3CD2">
        <w:rPr>
          <w:rFonts w:ascii="Times New Roman" w:hAnsi="Times New Roman" w:cs="Times New Roman"/>
        </w:rPr>
        <w:t>, 2002, 3§.</w:t>
      </w:r>
      <w:proofErr w:type="gramEnd"/>
    </w:p>
  </w:footnote>
  <w:footnote w:id="90">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European Commission for the Efficiency of Justice, </w:t>
      </w:r>
      <w:r w:rsidR="00CD6324">
        <w:rPr>
          <w:rFonts w:ascii="Times New Roman" w:hAnsi="Times New Roman" w:cs="Times New Roman"/>
          <w:i/>
        </w:rPr>
        <w:t xml:space="preserve">supra </w:t>
      </w:r>
      <w:proofErr w:type="gramStart"/>
      <w:r w:rsidR="00CD6324" w:rsidRPr="00CD6324">
        <w:rPr>
          <w:rFonts w:ascii="Times New Roman" w:hAnsi="Times New Roman" w:cs="Times New Roman"/>
        </w:rPr>
        <w:t>note</w:t>
      </w:r>
      <w:proofErr w:type="gramEnd"/>
      <w:r w:rsidR="00CD6324" w:rsidRPr="00CD6324">
        <w:rPr>
          <w:rFonts w:ascii="Times New Roman" w:hAnsi="Times New Roman" w:cs="Times New Roman"/>
        </w:rPr>
        <w:t xml:space="preserve"> 26</w:t>
      </w:r>
      <w:r w:rsidRPr="00CD6324">
        <w:rPr>
          <w:rFonts w:ascii="Times New Roman" w:hAnsi="Times New Roman" w:cs="Times New Roman"/>
        </w:rPr>
        <w:t>,</w:t>
      </w:r>
      <w:r w:rsidRPr="002D3CD2">
        <w:rPr>
          <w:rFonts w:ascii="Times New Roman" w:hAnsi="Times New Roman" w:cs="Times New Roman"/>
        </w:rPr>
        <w:t xml:space="preserve"> p.17.</w:t>
      </w:r>
    </w:p>
  </w:footnote>
  <w:footnote w:id="91">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Barlow, Anna, ‘The Success Test for Civil Legal Aid in North-West Europe’, pp. 148-172 in </w:t>
      </w:r>
      <w:r w:rsidRPr="002D3CD2">
        <w:rPr>
          <w:rFonts w:ascii="Times New Roman" w:hAnsi="Times New Roman" w:cs="Times New Roman"/>
          <w:i/>
        </w:rPr>
        <w:t>Journal of Comparative Law</w:t>
      </w:r>
      <w:r w:rsidRPr="002D3CD2">
        <w:rPr>
          <w:rFonts w:ascii="Times New Roman" w:hAnsi="Times New Roman" w:cs="Times New Roman"/>
        </w:rPr>
        <w:t>, 12:1, 2017.</w:t>
      </w:r>
    </w:p>
  </w:footnote>
  <w:footnote w:id="92">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See e.g. </w:t>
      </w:r>
      <w:proofErr w:type="spellStart"/>
      <w:r w:rsidRPr="002D3CD2">
        <w:rPr>
          <w:rFonts w:ascii="Times New Roman" w:hAnsi="Times New Roman" w:cs="Times New Roman"/>
          <w:i/>
        </w:rPr>
        <w:t>Ashingdane</w:t>
      </w:r>
      <w:proofErr w:type="spellEnd"/>
      <w:r w:rsidRPr="002D3CD2">
        <w:rPr>
          <w:rFonts w:ascii="Times New Roman" w:hAnsi="Times New Roman" w:cs="Times New Roman"/>
          <w:i/>
        </w:rPr>
        <w:t xml:space="preserve"> v. UK</w:t>
      </w:r>
      <w:r w:rsidRPr="002D3CD2">
        <w:rPr>
          <w:rFonts w:ascii="Times New Roman" w:hAnsi="Times New Roman" w:cs="Times New Roman"/>
        </w:rPr>
        <w:t xml:space="preserve">, App. No. 8225/78, </w:t>
      </w:r>
      <w:proofErr w:type="gramStart"/>
      <w:r w:rsidRPr="002D3CD2">
        <w:rPr>
          <w:rFonts w:ascii="Times New Roman" w:hAnsi="Times New Roman" w:cs="Times New Roman"/>
        </w:rPr>
        <w:t>Judgment</w:t>
      </w:r>
      <w:proofErr w:type="gramEnd"/>
      <w:r w:rsidRPr="002D3CD2">
        <w:rPr>
          <w:rFonts w:ascii="Times New Roman" w:hAnsi="Times New Roman" w:cs="Times New Roman"/>
        </w:rPr>
        <w:t xml:space="preserve"> of 28 May 1985. </w:t>
      </w:r>
    </w:p>
  </w:footnote>
  <w:footnote w:id="93">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bookmarkStart w:id="19" w:name="_Hlk509242318"/>
      <w:proofErr w:type="spellStart"/>
      <w:proofErr w:type="gramStart"/>
      <w:r w:rsidRPr="002D3CD2">
        <w:rPr>
          <w:rFonts w:ascii="Times New Roman" w:hAnsi="Times New Roman" w:cs="Times New Roman"/>
        </w:rPr>
        <w:t>Rettshjelploven</w:t>
      </w:r>
      <w:bookmarkEnd w:id="19"/>
      <w:proofErr w:type="spellEnd"/>
      <w:r w:rsidRPr="002D3CD2">
        <w:rPr>
          <w:rFonts w:ascii="Times New Roman" w:hAnsi="Times New Roman" w:cs="Times New Roman"/>
        </w:rPr>
        <w:t>, 1980, §1.</w:t>
      </w:r>
      <w:proofErr w:type="gramEnd"/>
    </w:p>
  </w:footnote>
  <w:footnote w:id="94">
    <w:p w:rsidR="001C2A69" w:rsidRPr="002D3CD2" w:rsidRDefault="001C2A69" w:rsidP="001C2A69">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Barlow, 2017</w:t>
      </w:r>
      <w:r w:rsidR="00B518FF">
        <w:rPr>
          <w:rFonts w:ascii="Times New Roman" w:hAnsi="Times New Roman" w:cs="Times New Roman"/>
        </w:rPr>
        <w:t xml:space="preserve">, </w:t>
      </w:r>
      <w:r w:rsidR="00B518FF" w:rsidRPr="00A67283">
        <w:rPr>
          <w:rFonts w:ascii="Times New Roman" w:hAnsi="Times New Roman" w:cs="Times New Roman"/>
          <w:i/>
        </w:rPr>
        <w:t>supra</w:t>
      </w:r>
      <w:r w:rsidR="00B518FF">
        <w:rPr>
          <w:rFonts w:ascii="Times New Roman" w:hAnsi="Times New Roman" w:cs="Times New Roman"/>
        </w:rPr>
        <w:t xml:space="preserve"> </w:t>
      </w:r>
      <w:proofErr w:type="gramStart"/>
      <w:r w:rsidR="00B518FF">
        <w:rPr>
          <w:rFonts w:ascii="Times New Roman" w:hAnsi="Times New Roman" w:cs="Times New Roman"/>
        </w:rPr>
        <w:t>note</w:t>
      </w:r>
      <w:proofErr w:type="gramEnd"/>
      <w:r w:rsidR="00B518FF">
        <w:rPr>
          <w:rFonts w:ascii="Times New Roman" w:hAnsi="Times New Roman" w:cs="Times New Roman"/>
        </w:rPr>
        <w:t xml:space="preserve"> 91</w:t>
      </w:r>
      <w:r w:rsidRPr="002D3CD2">
        <w:rPr>
          <w:rFonts w:ascii="Times New Roman" w:hAnsi="Times New Roman" w:cs="Times New Roman"/>
        </w:rPr>
        <w:t>.</w:t>
      </w:r>
    </w:p>
  </w:footnote>
  <w:footnote w:id="95">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rPr>
        <w:t>Goriely</w:t>
      </w:r>
      <w:proofErr w:type="spellEnd"/>
      <w:r w:rsidRPr="002D3CD2">
        <w:rPr>
          <w:rFonts w:ascii="Times New Roman" w:hAnsi="Times New Roman" w:cs="Times New Roman"/>
        </w:rPr>
        <w:t xml:space="preserve">, Tamara; Das Gupta, Pieta and Bowles, Roger, </w:t>
      </w:r>
      <w:r w:rsidRPr="002D3CD2">
        <w:rPr>
          <w:rFonts w:ascii="Times New Roman" w:hAnsi="Times New Roman" w:cs="Times New Roman"/>
          <w:i/>
        </w:rPr>
        <w:t>Breaking the Code: the impact of Legal Aid reforms on general litigation</w:t>
      </w:r>
      <w:r w:rsidRPr="002D3CD2">
        <w:rPr>
          <w:rFonts w:ascii="Times New Roman" w:hAnsi="Times New Roman" w:cs="Times New Roman"/>
        </w:rPr>
        <w:t>, London, Institute of Advanced Legal Studies, 2001; Higham, David, ‘Does Justice Play Dice? Can lawyers predict the chances of success in litigation?</w:t>
      </w:r>
      <w:proofErr w:type="gramStart"/>
      <w:r w:rsidRPr="002D3CD2">
        <w:rPr>
          <w:rFonts w:ascii="Times New Roman" w:hAnsi="Times New Roman" w:cs="Times New Roman"/>
        </w:rPr>
        <w:t>’,</w:t>
      </w:r>
      <w:proofErr w:type="gramEnd"/>
      <w:r w:rsidRPr="002D3CD2">
        <w:rPr>
          <w:rFonts w:ascii="Times New Roman" w:hAnsi="Times New Roman" w:cs="Times New Roman"/>
        </w:rPr>
        <w:t xml:space="preserve"> pp. 20-30 in </w:t>
      </w:r>
      <w:r w:rsidRPr="002D3CD2">
        <w:rPr>
          <w:rFonts w:ascii="Times New Roman" w:hAnsi="Times New Roman" w:cs="Times New Roman"/>
          <w:i/>
        </w:rPr>
        <w:t xml:space="preserve">Nottingham Law Journal </w:t>
      </w:r>
      <w:r w:rsidRPr="002D3CD2">
        <w:rPr>
          <w:rFonts w:ascii="Times New Roman" w:hAnsi="Times New Roman" w:cs="Times New Roman"/>
        </w:rPr>
        <w:t>, 12(1), 2003.</w:t>
      </w:r>
    </w:p>
  </w:footnote>
  <w:footnote w:id="96">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001D3584" w:rsidRPr="001D3584">
        <w:rPr>
          <w:rFonts w:ascii="Times New Roman" w:hAnsi="Times New Roman" w:cs="Times New Roman"/>
        </w:rPr>
        <w:t>Halvorsen</w:t>
      </w:r>
      <w:proofErr w:type="spellEnd"/>
      <w:r w:rsidR="001D3584" w:rsidRPr="001D3584">
        <w:rPr>
          <w:rFonts w:ascii="Times New Roman" w:hAnsi="Times New Roman" w:cs="Times New Roman"/>
        </w:rPr>
        <w:t xml:space="preserve"> </w:t>
      </w:r>
      <w:proofErr w:type="spellStart"/>
      <w:r w:rsidR="001D3584" w:rsidRPr="001D3584">
        <w:rPr>
          <w:rFonts w:ascii="Times New Roman" w:hAnsi="Times New Roman" w:cs="Times New Roman"/>
        </w:rPr>
        <w:t>Rønning</w:t>
      </w:r>
      <w:proofErr w:type="spellEnd"/>
      <w:r w:rsidR="001D3584" w:rsidRPr="001D3584">
        <w:rPr>
          <w:rFonts w:ascii="Times New Roman" w:hAnsi="Times New Roman" w:cs="Times New Roman"/>
        </w:rPr>
        <w:t xml:space="preserve">, Olaf, ‘Legal Aid in Norway’, pp. 15-41 in </w:t>
      </w:r>
      <w:bookmarkStart w:id="20" w:name="_Hlk510692474"/>
      <w:proofErr w:type="spellStart"/>
      <w:r w:rsidR="001D3584" w:rsidRPr="001D3584">
        <w:rPr>
          <w:rFonts w:ascii="Times New Roman" w:hAnsi="Times New Roman" w:cs="Times New Roman"/>
        </w:rPr>
        <w:t>Halvorsen</w:t>
      </w:r>
      <w:proofErr w:type="spellEnd"/>
      <w:r w:rsidR="001D3584" w:rsidRPr="001D3584">
        <w:rPr>
          <w:rFonts w:ascii="Times New Roman" w:hAnsi="Times New Roman" w:cs="Times New Roman"/>
        </w:rPr>
        <w:t xml:space="preserve"> </w:t>
      </w:r>
      <w:proofErr w:type="spellStart"/>
      <w:r w:rsidR="001D3584" w:rsidRPr="001D3584">
        <w:rPr>
          <w:rFonts w:ascii="Times New Roman" w:hAnsi="Times New Roman" w:cs="Times New Roman"/>
        </w:rPr>
        <w:t>Rønning</w:t>
      </w:r>
      <w:proofErr w:type="spellEnd"/>
      <w:r w:rsidR="001D3584" w:rsidRPr="001D3584">
        <w:rPr>
          <w:rFonts w:ascii="Times New Roman" w:hAnsi="Times New Roman" w:cs="Times New Roman"/>
        </w:rPr>
        <w:t xml:space="preserve">, Olaf and </w:t>
      </w:r>
      <w:proofErr w:type="spellStart"/>
      <w:r w:rsidR="001D3584" w:rsidRPr="001D3584">
        <w:rPr>
          <w:rFonts w:ascii="Times New Roman" w:hAnsi="Times New Roman" w:cs="Times New Roman"/>
        </w:rPr>
        <w:t>Hammerslev</w:t>
      </w:r>
      <w:proofErr w:type="spellEnd"/>
      <w:r w:rsidR="001D3584" w:rsidRPr="001D3584">
        <w:rPr>
          <w:rFonts w:ascii="Times New Roman" w:hAnsi="Times New Roman" w:cs="Times New Roman"/>
        </w:rPr>
        <w:t xml:space="preserve">, Ole (eds.) </w:t>
      </w:r>
      <w:r w:rsidR="001D3584" w:rsidRPr="001D3584">
        <w:rPr>
          <w:rFonts w:ascii="Times New Roman" w:hAnsi="Times New Roman" w:cs="Times New Roman"/>
          <w:i/>
        </w:rPr>
        <w:t>Outsourcing Legal Aid in the Nordic Welfare States</w:t>
      </w:r>
      <w:r w:rsidR="001D3584" w:rsidRPr="001D3584">
        <w:rPr>
          <w:rFonts w:ascii="Times New Roman" w:hAnsi="Times New Roman" w:cs="Times New Roman"/>
        </w:rPr>
        <w:t>, Open Access, 2018</w:t>
      </w:r>
      <w:bookmarkEnd w:id="20"/>
      <w:r w:rsidRPr="002D3CD2">
        <w:rPr>
          <w:rFonts w:ascii="Times New Roman" w:hAnsi="Times New Roman" w:cs="Times New Roman"/>
        </w:rPr>
        <w:t>, p. 21.</w:t>
      </w:r>
    </w:p>
  </w:footnote>
  <w:footnote w:id="97">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gramStart"/>
      <w:r w:rsidRPr="002D3CD2">
        <w:rPr>
          <w:rFonts w:ascii="Times New Roman" w:hAnsi="Times New Roman" w:cs="Times New Roman"/>
          <w:i/>
        </w:rPr>
        <w:t>R (on the application of Rights for Women) v.</w:t>
      </w:r>
      <w:proofErr w:type="gramEnd"/>
      <w:r w:rsidRPr="002D3CD2">
        <w:rPr>
          <w:rFonts w:ascii="Times New Roman" w:hAnsi="Times New Roman" w:cs="Times New Roman"/>
          <w:i/>
        </w:rPr>
        <w:t xml:space="preserve"> The Lord Chancellor</w:t>
      </w:r>
      <w:r w:rsidRPr="002D3CD2">
        <w:rPr>
          <w:rFonts w:ascii="Times New Roman" w:hAnsi="Times New Roman" w:cs="Times New Roman"/>
        </w:rPr>
        <w:t>, 2016, para. 45.</w:t>
      </w:r>
    </w:p>
  </w:footnote>
  <w:footnote w:id="98">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bookmarkStart w:id="21" w:name="_Hlk509415728"/>
      <w:r w:rsidRPr="002D3CD2">
        <w:rPr>
          <w:rFonts w:ascii="Times New Roman" w:hAnsi="Times New Roman" w:cs="Times New Roman"/>
        </w:rPr>
        <w:t xml:space="preserve"> </w:t>
      </w:r>
      <w:proofErr w:type="gramStart"/>
      <w:r w:rsidRPr="002D3CD2">
        <w:rPr>
          <w:rFonts w:ascii="Times New Roman" w:hAnsi="Times New Roman" w:cs="Times New Roman"/>
        </w:rPr>
        <w:t>CEDAW/C/GBR/CO/7, p. 4, para.</w:t>
      </w:r>
      <w:proofErr w:type="gramEnd"/>
      <w:r w:rsidRPr="002D3CD2">
        <w:rPr>
          <w:rFonts w:ascii="Times New Roman" w:hAnsi="Times New Roman" w:cs="Times New Roman"/>
        </w:rPr>
        <w:t xml:space="preserve"> 22.</w:t>
      </w:r>
      <w:bookmarkEnd w:id="21"/>
    </w:p>
  </w:footnote>
  <w:footnote w:id="99">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Priority case types are given immediate or near-immediate attention. </w:t>
      </w:r>
      <w:r w:rsidR="00E25ED8" w:rsidRPr="00E25ED8">
        <w:rPr>
          <w:rFonts w:ascii="Times New Roman" w:hAnsi="Times New Roman" w:cs="Times New Roman"/>
          <w:i/>
        </w:rPr>
        <w:t>Access to Justice: A Report of the Legal Aid Task Force</w:t>
      </w:r>
      <w:r w:rsidR="00E25ED8" w:rsidRPr="00E25ED8">
        <w:rPr>
          <w:rFonts w:ascii="Times New Roman" w:hAnsi="Times New Roman" w:cs="Times New Roman"/>
        </w:rPr>
        <w:t xml:space="preserve">, </w:t>
      </w:r>
      <w:r w:rsidRPr="002D3CD2">
        <w:rPr>
          <w:rFonts w:ascii="Times New Roman" w:hAnsi="Times New Roman" w:cs="Times New Roman"/>
        </w:rPr>
        <w:t>Law Society of Ireland 2012.</w:t>
      </w:r>
    </w:p>
  </w:footnote>
  <w:footnote w:id="100">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i/>
        </w:rPr>
        <w:t>O'Donoghue</w:t>
      </w:r>
      <w:proofErr w:type="spellEnd"/>
      <w:r w:rsidRPr="002D3CD2">
        <w:rPr>
          <w:rFonts w:ascii="Times New Roman" w:hAnsi="Times New Roman" w:cs="Times New Roman"/>
          <w:i/>
        </w:rPr>
        <w:t xml:space="preserve"> -v- Legal Aid Board &amp; </w:t>
      </w:r>
      <w:proofErr w:type="spellStart"/>
      <w:r w:rsidRPr="002D3CD2">
        <w:rPr>
          <w:rFonts w:ascii="Times New Roman" w:hAnsi="Times New Roman" w:cs="Times New Roman"/>
          <w:i/>
        </w:rPr>
        <w:t>ors</w:t>
      </w:r>
      <w:proofErr w:type="spellEnd"/>
      <w:r w:rsidRPr="002D3CD2">
        <w:rPr>
          <w:rFonts w:ascii="Times New Roman" w:hAnsi="Times New Roman" w:cs="Times New Roman"/>
        </w:rPr>
        <w:t>, 2004, as per Mr Justice Kelly.</w:t>
      </w:r>
      <w:proofErr w:type="gramEnd"/>
    </w:p>
  </w:footnote>
  <w:footnote w:id="101">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r w:rsidRPr="002D3CD2">
        <w:rPr>
          <w:rFonts w:ascii="Times New Roman" w:hAnsi="Times New Roman" w:cs="Times New Roman"/>
          <w:i/>
        </w:rPr>
        <w:t>Steel and Morris v. the United Kingdom</w:t>
      </w:r>
      <w:r w:rsidRPr="002D3CD2">
        <w:rPr>
          <w:rFonts w:ascii="Times New Roman" w:hAnsi="Times New Roman" w:cs="Times New Roman"/>
        </w:rPr>
        <w:t xml:space="preserve">, App. No. 68416/01, Judgment of 15 February 2005. </w:t>
      </w:r>
    </w:p>
  </w:footnote>
  <w:footnote w:id="102">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i/>
        </w:rPr>
        <w:t>Salduz</w:t>
      </w:r>
      <w:proofErr w:type="spellEnd"/>
      <w:r w:rsidRPr="002D3CD2">
        <w:rPr>
          <w:rFonts w:ascii="Times New Roman" w:hAnsi="Times New Roman" w:cs="Times New Roman"/>
          <w:i/>
        </w:rPr>
        <w:t xml:space="preserve"> v. Turkey</w:t>
      </w:r>
      <w:r w:rsidRPr="002D3CD2">
        <w:rPr>
          <w:rFonts w:ascii="Times New Roman" w:hAnsi="Times New Roman" w:cs="Times New Roman"/>
        </w:rPr>
        <w:t>, App. No. 36391/02, Judgment of 27 November 2008.</w:t>
      </w:r>
    </w:p>
  </w:footnote>
  <w:footnote w:id="103">
    <w:p w:rsidR="00A06708" w:rsidRPr="00D36D84"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bookmarkStart w:id="22" w:name="_Hlk509303591"/>
      <w:r w:rsidRPr="001C2A69">
        <w:rPr>
          <w:rFonts w:ascii="Times New Roman" w:hAnsi="Times New Roman" w:cs="Times New Roman"/>
          <w:i/>
        </w:rPr>
        <w:t xml:space="preserve"> </w:t>
      </w:r>
      <w:proofErr w:type="spellStart"/>
      <w:proofErr w:type="gramStart"/>
      <w:r w:rsidRPr="001C2A69">
        <w:rPr>
          <w:rFonts w:ascii="Times New Roman" w:hAnsi="Times New Roman" w:cs="Times New Roman"/>
          <w:i/>
        </w:rPr>
        <w:t>Laskowska</w:t>
      </w:r>
      <w:proofErr w:type="spellEnd"/>
      <w:r w:rsidRPr="001C2A69">
        <w:rPr>
          <w:rFonts w:ascii="Times New Roman" w:hAnsi="Times New Roman" w:cs="Times New Roman"/>
          <w:i/>
        </w:rPr>
        <w:t xml:space="preserve"> v. Poland</w:t>
      </w:r>
      <w:r w:rsidRPr="001C2A69">
        <w:rPr>
          <w:rFonts w:ascii="Times New Roman" w:hAnsi="Times New Roman" w:cs="Times New Roman"/>
        </w:rPr>
        <w:t>,</w:t>
      </w:r>
      <w:bookmarkEnd w:id="22"/>
      <w:r w:rsidR="001C2A69" w:rsidRPr="001C2A69">
        <w:rPr>
          <w:rFonts w:ascii="Times New Roman" w:hAnsi="Times New Roman" w:cs="Times New Roman"/>
        </w:rPr>
        <w:t xml:space="preserve"> </w:t>
      </w:r>
      <w:r w:rsidR="00D36D84" w:rsidRPr="001C2A69">
        <w:rPr>
          <w:rFonts w:ascii="Times New Roman" w:hAnsi="Times New Roman" w:cs="Times New Roman"/>
        </w:rPr>
        <w:t xml:space="preserve">App. No. 77765/01, </w:t>
      </w:r>
      <w:r w:rsidR="00D36D84" w:rsidRPr="00D36D84">
        <w:rPr>
          <w:rFonts w:ascii="Times New Roman" w:hAnsi="Times New Roman" w:cs="Times New Roman"/>
        </w:rPr>
        <w:t>Judgment</w:t>
      </w:r>
      <w:r w:rsidR="00D36D84">
        <w:rPr>
          <w:rFonts w:ascii="Times New Roman" w:hAnsi="Times New Roman" w:cs="Times New Roman"/>
        </w:rPr>
        <w:t xml:space="preserve"> of</w:t>
      </w:r>
      <w:r w:rsidR="00D36D84" w:rsidRPr="00D36D84">
        <w:rPr>
          <w:rFonts w:ascii="Times New Roman" w:hAnsi="Times New Roman" w:cs="Times New Roman"/>
        </w:rPr>
        <w:t xml:space="preserve"> 13 March 2007</w:t>
      </w:r>
      <w:r w:rsidR="00D36D84">
        <w:rPr>
          <w:rFonts w:ascii="Times New Roman" w:hAnsi="Times New Roman" w:cs="Times New Roman"/>
        </w:rPr>
        <w:t>,</w:t>
      </w:r>
      <w:r w:rsidR="00D36D84" w:rsidRPr="00D36D84">
        <w:rPr>
          <w:rFonts w:ascii="Times New Roman" w:hAnsi="Times New Roman" w:cs="Times New Roman"/>
        </w:rPr>
        <w:t xml:space="preserve"> </w:t>
      </w:r>
      <w:r w:rsidRPr="001C2A69">
        <w:rPr>
          <w:rFonts w:ascii="Times New Roman" w:hAnsi="Times New Roman" w:cs="Times New Roman"/>
        </w:rPr>
        <w:t>para.</w:t>
      </w:r>
      <w:proofErr w:type="gramEnd"/>
      <w:r w:rsidRPr="001C2A69">
        <w:rPr>
          <w:rFonts w:ascii="Times New Roman" w:hAnsi="Times New Roman" w:cs="Times New Roman"/>
        </w:rPr>
        <w:t xml:space="preserve"> </w:t>
      </w:r>
      <w:r w:rsidRPr="00D36D84">
        <w:rPr>
          <w:rFonts w:ascii="Times New Roman" w:hAnsi="Times New Roman" w:cs="Times New Roman"/>
        </w:rPr>
        <w:t>54.</w:t>
      </w:r>
      <w:r w:rsidR="00D36D84" w:rsidRPr="00D36D84">
        <w:rPr>
          <w:rFonts w:ascii="Times New Roman" w:hAnsi="Times New Roman" w:cs="Times New Roman"/>
          <w:sz w:val="24"/>
          <w:szCs w:val="24"/>
        </w:rPr>
        <w:t xml:space="preserve"> </w:t>
      </w:r>
    </w:p>
  </w:footnote>
  <w:footnote w:id="104">
    <w:p w:rsidR="00A06708" w:rsidRPr="00D36D84"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D36D84">
        <w:rPr>
          <w:rFonts w:ascii="Times New Roman" w:hAnsi="Times New Roman" w:cs="Times New Roman"/>
          <w:i/>
        </w:rPr>
        <w:t xml:space="preserve"> </w:t>
      </w:r>
      <w:proofErr w:type="spellStart"/>
      <w:proofErr w:type="gramStart"/>
      <w:r w:rsidRPr="00D36D84">
        <w:rPr>
          <w:rFonts w:ascii="Times New Roman" w:hAnsi="Times New Roman" w:cs="Times New Roman"/>
          <w:i/>
        </w:rPr>
        <w:t>Ibidem</w:t>
      </w:r>
      <w:proofErr w:type="spellEnd"/>
      <w:r w:rsidRPr="00D36D84">
        <w:rPr>
          <w:rFonts w:ascii="Times New Roman" w:hAnsi="Times New Roman" w:cs="Times New Roman"/>
        </w:rPr>
        <w:t>.</w:t>
      </w:r>
      <w:proofErr w:type="gramEnd"/>
    </w:p>
  </w:footnote>
  <w:footnote w:id="105">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proofErr w:type="gramStart"/>
      <w:r w:rsidRPr="002D3CD2">
        <w:rPr>
          <w:rFonts w:ascii="Times New Roman" w:hAnsi="Times New Roman" w:cs="Times New Roman"/>
          <w:i/>
        </w:rPr>
        <w:t>Gnahore</w:t>
      </w:r>
      <w:proofErr w:type="spellEnd"/>
      <w:r w:rsidRPr="002D3CD2">
        <w:rPr>
          <w:rFonts w:ascii="Times New Roman" w:hAnsi="Times New Roman" w:cs="Times New Roman"/>
          <w:i/>
        </w:rPr>
        <w:t xml:space="preserve"> v. France</w:t>
      </w:r>
      <w:r w:rsidRPr="002D3CD2">
        <w:rPr>
          <w:rFonts w:ascii="Times New Roman" w:hAnsi="Times New Roman" w:cs="Times New Roman"/>
        </w:rPr>
        <w:t xml:space="preserve">, </w:t>
      </w:r>
      <w:r w:rsidR="00D36D84" w:rsidRPr="00D36D84">
        <w:rPr>
          <w:rFonts w:ascii="Times New Roman" w:hAnsi="Times New Roman" w:cs="Times New Roman"/>
        </w:rPr>
        <w:t>App. No. 40031/98</w:t>
      </w:r>
      <w:r w:rsidR="00D36D84" w:rsidRPr="002D3CD2">
        <w:rPr>
          <w:rFonts w:ascii="Times New Roman" w:hAnsi="Times New Roman" w:cs="Times New Roman"/>
        </w:rPr>
        <w:t>2000</w:t>
      </w:r>
      <w:r w:rsidR="00D36D84">
        <w:rPr>
          <w:rFonts w:ascii="Times New Roman" w:hAnsi="Times New Roman" w:cs="Times New Roman"/>
        </w:rPr>
        <w:t xml:space="preserve">, </w:t>
      </w:r>
      <w:r w:rsidR="00D36D84" w:rsidRPr="00D36D84">
        <w:rPr>
          <w:rFonts w:ascii="Times New Roman" w:hAnsi="Times New Roman" w:cs="Times New Roman"/>
        </w:rPr>
        <w:t xml:space="preserve">Judgment </w:t>
      </w:r>
      <w:r w:rsidR="00D36D84">
        <w:rPr>
          <w:rFonts w:ascii="Times New Roman" w:hAnsi="Times New Roman" w:cs="Times New Roman"/>
        </w:rPr>
        <w:t xml:space="preserve">of </w:t>
      </w:r>
      <w:r w:rsidR="00D36D84" w:rsidRPr="00D36D84">
        <w:rPr>
          <w:rFonts w:ascii="Times New Roman" w:hAnsi="Times New Roman" w:cs="Times New Roman"/>
        </w:rPr>
        <w:t>19 September 2000</w:t>
      </w:r>
      <w:r w:rsidRPr="002D3CD2">
        <w:rPr>
          <w:rFonts w:ascii="Times New Roman" w:hAnsi="Times New Roman" w:cs="Times New Roman"/>
        </w:rPr>
        <w:t>, para.</w:t>
      </w:r>
      <w:proofErr w:type="gramEnd"/>
      <w:r w:rsidRPr="002D3CD2">
        <w:rPr>
          <w:rFonts w:ascii="Times New Roman" w:hAnsi="Times New Roman" w:cs="Times New Roman"/>
        </w:rPr>
        <w:t xml:space="preserve"> </w:t>
      </w:r>
      <w:proofErr w:type="gramStart"/>
      <w:r w:rsidRPr="002D3CD2">
        <w:rPr>
          <w:rFonts w:ascii="Times New Roman" w:hAnsi="Times New Roman" w:cs="Times New Roman"/>
        </w:rPr>
        <w:t xml:space="preserve">41; </w:t>
      </w:r>
      <w:bookmarkStart w:id="23" w:name="_Hlk509303523"/>
      <w:r w:rsidRPr="002D3CD2">
        <w:rPr>
          <w:rFonts w:ascii="Times New Roman" w:hAnsi="Times New Roman" w:cs="Times New Roman"/>
          <w:i/>
        </w:rPr>
        <w:t>Del Sol v. France</w:t>
      </w:r>
      <w:r w:rsidRPr="002D3CD2">
        <w:rPr>
          <w:rFonts w:ascii="Times New Roman" w:hAnsi="Times New Roman" w:cs="Times New Roman"/>
        </w:rPr>
        <w:t xml:space="preserve">, </w:t>
      </w:r>
      <w:r w:rsidR="00D36D84" w:rsidRPr="00D36D84">
        <w:rPr>
          <w:rFonts w:ascii="Times New Roman" w:hAnsi="Times New Roman" w:cs="Times New Roman"/>
        </w:rPr>
        <w:t>App. No. 46800/99,</w:t>
      </w:r>
      <w:r w:rsidR="001C2A69">
        <w:rPr>
          <w:rFonts w:ascii="Times New Roman" w:hAnsi="Times New Roman" w:cs="Times New Roman"/>
        </w:rPr>
        <w:t xml:space="preserve"> </w:t>
      </w:r>
      <w:r w:rsidR="00D36D84" w:rsidRPr="00D36D84">
        <w:rPr>
          <w:rFonts w:ascii="Times New Roman" w:hAnsi="Times New Roman" w:cs="Times New Roman"/>
        </w:rPr>
        <w:t xml:space="preserve">Judgment </w:t>
      </w:r>
      <w:r w:rsidR="00D36D84">
        <w:rPr>
          <w:rFonts w:ascii="Times New Roman" w:hAnsi="Times New Roman" w:cs="Times New Roman"/>
        </w:rPr>
        <w:t xml:space="preserve">of </w:t>
      </w:r>
      <w:r w:rsidR="00D36D84" w:rsidRPr="00D36D84">
        <w:rPr>
          <w:rFonts w:ascii="Times New Roman" w:hAnsi="Times New Roman" w:cs="Times New Roman"/>
        </w:rPr>
        <w:t>26 February 2002</w:t>
      </w:r>
      <w:bookmarkEnd w:id="23"/>
      <w:r w:rsidRPr="002D3CD2">
        <w:rPr>
          <w:rFonts w:ascii="Times New Roman" w:hAnsi="Times New Roman" w:cs="Times New Roman"/>
        </w:rPr>
        <w:t>, para.</w:t>
      </w:r>
      <w:proofErr w:type="gramEnd"/>
      <w:r w:rsidRPr="002D3CD2">
        <w:rPr>
          <w:rFonts w:ascii="Times New Roman" w:hAnsi="Times New Roman" w:cs="Times New Roman"/>
        </w:rPr>
        <w:t xml:space="preserve"> 26.</w:t>
      </w:r>
    </w:p>
  </w:footnote>
  <w:footnote w:id="106">
    <w:p w:rsidR="00A06708" w:rsidRPr="00D36D84"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D36D84">
        <w:rPr>
          <w:rFonts w:ascii="Times New Roman" w:hAnsi="Times New Roman" w:cs="Times New Roman"/>
          <w:lang w:val="sv-FI"/>
        </w:rPr>
        <w:t xml:space="preserve"> </w:t>
      </w:r>
      <w:r w:rsidRPr="00D36D84">
        <w:rPr>
          <w:rFonts w:ascii="Times New Roman" w:hAnsi="Times New Roman" w:cs="Times New Roman"/>
          <w:i/>
          <w:lang w:val="sv-FI"/>
        </w:rPr>
        <w:t xml:space="preserve">Laskowska v. </w:t>
      </w:r>
      <w:r w:rsidRPr="00D36D84">
        <w:rPr>
          <w:rFonts w:ascii="Times New Roman" w:hAnsi="Times New Roman" w:cs="Times New Roman"/>
          <w:i/>
          <w:lang w:val="sv-FI"/>
        </w:rPr>
        <w:t xml:space="preserve">Poland, </w:t>
      </w:r>
      <w:r w:rsidR="00D36D84" w:rsidRPr="00A67283">
        <w:rPr>
          <w:rFonts w:ascii="Times New Roman" w:hAnsi="Times New Roman" w:cs="Times New Roman"/>
          <w:i/>
          <w:lang w:val="sv-FI"/>
        </w:rPr>
        <w:t>supra</w:t>
      </w:r>
      <w:r w:rsidR="00D36D84" w:rsidRPr="00D36D84">
        <w:rPr>
          <w:rFonts w:ascii="Times New Roman" w:hAnsi="Times New Roman" w:cs="Times New Roman"/>
          <w:lang w:val="sv-FI"/>
        </w:rPr>
        <w:t xml:space="preserve"> note 104</w:t>
      </w:r>
      <w:r w:rsidRPr="00D36D84">
        <w:rPr>
          <w:rFonts w:ascii="Times New Roman" w:hAnsi="Times New Roman" w:cs="Times New Roman"/>
          <w:lang w:val="sv-FI"/>
        </w:rPr>
        <w:t xml:space="preserve">, para. </w:t>
      </w:r>
      <w:r w:rsidRPr="00D36D84">
        <w:rPr>
          <w:rFonts w:ascii="Times New Roman" w:hAnsi="Times New Roman" w:cs="Times New Roman"/>
        </w:rPr>
        <w:t>54.</w:t>
      </w:r>
    </w:p>
  </w:footnote>
  <w:footnote w:id="107">
    <w:p w:rsidR="00A06708" w:rsidRPr="002D3CD2" w:rsidRDefault="00A06708" w:rsidP="002D3CD2">
      <w:pPr>
        <w:pStyle w:val="FootnoteText"/>
        <w:rPr>
          <w:rFonts w:ascii="Times New Roman" w:hAnsi="Times New Roman" w:cs="Times New Roman"/>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iCs/>
        </w:rPr>
        <w:t>Barendrecht</w:t>
      </w:r>
      <w:proofErr w:type="spellEnd"/>
      <w:r w:rsidRPr="002D3CD2">
        <w:rPr>
          <w:rFonts w:ascii="Times New Roman" w:hAnsi="Times New Roman" w:cs="Times New Roman"/>
          <w:iCs/>
        </w:rPr>
        <w:t xml:space="preserve">, </w:t>
      </w:r>
      <w:proofErr w:type="spellStart"/>
      <w:r w:rsidRPr="002D3CD2">
        <w:rPr>
          <w:rFonts w:ascii="Times New Roman" w:hAnsi="Times New Roman" w:cs="Times New Roman"/>
          <w:iCs/>
        </w:rPr>
        <w:t>Maurits</w:t>
      </w:r>
      <w:proofErr w:type="spellEnd"/>
      <w:r w:rsidRPr="002D3CD2">
        <w:rPr>
          <w:rFonts w:ascii="Times New Roman" w:hAnsi="Times New Roman" w:cs="Times New Roman"/>
          <w:iCs/>
        </w:rPr>
        <w:t xml:space="preserve">; Mulder, José and </w:t>
      </w:r>
      <w:proofErr w:type="spellStart"/>
      <w:r w:rsidRPr="002D3CD2">
        <w:rPr>
          <w:rFonts w:ascii="Times New Roman" w:hAnsi="Times New Roman" w:cs="Times New Roman"/>
          <w:iCs/>
        </w:rPr>
        <w:t>Giesen</w:t>
      </w:r>
      <w:proofErr w:type="spellEnd"/>
      <w:r w:rsidRPr="002D3CD2">
        <w:rPr>
          <w:rFonts w:ascii="Times New Roman" w:hAnsi="Times New Roman" w:cs="Times New Roman"/>
          <w:iCs/>
        </w:rPr>
        <w:t>, Ivo, ‘How to Measure the Price and Quality of Access to Justice?</w:t>
      </w:r>
      <w:proofErr w:type="gramStart"/>
      <w:r w:rsidRPr="002D3CD2">
        <w:rPr>
          <w:rFonts w:ascii="Times New Roman" w:hAnsi="Times New Roman" w:cs="Times New Roman"/>
          <w:iCs/>
        </w:rPr>
        <w:t>’,</w:t>
      </w:r>
      <w:proofErr w:type="gramEnd"/>
      <w:r w:rsidRPr="002D3CD2">
        <w:rPr>
          <w:rFonts w:ascii="Times New Roman" w:hAnsi="Times New Roman" w:cs="Times New Roman"/>
          <w:iCs/>
        </w:rPr>
        <w:t xml:space="preserve"> </w:t>
      </w:r>
      <w:r w:rsidRPr="00D36D84">
        <w:rPr>
          <w:rFonts w:ascii="Times New Roman" w:hAnsi="Times New Roman" w:cs="Times New Roman"/>
          <w:i/>
          <w:iCs/>
        </w:rPr>
        <w:t>SSRN Electronic Journal</w:t>
      </w:r>
      <w:r w:rsidRPr="002D3CD2">
        <w:rPr>
          <w:rFonts w:ascii="Times New Roman" w:hAnsi="Times New Roman" w:cs="Times New Roman"/>
          <w:iCs/>
        </w:rPr>
        <w:t xml:space="preserve">, November 2006, available at https://dx.doi.org/10.2139/ssrn.949209. </w:t>
      </w:r>
    </w:p>
  </w:footnote>
  <w:footnote w:id="108">
    <w:p w:rsidR="00A06708" w:rsidRPr="002D3CD2" w:rsidRDefault="00A06708" w:rsidP="002D3CD2">
      <w:pPr>
        <w:pStyle w:val="FootnoteText"/>
        <w:rPr>
          <w:rFonts w:ascii="Times New Roman" w:hAnsi="Times New Roman" w:cs="Times New Roman"/>
          <w:iCs/>
        </w:rPr>
      </w:pPr>
      <w:r w:rsidRPr="002D3CD2">
        <w:rPr>
          <w:rStyle w:val="FootnoteReference"/>
          <w:rFonts w:ascii="Times New Roman" w:hAnsi="Times New Roman" w:cs="Times New Roman"/>
        </w:rPr>
        <w:footnoteRef/>
      </w:r>
      <w:r w:rsidRPr="002D3CD2">
        <w:rPr>
          <w:rFonts w:ascii="Times New Roman" w:hAnsi="Times New Roman" w:cs="Times New Roman"/>
        </w:rPr>
        <w:t xml:space="preserve"> </w:t>
      </w:r>
      <w:proofErr w:type="spellStart"/>
      <w:r w:rsidRPr="002D3CD2">
        <w:rPr>
          <w:rFonts w:ascii="Times New Roman" w:hAnsi="Times New Roman" w:cs="Times New Roman"/>
          <w:iCs/>
        </w:rPr>
        <w:t>Gramatikov</w:t>
      </w:r>
      <w:proofErr w:type="spellEnd"/>
      <w:r w:rsidRPr="002D3CD2">
        <w:rPr>
          <w:rFonts w:ascii="Times New Roman" w:hAnsi="Times New Roman" w:cs="Times New Roman"/>
          <w:iCs/>
        </w:rPr>
        <w:t xml:space="preserve">, Martin; </w:t>
      </w:r>
      <w:proofErr w:type="spellStart"/>
      <w:r w:rsidRPr="002D3CD2">
        <w:rPr>
          <w:rFonts w:ascii="Times New Roman" w:hAnsi="Times New Roman" w:cs="Times New Roman"/>
          <w:iCs/>
        </w:rPr>
        <w:t>Barendrecht</w:t>
      </w:r>
      <w:proofErr w:type="spellEnd"/>
      <w:r w:rsidRPr="002D3CD2">
        <w:rPr>
          <w:rFonts w:ascii="Times New Roman" w:hAnsi="Times New Roman" w:cs="Times New Roman"/>
          <w:iCs/>
        </w:rPr>
        <w:t xml:space="preserve">, </w:t>
      </w:r>
      <w:proofErr w:type="spellStart"/>
      <w:r w:rsidRPr="002D3CD2">
        <w:rPr>
          <w:rFonts w:ascii="Times New Roman" w:hAnsi="Times New Roman" w:cs="Times New Roman"/>
          <w:iCs/>
        </w:rPr>
        <w:t>Maurits</w:t>
      </w:r>
      <w:proofErr w:type="spellEnd"/>
      <w:r w:rsidRPr="002D3CD2">
        <w:rPr>
          <w:rFonts w:ascii="Times New Roman" w:hAnsi="Times New Roman" w:cs="Times New Roman"/>
          <w:iCs/>
        </w:rPr>
        <w:t xml:space="preserve"> and </w:t>
      </w:r>
      <w:proofErr w:type="spellStart"/>
      <w:r w:rsidRPr="002D3CD2">
        <w:rPr>
          <w:rFonts w:ascii="Times New Roman" w:hAnsi="Times New Roman" w:cs="Times New Roman"/>
          <w:iCs/>
        </w:rPr>
        <w:t>Verdonschot</w:t>
      </w:r>
      <w:proofErr w:type="spellEnd"/>
      <w:r w:rsidRPr="002D3CD2">
        <w:rPr>
          <w:rFonts w:ascii="Times New Roman" w:hAnsi="Times New Roman" w:cs="Times New Roman"/>
          <w:iCs/>
        </w:rPr>
        <w:t xml:space="preserve">, </w:t>
      </w:r>
      <w:proofErr w:type="spellStart"/>
      <w:r w:rsidRPr="002D3CD2">
        <w:rPr>
          <w:rFonts w:ascii="Times New Roman" w:hAnsi="Times New Roman" w:cs="Times New Roman"/>
          <w:iCs/>
        </w:rPr>
        <w:t>Jin</w:t>
      </w:r>
      <w:proofErr w:type="spellEnd"/>
      <w:r w:rsidRPr="002D3CD2">
        <w:rPr>
          <w:rFonts w:ascii="Times New Roman" w:hAnsi="Times New Roman" w:cs="Times New Roman"/>
          <w:iCs/>
        </w:rPr>
        <w:t xml:space="preserve"> </w:t>
      </w:r>
      <w:proofErr w:type="spellStart"/>
      <w:r w:rsidRPr="002D3CD2">
        <w:rPr>
          <w:rFonts w:ascii="Times New Roman" w:hAnsi="Times New Roman" w:cs="Times New Roman"/>
          <w:iCs/>
        </w:rPr>
        <w:t>Ho</w:t>
      </w:r>
      <w:proofErr w:type="spellEnd"/>
      <w:r w:rsidRPr="002D3CD2">
        <w:rPr>
          <w:rFonts w:ascii="Times New Roman" w:hAnsi="Times New Roman" w:cs="Times New Roman"/>
          <w:iCs/>
        </w:rPr>
        <w:t xml:space="preserve">, ‘Measuring the Cost and Quality of Paths to Justice: Contours of a Methodology’, pp. 349-379 in </w:t>
      </w:r>
      <w:r w:rsidRPr="002D3CD2">
        <w:rPr>
          <w:rFonts w:ascii="Times New Roman" w:hAnsi="Times New Roman" w:cs="Times New Roman"/>
          <w:i/>
          <w:iCs/>
        </w:rPr>
        <w:t>Hague Journal on the Rule of Law</w:t>
      </w:r>
      <w:r w:rsidRPr="002D3CD2">
        <w:rPr>
          <w:rFonts w:ascii="Times New Roman" w:hAnsi="Times New Roman" w:cs="Times New Roman"/>
          <w:iCs/>
        </w:rPr>
        <w:t>, 3(2), 2011.</w:t>
      </w:r>
    </w:p>
    <w:p w:rsidR="00A06708" w:rsidRPr="002D3CD2" w:rsidRDefault="00A06708" w:rsidP="002D3CD2">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09000F"/>
    <w:lvl w:ilvl="0">
      <w:start w:val="1"/>
      <w:numFmt w:val="decimal"/>
      <w:lvlText w:val="%1."/>
      <w:lvlJc w:val="left"/>
      <w:pPr>
        <w:ind w:left="360" w:hanging="360"/>
      </w:pPr>
      <w:rPr>
        <w:rFonts w:hint="default"/>
      </w:rPr>
    </w:lvl>
  </w:abstractNum>
  <w:abstractNum w:abstractNumId="1">
    <w:nsid w:val="116D2B8B"/>
    <w:multiLevelType w:val="hybridMultilevel"/>
    <w:tmpl w:val="4B22A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40F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DA03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E6706A"/>
    <w:multiLevelType w:val="multilevel"/>
    <w:tmpl w:val="38E65E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78F26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A076F8"/>
    <w:multiLevelType w:val="hybridMultilevel"/>
    <w:tmpl w:val="35927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052A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1F05D0"/>
    <w:multiLevelType w:val="hybridMultilevel"/>
    <w:tmpl w:val="F6466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FD56C0"/>
    <w:multiLevelType w:val="hybridMultilevel"/>
    <w:tmpl w:val="7AAE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F56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7"/>
  </w:num>
  <w:num w:numId="4">
    <w:abstractNumId w:val="0"/>
  </w:num>
  <w:num w:numId="5">
    <w:abstractNumId w:val="6"/>
  </w:num>
  <w:num w:numId="6">
    <w:abstractNumId w:val="8"/>
  </w:num>
  <w:num w:numId="7">
    <w:abstractNumId w:val="3"/>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67"/>
    <w:rsid w:val="00006AD2"/>
    <w:rsid w:val="000118D7"/>
    <w:rsid w:val="00014E5B"/>
    <w:rsid w:val="000411F8"/>
    <w:rsid w:val="00055F49"/>
    <w:rsid w:val="000731D8"/>
    <w:rsid w:val="000859B7"/>
    <w:rsid w:val="00087CEA"/>
    <w:rsid w:val="0009013E"/>
    <w:rsid w:val="000B05BC"/>
    <w:rsid w:val="000C54C6"/>
    <w:rsid w:val="000C73B3"/>
    <w:rsid w:val="000D04DB"/>
    <w:rsid w:val="000E105F"/>
    <w:rsid w:val="000E352C"/>
    <w:rsid w:val="000F6CCF"/>
    <w:rsid w:val="00103D88"/>
    <w:rsid w:val="00123675"/>
    <w:rsid w:val="0012702E"/>
    <w:rsid w:val="001607BA"/>
    <w:rsid w:val="00161919"/>
    <w:rsid w:val="0016544F"/>
    <w:rsid w:val="00176F63"/>
    <w:rsid w:val="0019628E"/>
    <w:rsid w:val="001A3C6E"/>
    <w:rsid w:val="001B7D6F"/>
    <w:rsid w:val="001C2A69"/>
    <w:rsid w:val="001C43CC"/>
    <w:rsid w:val="001D3584"/>
    <w:rsid w:val="001E5709"/>
    <w:rsid w:val="00206BB9"/>
    <w:rsid w:val="002120E6"/>
    <w:rsid w:val="002241C4"/>
    <w:rsid w:val="002519C9"/>
    <w:rsid w:val="00261F58"/>
    <w:rsid w:val="002624C2"/>
    <w:rsid w:val="002A38EE"/>
    <w:rsid w:val="002A6144"/>
    <w:rsid w:val="002C4D7A"/>
    <w:rsid w:val="002D3CD2"/>
    <w:rsid w:val="002F7AB9"/>
    <w:rsid w:val="00300D57"/>
    <w:rsid w:val="00337683"/>
    <w:rsid w:val="00351A6C"/>
    <w:rsid w:val="00363402"/>
    <w:rsid w:val="0036664D"/>
    <w:rsid w:val="003901FB"/>
    <w:rsid w:val="00390CCE"/>
    <w:rsid w:val="00397BC3"/>
    <w:rsid w:val="003A5357"/>
    <w:rsid w:val="003A7435"/>
    <w:rsid w:val="003B3DF0"/>
    <w:rsid w:val="003C6910"/>
    <w:rsid w:val="003D4E92"/>
    <w:rsid w:val="003F078A"/>
    <w:rsid w:val="003F374D"/>
    <w:rsid w:val="003F72C3"/>
    <w:rsid w:val="00410BD8"/>
    <w:rsid w:val="004142FB"/>
    <w:rsid w:val="0043187D"/>
    <w:rsid w:val="004348C1"/>
    <w:rsid w:val="004549FC"/>
    <w:rsid w:val="00482E46"/>
    <w:rsid w:val="00491C5B"/>
    <w:rsid w:val="00492B38"/>
    <w:rsid w:val="004B543F"/>
    <w:rsid w:val="004F7AA1"/>
    <w:rsid w:val="00515FB0"/>
    <w:rsid w:val="005237E9"/>
    <w:rsid w:val="00550BF1"/>
    <w:rsid w:val="005576B7"/>
    <w:rsid w:val="005732C4"/>
    <w:rsid w:val="00596161"/>
    <w:rsid w:val="005C15F6"/>
    <w:rsid w:val="005F50BB"/>
    <w:rsid w:val="00611778"/>
    <w:rsid w:val="00613FAA"/>
    <w:rsid w:val="0062093C"/>
    <w:rsid w:val="0065675D"/>
    <w:rsid w:val="00674289"/>
    <w:rsid w:val="006842AF"/>
    <w:rsid w:val="00691B64"/>
    <w:rsid w:val="00692890"/>
    <w:rsid w:val="006A570E"/>
    <w:rsid w:val="006C12C5"/>
    <w:rsid w:val="006C24F6"/>
    <w:rsid w:val="006C28DA"/>
    <w:rsid w:val="006C6CA8"/>
    <w:rsid w:val="006C7661"/>
    <w:rsid w:val="006D19A2"/>
    <w:rsid w:val="006D39BF"/>
    <w:rsid w:val="006F2467"/>
    <w:rsid w:val="006F4E31"/>
    <w:rsid w:val="007070F7"/>
    <w:rsid w:val="0071326F"/>
    <w:rsid w:val="00722093"/>
    <w:rsid w:val="00727AEE"/>
    <w:rsid w:val="00760F9A"/>
    <w:rsid w:val="00777BAB"/>
    <w:rsid w:val="00797C6E"/>
    <w:rsid w:val="007A0831"/>
    <w:rsid w:val="007C1B8F"/>
    <w:rsid w:val="007F0634"/>
    <w:rsid w:val="007F26BC"/>
    <w:rsid w:val="007F6936"/>
    <w:rsid w:val="00814426"/>
    <w:rsid w:val="008469DD"/>
    <w:rsid w:val="0085687B"/>
    <w:rsid w:val="00865677"/>
    <w:rsid w:val="00867DEB"/>
    <w:rsid w:val="00884722"/>
    <w:rsid w:val="00894D2D"/>
    <w:rsid w:val="008A24F9"/>
    <w:rsid w:val="008A307A"/>
    <w:rsid w:val="008A41B5"/>
    <w:rsid w:val="008A6BCA"/>
    <w:rsid w:val="008C69C7"/>
    <w:rsid w:val="008D69FB"/>
    <w:rsid w:val="008D76CB"/>
    <w:rsid w:val="008F2C26"/>
    <w:rsid w:val="008F4E6B"/>
    <w:rsid w:val="00927EEE"/>
    <w:rsid w:val="009522F6"/>
    <w:rsid w:val="00966BBD"/>
    <w:rsid w:val="00974C7E"/>
    <w:rsid w:val="009A733B"/>
    <w:rsid w:val="009C3936"/>
    <w:rsid w:val="009C55DE"/>
    <w:rsid w:val="009D105F"/>
    <w:rsid w:val="009E4D58"/>
    <w:rsid w:val="00A06708"/>
    <w:rsid w:val="00A21C68"/>
    <w:rsid w:val="00A348CD"/>
    <w:rsid w:val="00A5606B"/>
    <w:rsid w:val="00A61340"/>
    <w:rsid w:val="00A64EB2"/>
    <w:rsid w:val="00A66002"/>
    <w:rsid w:val="00A67283"/>
    <w:rsid w:val="00A673E7"/>
    <w:rsid w:val="00A67A04"/>
    <w:rsid w:val="00A75C54"/>
    <w:rsid w:val="00A81147"/>
    <w:rsid w:val="00A85DA6"/>
    <w:rsid w:val="00AB7CEC"/>
    <w:rsid w:val="00AC1670"/>
    <w:rsid w:val="00AC22C1"/>
    <w:rsid w:val="00AC3C39"/>
    <w:rsid w:val="00AE29F5"/>
    <w:rsid w:val="00AF07A6"/>
    <w:rsid w:val="00AF69C5"/>
    <w:rsid w:val="00B05EF4"/>
    <w:rsid w:val="00B15D0F"/>
    <w:rsid w:val="00B32EA1"/>
    <w:rsid w:val="00B37FC5"/>
    <w:rsid w:val="00B46B60"/>
    <w:rsid w:val="00B506BB"/>
    <w:rsid w:val="00B518FF"/>
    <w:rsid w:val="00B53840"/>
    <w:rsid w:val="00B65695"/>
    <w:rsid w:val="00B7113A"/>
    <w:rsid w:val="00BC79E4"/>
    <w:rsid w:val="00BD40FA"/>
    <w:rsid w:val="00BD6AF5"/>
    <w:rsid w:val="00BF6808"/>
    <w:rsid w:val="00C0096C"/>
    <w:rsid w:val="00C01A31"/>
    <w:rsid w:val="00C07CFB"/>
    <w:rsid w:val="00C130EA"/>
    <w:rsid w:val="00C261F7"/>
    <w:rsid w:val="00C326C1"/>
    <w:rsid w:val="00C66EC1"/>
    <w:rsid w:val="00C80136"/>
    <w:rsid w:val="00C811A4"/>
    <w:rsid w:val="00C81CC4"/>
    <w:rsid w:val="00CA2FB9"/>
    <w:rsid w:val="00CA647D"/>
    <w:rsid w:val="00CC5E49"/>
    <w:rsid w:val="00CC70E1"/>
    <w:rsid w:val="00CD43B2"/>
    <w:rsid w:val="00CD6324"/>
    <w:rsid w:val="00D27E43"/>
    <w:rsid w:val="00D36D84"/>
    <w:rsid w:val="00D4221D"/>
    <w:rsid w:val="00D4591A"/>
    <w:rsid w:val="00D53D42"/>
    <w:rsid w:val="00D702BD"/>
    <w:rsid w:val="00D770B2"/>
    <w:rsid w:val="00D803F0"/>
    <w:rsid w:val="00D92FCE"/>
    <w:rsid w:val="00DA2516"/>
    <w:rsid w:val="00DA3992"/>
    <w:rsid w:val="00DD01F6"/>
    <w:rsid w:val="00E1604F"/>
    <w:rsid w:val="00E25ED8"/>
    <w:rsid w:val="00E27516"/>
    <w:rsid w:val="00E40BF4"/>
    <w:rsid w:val="00E43459"/>
    <w:rsid w:val="00E456D3"/>
    <w:rsid w:val="00E82BD4"/>
    <w:rsid w:val="00E95D12"/>
    <w:rsid w:val="00EA04D4"/>
    <w:rsid w:val="00EA41C4"/>
    <w:rsid w:val="00EB16F2"/>
    <w:rsid w:val="00EB3255"/>
    <w:rsid w:val="00EC1820"/>
    <w:rsid w:val="00EC1F9F"/>
    <w:rsid w:val="00EC339F"/>
    <w:rsid w:val="00EC3D87"/>
    <w:rsid w:val="00ED136B"/>
    <w:rsid w:val="00F004B7"/>
    <w:rsid w:val="00F405E3"/>
    <w:rsid w:val="00F46447"/>
    <w:rsid w:val="00F5468D"/>
    <w:rsid w:val="00F55AD4"/>
    <w:rsid w:val="00F90FC5"/>
    <w:rsid w:val="00F91613"/>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67"/>
    <w:pPr>
      <w:ind w:left="720"/>
      <w:contextualSpacing/>
    </w:pPr>
  </w:style>
  <w:style w:type="paragraph" w:styleId="FootnoteText">
    <w:name w:val="footnote text"/>
    <w:basedOn w:val="Normal"/>
    <w:link w:val="FootnoteTextChar"/>
    <w:uiPriority w:val="99"/>
    <w:unhideWhenUsed/>
    <w:rsid w:val="00E82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BD4"/>
    <w:rPr>
      <w:sz w:val="20"/>
      <w:szCs w:val="20"/>
    </w:rPr>
  </w:style>
  <w:style w:type="character" w:styleId="FootnoteReference">
    <w:name w:val="footnote reference"/>
    <w:basedOn w:val="DefaultParagraphFont"/>
    <w:uiPriority w:val="99"/>
    <w:semiHidden/>
    <w:unhideWhenUsed/>
    <w:rsid w:val="00E82BD4"/>
    <w:rPr>
      <w:vertAlign w:val="superscript"/>
    </w:rPr>
  </w:style>
  <w:style w:type="character" w:styleId="Hyperlink">
    <w:name w:val="Hyperlink"/>
    <w:basedOn w:val="DefaultParagraphFont"/>
    <w:uiPriority w:val="99"/>
    <w:unhideWhenUsed/>
    <w:rsid w:val="008A307A"/>
    <w:rPr>
      <w:color w:val="0563C1" w:themeColor="hyperlink"/>
      <w:u w:val="single"/>
    </w:rPr>
  </w:style>
  <w:style w:type="paragraph" w:styleId="ListBullet">
    <w:name w:val="List Bullet"/>
    <w:basedOn w:val="Normal"/>
    <w:uiPriority w:val="99"/>
    <w:unhideWhenUsed/>
    <w:rsid w:val="00B05EF4"/>
    <w:pPr>
      <w:contextualSpacing/>
    </w:pPr>
  </w:style>
  <w:style w:type="paragraph" w:styleId="BalloonText">
    <w:name w:val="Balloon Text"/>
    <w:basedOn w:val="Normal"/>
    <w:link w:val="BalloonTextChar"/>
    <w:uiPriority w:val="99"/>
    <w:semiHidden/>
    <w:unhideWhenUsed/>
    <w:rsid w:val="0045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FC"/>
    <w:rPr>
      <w:rFonts w:ascii="Tahoma" w:hAnsi="Tahoma" w:cs="Tahoma"/>
      <w:sz w:val="16"/>
      <w:szCs w:val="16"/>
    </w:rPr>
  </w:style>
  <w:style w:type="table" w:styleId="TableGrid">
    <w:name w:val="Table Grid"/>
    <w:basedOn w:val="TableNormal"/>
    <w:uiPriority w:val="59"/>
    <w:rsid w:val="00E9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F0"/>
  </w:style>
  <w:style w:type="paragraph" w:styleId="Footer">
    <w:name w:val="footer"/>
    <w:basedOn w:val="Normal"/>
    <w:link w:val="FooterChar"/>
    <w:uiPriority w:val="99"/>
    <w:unhideWhenUsed/>
    <w:rsid w:val="00D8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67"/>
    <w:pPr>
      <w:ind w:left="720"/>
      <w:contextualSpacing/>
    </w:pPr>
  </w:style>
  <w:style w:type="paragraph" w:styleId="FootnoteText">
    <w:name w:val="footnote text"/>
    <w:basedOn w:val="Normal"/>
    <w:link w:val="FootnoteTextChar"/>
    <w:uiPriority w:val="99"/>
    <w:unhideWhenUsed/>
    <w:rsid w:val="00E82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BD4"/>
    <w:rPr>
      <w:sz w:val="20"/>
      <w:szCs w:val="20"/>
    </w:rPr>
  </w:style>
  <w:style w:type="character" w:styleId="FootnoteReference">
    <w:name w:val="footnote reference"/>
    <w:basedOn w:val="DefaultParagraphFont"/>
    <w:uiPriority w:val="99"/>
    <w:semiHidden/>
    <w:unhideWhenUsed/>
    <w:rsid w:val="00E82BD4"/>
    <w:rPr>
      <w:vertAlign w:val="superscript"/>
    </w:rPr>
  </w:style>
  <w:style w:type="character" w:styleId="Hyperlink">
    <w:name w:val="Hyperlink"/>
    <w:basedOn w:val="DefaultParagraphFont"/>
    <w:uiPriority w:val="99"/>
    <w:unhideWhenUsed/>
    <w:rsid w:val="008A307A"/>
    <w:rPr>
      <w:color w:val="0563C1" w:themeColor="hyperlink"/>
      <w:u w:val="single"/>
    </w:rPr>
  </w:style>
  <w:style w:type="paragraph" w:styleId="ListBullet">
    <w:name w:val="List Bullet"/>
    <w:basedOn w:val="Normal"/>
    <w:uiPriority w:val="99"/>
    <w:unhideWhenUsed/>
    <w:rsid w:val="00B05EF4"/>
    <w:pPr>
      <w:contextualSpacing/>
    </w:pPr>
  </w:style>
  <w:style w:type="paragraph" w:styleId="BalloonText">
    <w:name w:val="Balloon Text"/>
    <w:basedOn w:val="Normal"/>
    <w:link w:val="BalloonTextChar"/>
    <w:uiPriority w:val="99"/>
    <w:semiHidden/>
    <w:unhideWhenUsed/>
    <w:rsid w:val="0045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FC"/>
    <w:rPr>
      <w:rFonts w:ascii="Tahoma" w:hAnsi="Tahoma" w:cs="Tahoma"/>
      <w:sz w:val="16"/>
      <w:szCs w:val="16"/>
    </w:rPr>
  </w:style>
  <w:style w:type="table" w:styleId="TableGrid">
    <w:name w:val="Table Grid"/>
    <w:basedOn w:val="TableNormal"/>
    <w:uiPriority w:val="59"/>
    <w:rsid w:val="00E9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F0"/>
  </w:style>
  <w:style w:type="paragraph" w:styleId="Footer">
    <w:name w:val="footer"/>
    <w:basedOn w:val="Normal"/>
    <w:link w:val="FooterChar"/>
    <w:uiPriority w:val="99"/>
    <w:unhideWhenUsed/>
    <w:rsid w:val="00D8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AEC561-E724-4189-A560-093AFA5B57BB}" type="doc">
      <dgm:prSet loTypeId="urn:microsoft.com/office/officeart/2005/8/layout/pyramid1" loCatId="pyramid" qsTypeId="urn:microsoft.com/office/officeart/2005/8/quickstyle/simple4" qsCatId="simple" csTypeId="urn:microsoft.com/office/officeart/2005/8/colors/accent3_5" csCatId="accent3" phldr="1"/>
      <dgm:spPr/>
    </dgm:pt>
    <dgm:pt modelId="{18EADF72-93C1-459F-A69C-E4B826F6CF32}">
      <dgm:prSet phldrT="[Text]"/>
      <dgm:spPr>
        <a:solidFill>
          <a:schemeClr val="bg2"/>
        </a:solidFill>
      </dgm:spPr>
      <dgm:t>
        <a:bodyPr/>
        <a:lstStyle/>
        <a:p>
          <a:pPr algn="ctr"/>
          <a:r>
            <a:rPr lang="en-GB"/>
            <a:t>Guiding principles</a:t>
          </a:r>
        </a:p>
      </dgm:t>
    </dgm:pt>
    <dgm:pt modelId="{B32FA643-65D2-4D70-A02F-9C7DD517ABD4}" type="parTrans" cxnId="{94C14383-2BEB-4425-BF7E-06D996F762F6}">
      <dgm:prSet/>
      <dgm:spPr/>
      <dgm:t>
        <a:bodyPr/>
        <a:lstStyle/>
        <a:p>
          <a:pPr algn="ctr"/>
          <a:endParaRPr lang="en-GB"/>
        </a:p>
      </dgm:t>
    </dgm:pt>
    <dgm:pt modelId="{C4D4BEC3-815B-41C1-B8A9-3D315E0FBF08}" type="sibTrans" cxnId="{94C14383-2BEB-4425-BF7E-06D996F762F6}">
      <dgm:prSet/>
      <dgm:spPr/>
      <dgm:t>
        <a:bodyPr/>
        <a:lstStyle/>
        <a:p>
          <a:pPr algn="ctr"/>
          <a:endParaRPr lang="en-GB"/>
        </a:p>
      </dgm:t>
    </dgm:pt>
    <dgm:pt modelId="{511531C8-26D9-4CA8-9954-783B3CB79CD2}">
      <dgm:prSet phldrT="[Text]"/>
      <dgm:spPr/>
      <dgm:t>
        <a:bodyPr/>
        <a:lstStyle/>
        <a:p>
          <a:pPr algn="ctr"/>
          <a:r>
            <a:rPr lang="en-GB"/>
            <a:t>Policy choices</a:t>
          </a:r>
        </a:p>
      </dgm:t>
    </dgm:pt>
    <dgm:pt modelId="{D7605003-9B44-4F65-BAA6-0672F7D035AE}" type="parTrans" cxnId="{59EFB804-0882-48FF-A553-5BF73261B755}">
      <dgm:prSet/>
      <dgm:spPr/>
      <dgm:t>
        <a:bodyPr/>
        <a:lstStyle/>
        <a:p>
          <a:pPr algn="ctr"/>
          <a:endParaRPr lang="en-GB"/>
        </a:p>
      </dgm:t>
    </dgm:pt>
    <dgm:pt modelId="{2D7A79CE-B831-4908-A2E2-8031547380AC}" type="sibTrans" cxnId="{59EFB804-0882-48FF-A553-5BF73261B755}">
      <dgm:prSet/>
      <dgm:spPr/>
      <dgm:t>
        <a:bodyPr/>
        <a:lstStyle/>
        <a:p>
          <a:pPr algn="ctr"/>
          <a:endParaRPr lang="en-GB"/>
        </a:p>
      </dgm:t>
    </dgm:pt>
    <dgm:pt modelId="{3F68FBBB-8E19-43D6-B604-613AD1877BBF}">
      <dgm:prSet phldrT="[Text]"/>
      <dgm:spPr/>
      <dgm:t>
        <a:bodyPr/>
        <a:lstStyle/>
        <a:p>
          <a:pPr algn="ctr"/>
          <a:r>
            <a:rPr lang="en-GB"/>
            <a:t>Delivery methods</a:t>
          </a:r>
        </a:p>
      </dgm:t>
    </dgm:pt>
    <dgm:pt modelId="{9DE3ECDA-F12A-4F37-8AD0-7BE7E4371537}" type="parTrans" cxnId="{087B7788-267A-4E10-BB41-47EA62CA13E4}">
      <dgm:prSet/>
      <dgm:spPr/>
      <dgm:t>
        <a:bodyPr/>
        <a:lstStyle/>
        <a:p>
          <a:pPr algn="ctr"/>
          <a:endParaRPr lang="en-GB"/>
        </a:p>
      </dgm:t>
    </dgm:pt>
    <dgm:pt modelId="{1E5A1126-CE9B-487C-826E-F407C29835F3}" type="sibTrans" cxnId="{087B7788-267A-4E10-BB41-47EA62CA13E4}">
      <dgm:prSet/>
      <dgm:spPr/>
      <dgm:t>
        <a:bodyPr/>
        <a:lstStyle/>
        <a:p>
          <a:pPr algn="ctr"/>
          <a:endParaRPr lang="en-GB"/>
        </a:p>
      </dgm:t>
    </dgm:pt>
    <dgm:pt modelId="{88B0491A-F841-4B96-854A-D7930926D498}">
      <dgm:prSet phldrT="[Text]"/>
      <dgm:spPr/>
      <dgm:t>
        <a:bodyPr/>
        <a:lstStyle/>
        <a:p>
          <a:pPr algn="ctr"/>
          <a:r>
            <a:rPr lang="en-GB"/>
            <a:t>Context</a:t>
          </a:r>
        </a:p>
      </dgm:t>
    </dgm:pt>
    <dgm:pt modelId="{E5381DB4-E4FF-45E5-ADC5-038290A528B7}" type="parTrans" cxnId="{51E6786E-57A7-4796-849B-C6365F6942BC}">
      <dgm:prSet/>
      <dgm:spPr/>
      <dgm:t>
        <a:bodyPr/>
        <a:lstStyle/>
        <a:p>
          <a:pPr algn="ctr"/>
          <a:endParaRPr lang="en-GB"/>
        </a:p>
      </dgm:t>
    </dgm:pt>
    <dgm:pt modelId="{389CCE28-DF85-4DDD-8EC1-E81CEDA2A6F1}" type="sibTrans" cxnId="{51E6786E-57A7-4796-849B-C6365F6942BC}">
      <dgm:prSet/>
      <dgm:spPr/>
      <dgm:t>
        <a:bodyPr/>
        <a:lstStyle/>
        <a:p>
          <a:pPr algn="ctr"/>
          <a:endParaRPr lang="en-GB"/>
        </a:p>
      </dgm:t>
    </dgm:pt>
    <dgm:pt modelId="{C27C9D15-2903-40E9-884F-1BC464684AF2}" type="pres">
      <dgm:prSet presAssocID="{5CAEC561-E724-4189-A560-093AFA5B57BB}" presName="Name0" presStyleCnt="0">
        <dgm:presLayoutVars>
          <dgm:dir/>
          <dgm:animLvl val="lvl"/>
          <dgm:resizeHandles val="exact"/>
        </dgm:presLayoutVars>
      </dgm:prSet>
      <dgm:spPr/>
    </dgm:pt>
    <dgm:pt modelId="{E5A651B5-EF59-4CB3-8F1D-0798D08D6830}" type="pres">
      <dgm:prSet presAssocID="{18EADF72-93C1-459F-A69C-E4B826F6CF32}" presName="Name8" presStyleCnt="0"/>
      <dgm:spPr/>
    </dgm:pt>
    <dgm:pt modelId="{AAB8F33D-6D10-41CF-BA2F-834070570219}" type="pres">
      <dgm:prSet presAssocID="{18EADF72-93C1-459F-A69C-E4B826F6CF32}" presName="level" presStyleLbl="node1" presStyleIdx="0" presStyleCnt="4">
        <dgm:presLayoutVars>
          <dgm:chMax val="1"/>
          <dgm:bulletEnabled val="1"/>
        </dgm:presLayoutVars>
      </dgm:prSet>
      <dgm:spPr/>
      <dgm:t>
        <a:bodyPr/>
        <a:lstStyle/>
        <a:p>
          <a:endParaRPr lang="en-GB"/>
        </a:p>
      </dgm:t>
    </dgm:pt>
    <dgm:pt modelId="{9D4D1EEE-3728-4D92-85C9-5BCBCA3DF092}" type="pres">
      <dgm:prSet presAssocID="{18EADF72-93C1-459F-A69C-E4B826F6CF32}" presName="levelTx" presStyleLbl="revTx" presStyleIdx="0" presStyleCnt="0">
        <dgm:presLayoutVars>
          <dgm:chMax val="1"/>
          <dgm:bulletEnabled val="1"/>
        </dgm:presLayoutVars>
      </dgm:prSet>
      <dgm:spPr/>
      <dgm:t>
        <a:bodyPr/>
        <a:lstStyle/>
        <a:p>
          <a:endParaRPr lang="en-GB"/>
        </a:p>
      </dgm:t>
    </dgm:pt>
    <dgm:pt modelId="{398776FC-A52D-47B3-B61B-71551C297BE7}" type="pres">
      <dgm:prSet presAssocID="{511531C8-26D9-4CA8-9954-783B3CB79CD2}" presName="Name8" presStyleCnt="0"/>
      <dgm:spPr/>
    </dgm:pt>
    <dgm:pt modelId="{9FFA72B9-0C43-4AB3-9590-AEA0C4D0630B}" type="pres">
      <dgm:prSet presAssocID="{511531C8-26D9-4CA8-9954-783B3CB79CD2}" presName="level" presStyleLbl="node1" presStyleIdx="1" presStyleCnt="4">
        <dgm:presLayoutVars>
          <dgm:chMax val="1"/>
          <dgm:bulletEnabled val="1"/>
        </dgm:presLayoutVars>
      </dgm:prSet>
      <dgm:spPr/>
      <dgm:t>
        <a:bodyPr/>
        <a:lstStyle/>
        <a:p>
          <a:endParaRPr lang="en-GB"/>
        </a:p>
      </dgm:t>
    </dgm:pt>
    <dgm:pt modelId="{DD310A62-2A36-45C9-B047-584C9E75D255}" type="pres">
      <dgm:prSet presAssocID="{511531C8-26D9-4CA8-9954-783B3CB79CD2}" presName="levelTx" presStyleLbl="revTx" presStyleIdx="0" presStyleCnt="0">
        <dgm:presLayoutVars>
          <dgm:chMax val="1"/>
          <dgm:bulletEnabled val="1"/>
        </dgm:presLayoutVars>
      </dgm:prSet>
      <dgm:spPr/>
      <dgm:t>
        <a:bodyPr/>
        <a:lstStyle/>
        <a:p>
          <a:endParaRPr lang="en-GB"/>
        </a:p>
      </dgm:t>
    </dgm:pt>
    <dgm:pt modelId="{82C85460-6FC9-42C2-9639-BE241554EBD0}" type="pres">
      <dgm:prSet presAssocID="{3F68FBBB-8E19-43D6-B604-613AD1877BBF}" presName="Name8" presStyleCnt="0"/>
      <dgm:spPr/>
    </dgm:pt>
    <dgm:pt modelId="{2ACBA9E0-08D6-4C24-B575-C563A5B1463E}" type="pres">
      <dgm:prSet presAssocID="{3F68FBBB-8E19-43D6-B604-613AD1877BBF}" presName="level" presStyleLbl="node1" presStyleIdx="2" presStyleCnt="4">
        <dgm:presLayoutVars>
          <dgm:chMax val="1"/>
          <dgm:bulletEnabled val="1"/>
        </dgm:presLayoutVars>
      </dgm:prSet>
      <dgm:spPr/>
      <dgm:t>
        <a:bodyPr/>
        <a:lstStyle/>
        <a:p>
          <a:endParaRPr lang="en-GB"/>
        </a:p>
      </dgm:t>
    </dgm:pt>
    <dgm:pt modelId="{D8E1CF86-162A-4DB4-8C94-12C44AE95263}" type="pres">
      <dgm:prSet presAssocID="{3F68FBBB-8E19-43D6-B604-613AD1877BBF}" presName="levelTx" presStyleLbl="revTx" presStyleIdx="0" presStyleCnt="0">
        <dgm:presLayoutVars>
          <dgm:chMax val="1"/>
          <dgm:bulletEnabled val="1"/>
        </dgm:presLayoutVars>
      </dgm:prSet>
      <dgm:spPr/>
      <dgm:t>
        <a:bodyPr/>
        <a:lstStyle/>
        <a:p>
          <a:endParaRPr lang="en-GB"/>
        </a:p>
      </dgm:t>
    </dgm:pt>
    <dgm:pt modelId="{4E75D86B-BDF8-46EF-A121-1A3583D5A118}" type="pres">
      <dgm:prSet presAssocID="{88B0491A-F841-4B96-854A-D7930926D498}" presName="Name8" presStyleCnt="0"/>
      <dgm:spPr/>
    </dgm:pt>
    <dgm:pt modelId="{1B867D5A-D666-4A94-8E77-0CCDA3C0D926}" type="pres">
      <dgm:prSet presAssocID="{88B0491A-F841-4B96-854A-D7930926D498}" presName="level" presStyleLbl="node1" presStyleIdx="3" presStyleCnt="4">
        <dgm:presLayoutVars>
          <dgm:chMax val="1"/>
          <dgm:bulletEnabled val="1"/>
        </dgm:presLayoutVars>
      </dgm:prSet>
      <dgm:spPr/>
      <dgm:t>
        <a:bodyPr/>
        <a:lstStyle/>
        <a:p>
          <a:endParaRPr lang="en-GB"/>
        </a:p>
      </dgm:t>
    </dgm:pt>
    <dgm:pt modelId="{7BEF4B29-90FC-41F1-A1E7-832A514B4F2B}" type="pres">
      <dgm:prSet presAssocID="{88B0491A-F841-4B96-854A-D7930926D498}" presName="levelTx" presStyleLbl="revTx" presStyleIdx="0" presStyleCnt="0">
        <dgm:presLayoutVars>
          <dgm:chMax val="1"/>
          <dgm:bulletEnabled val="1"/>
        </dgm:presLayoutVars>
      </dgm:prSet>
      <dgm:spPr/>
      <dgm:t>
        <a:bodyPr/>
        <a:lstStyle/>
        <a:p>
          <a:endParaRPr lang="en-GB"/>
        </a:p>
      </dgm:t>
    </dgm:pt>
  </dgm:ptLst>
  <dgm:cxnLst>
    <dgm:cxn modelId="{B5044D51-7E23-4682-A469-68303DA82E44}" type="presOf" srcId="{3F68FBBB-8E19-43D6-B604-613AD1877BBF}" destId="{D8E1CF86-162A-4DB4-8C94-12C44AE95263}" srcOrd="1" destOrd="0" presId="urn:microsoft.com/office/officeart/2005/8/layout/pyramid1"/>
    <dgm:cxn modelId="{B4A0AC78-A95C-4991-8A6E-B3C84478BE9B}" type="presOf" srcId="{88B0491A-F841-4B96-854A-D7930926D498}" destId="{1B867D5A-D666-4A94-8E77-0CCDA3C0D926}" srcOrd="0" destOrd="0" presId="urn:microsoft.com/office/officeart/2005/8/layout/pyramid1"/>
    <dgm:cxn modelId="{59EFB804-0882-48FF-A553-5BF73261B755}" srcId="{5CAEC561-E724-4189-A560-093AFA5B57BB}" destId="{511531C8-26D9-4CA8-9954-783B3CB79CD2}" srcOrd="1" destOrd="0" parTransId="{D7605003-9B44-4F65-BAA6-0672F7D035AE}" sibTransId="{2D7A79CE-B831-4908-A2E2-8031547380AC}"/>
    <dgm:cxn modelId="{4ED659AA-FAF6-4405-BC23-3E4640A1F672}" type="presOf" srcId="{88B0491A-F841-4B96-854A-D7930926D498}" destId="{7BEF4B29-90FC-41F1-A1E7-832A514B4F2B}" srcOrd="1" destOrd="0" presId="urn:microsoft.com/office/officeart/2005/8/layout/pyramid1"/>
    <dgm:cxn modelId="{3AD5891A-E729-4C9A-A893-9B80FAA4AB6F}" type="presOf" srcId="{511531C8-26D9-4CA8-9954-783B3CB79CD2}" destId="{9FFA72B9-0C43-4AB3-9590-AEA0C4D0630B}" srcOrd="0" destOrd="0" presId="urn:microsoft.com/office/officeart/2005/8/layout/pyramid1"/>
    <dgm:cxn modelId="{51E6786E-57A7-4796-849B-C6365F6942BC}" srcId="{5CAEC561-E724-4189-A560-093AFA5B57BB}" destId="{88B0491A-F841-4B96-854A-D7930926D498}" srcOrd="3" destOrd="0" parTransId="{E5381DB4-E4FF-45E5-ADC5-038290A528B7}" sibTransId="{389CCE28-DF85-4DDD-8EC1-E81CEDA2A6F1}"/>
    <dgm:cxn modelId="{94C14383-2BEB-4425-BF7E-06D996F762F6}" srcId="{5CAEC561-E724-4189-A560-093AFA5B57BB}" destId="{18EADF72-93C1-459F-A69C-E4B826F6CF32}" srcOrd="0" destOrd="0" parTransId="{B32FA643-65D2-4D70-A02F-9C7DD517ABD4}" sibTransId="{C4D4BEC3-815B-41C1-B8A9-3D315E0FBF08}"/>
    <dgm:cxn modelId="{087B7788-267A-4E10-BB41-47EA62CA13E4}" srcId="{5CAEC561-E724-4189-A560-093AFA5B57BB}" destId="{3F68FBBB-8E19-43D6-B604-613AD1877BBF}" srcOrd="2" destOrd="0" parTransId="{9DE3ECDA-F12A-4F37-8AD0-7BE7E4371537}" sibTransId="{1E5A1126-CE9B-487C-826E-F407C29835F3}"/>
    <dgm:cxn modelId="{AF196ED5-C263-48E9-8664-6D0E07D08074}" type="presOf" srcId="{18EADF72-93C1-459F-A69C-E4B826F6CF32}" destId="{9D4D1EEE-3728-4D92-85C9-5BCBCA3DF092}" srcOrd="1" destOrd="0" presId="urn:microsoft.com/office/officeart/2005/8/layout/pyramid1"/>
    <dgm:cxn modelId="{496B66D8-FFF6-47A1-836A-4D647B1A7D15}" type="presOf" srcId="{3F68FBBB-8E19-43D6-B604-613AD1877BBF}" destId="{2ACBA9E0-08D6-4C24-B575-C563A5B1463E}" srcOrd="0" destOrd="0" presId="urn:microsoft.com/office/officeart/2005/8/layout/pyramid1"/>
    <dgm:cxn modelId="{92F21537-9AD4-4112-915E-7A115ABA183E}" type="presOf" srcId="{5CAEC561-E724-4189-A560-093AFA5B57BB}" destId="{C27C9D15-2903-40E9-884F-1BC464684AF2}" srcOrd="0" destOrd="0" presId="urn:microsoft.com/office/officeart/2005/8/layout/pyramid1"/>
    <dgm:cxn modelId="{853B8534-B738-4470-B2D1-42B99941F1A4}" type="presOf" srcId="{511531C8-26D9-4CA8-9954-783B3CB79CD2}" destId="{DD310A62-2A36-45C9-B047-584C9E75D255}" srcOrd="1" destOrd="0" presId="urn:microsoft.com/office/officeart/2005/8/layout/pyramid1"/>
    <dgm:cxn modelId="{B740909A-7B2D-4D9D-9CF7-551C0E2B7740}" type="presOf" srcId="{18EADF72-93C1-459F-A69C-E4B826F6CF32}" destId="{AAB8F33D-6D10-41CF-BA2F-834070570219}" srcOrd="0" destOrd="0" presId="urn:microsoft.com/office/officeart/2005/8/layout/pyramid1"/>
    <dgm:cxn modelId="{A9177B6D-FDAA-4A88-918D-6E5946DA6304}" type="presParOf" srcId="{C27C9D15-2903-40E9-884F-1BC464684AF2}" destId="{E5A651B5-EF59-4CB3-8F1D-0798D08D6830}" srcOrd="0" destOrd="0" presId="urn:microsoft.com/office/officeart/2005/8/layout/pyramid1"/>
    <dgm:cxn modelId="{7E38AC96-0715-4CBF-9BCE-F415567740A8}" type="presParOf" srcId="{E5A651B5-EF59-4CB3-8F1D-0798D08D6830}" destId="{AAB8F33D-6D10-41CF-BA2F-834070570219}" srcOrd="0" destOrd="0" presId="urn:microsoft.com/office/officeart/2005/8/layout/pyramid1"/>
    <dgm:cxn modelId="{ADA6581E-B58A-4A19-8C88-49D31E112E00}" type="presParOf" srcId="{E5A651B5-EF59-4CB3-8F1D-0798D08D6830}" destId="{9D4D1EEE-3728-4D92-85C9-5BCBCA3DF092}" srcOrd="1" destOrd="0" presId="urn:microsoft.com/office/officeart/2005/8/layout/pyramid1"/>
    <dgm:cxn modelId="{465CF146-1B00-4C3F-A6CA-E68B69630A49}" type="presParOf" srcId="{C27C9D15-2903-40E9-884F-1BC464684AF2}" destId="{398776FC-A52D-47B3-B61B-71551C297BE7}" srcOrd="1" destOrd="0" presId="urn:microsoft.com/office/officeart/2005/8/layout/pyramid1"/>
    <dgm:cxn modelId="{5709D3D3-30F5-4359-B030-00CFB7DC8A50}" type="presParOf" srcId="{398776FC-A52D-47B3-B61B-71551C297BE7}" destId="{9FFA72B9-0C43-4AB3-9590-AEA0C4D0630B}" srcOrd="0" destOrd="0" presId="urn:microsoft.com/office/officeart/2005/8/layout/pyramid1"/>
    <dgm:cxn modelId="{159FE052-FE94-4C94-89AC-BE7D0ABD3069}" type="presParOf" srcId="{398776FC-A52D-47B3-B61B-71551C297BE7}" destId="{DD310A62-2A36-45C9-B047-584C9E75D255}" srcOrd="1" destOrd="0" presId="urn:microsoft.com/office/officeart/2005/8/layout/pyramid1"/>
    <dgm:cxn modelId="{507C7B03-B748-4CEA-AD3A-7577021187FF}" type="presParOf" srcId="{C27C9D15-2903-40E9-884F-1BC464684AF2}" destId="{82C85460-6FC9-42C2-9639-BE241554EBD0}" srcOrd="2" destOrd="0" presId="urn:microsoft.com/office/officeart/2005/8/layout/pyramid1"/>
    <dgm:cxn modelId="{8D0FAC8B-A000-47C6-A4C0-C3D4E68A8D24}" type="presParOf" srcId="{82C85460-6FC9-42C2-9639-BE241554EBD0}" destId="{2ACBA9E0-08D6-4C24-B575-C563A5B1463E}" srcOrd="0" destOrd="0" presId="urn:microsoft.com/office/officeart/2005/8/layout/pyramid1"/>
    <dgm:cxn modelId="{0750EC69-1028-438D-B955-4139A4373637}" type="presParOf" srcId="{82C85460-6FC9-42C2-9639-BE241554EBD0}" destId="{D8E1CF86-162A-4DB4-8C94-12C44AE95263}" srcOrd="1" destOrd="0" presId="urn:microsoft.com/office/officeart/2005/8/layout/pyramid1"/>
    <dgm:cxn modelId="{2B241F45-2732-4AB8-A31D-0383D3FB8DEB}" type="presParOf" srcId="{C27C9D15-2903-40E9-884F-1BC464684AF2}" destId="{4E75D86B-BDF8-46EF-A121-1A3583D5A118}" srcOrd="3" destOrd="0" presId="urn:microsoft.com/office/officeart/2005/8/layout/pyramid1"/>
    <dgm:cxn modelId="{E9597A86-E2E1-42A8-881D-EC182947F78C}" type="presParOf" srcId="{4E75D86B-BDF8-46EF-A121-1A3583D5A118}" destId="{1B867D5A-D666-4A94-8E77-0CCDA3C0D926}" srcOrd="0" destOrd="0" presId="urn:microsoft.com/office/officeart/2005/8/layout/pyramid1"/>
    <dgm:cxn modelId="{5010C92D-DCD4-4D95-B064-1270C59D9901}" type="presParOf" srcId="{4E75D86B-BDF8-46EF-A121-1A3583D5A118}" destId="{7BEF4B29-90FC-41F1-A1E7-832A514B4F2B}"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B8F33D-6D10-41CF-BA2F-834070570219}">
      <dsp:nvSpPr>
        <dsp:cNvPr id="0" name=""/>
        <dsp:cNvSpPr/>
      </dsp:nvSpPr>
      <dsp:spPr>
        <a:xfrm>
          <a:off x="1020470" y="0"/>
          <a:ext cx="680313" cy="497433"/>
        </a:xfrm>
        <a:prstGeom prst="trapezoid">
          <a:avLst>
            <a:gd name="adj" fmla="val 68382"/>
          </a:avLst>
        </a:prstGeom>
        <a:solidFill>
          <a:schemeClr val="bg2"/>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Guiding principles</a:t>
          </a:r>
        </a:p>
      </dsp:txBody>
      <dsp:txXfrm>
        <a:off x="1020470" y="0"/>
        <a:ext cx="680313" cy="497433"/>
      </dsp:txXfrm>
    </dsp:sp>
    <dsp:sp modelId="{9FFA72B9-0C43-4AB3-9590-AEA0C4D0630B}">
      <dsp:nvSpPr>
        <dsp:cNvPr id="0" name=""/>
        <dsp:cNvSpPr/>
      </dsp:nvSpPr>
      <dsp:spPr>
        <a:xfrm>
          <a:off x="680313" y="497433"/>
          <a:ext cx="1360627" cy="497433"/>
        </a:xfrm>
        <a:prstGeom prst="trapezoid">
          <a:avLst>
            <a:gd name="adj" fmla="val 68382"/>
          </a:avLst>
        </a:prstGeom>
        <a:gradFill rotWithShape="0">
          <a:gsLst>
            <a:gs pos="0">
              <a:schemeClr val="accent3">
                <a:alpha val="90000"/>
                <a:hueOff val="0"/>
                <a:satOff val="0"/>
                <a:lumOff val="0"/>
                <a:alphaOff val="-13333"/>
                <a:satMod val="103000"/>
                <a:lumMod val="102000"/>
                <a:tint val="94000"/>
              </a:schemeClr>
            </a:gs>
            <a:gs pos="50000">
              <a:schemeClr val="accent3">
                <a:alpha val="90000"/>
                <a:hueOff val="0"/>
                <a:satOff val="0"/>
                <a:lumOff val="0"/>
                <a:alphaOff val="-13333"/>
                <a:satMod val="110000"/>
                <a:lumMod val="100000"/>
                <a:shade val="100000"/>
              </a:schemeClr>
            </a:gs>
            <a:gs pos="100000">
              <a:schemeClr val="accent3">
                <a:alpha val="90000"/>
                <a:hueOff val="0"/>
                <a:satOff val="0"/>
                <a:lumOff val="0"/>
                <a:alphaOff val="-13333"/>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Policy choices</a:t>
          </a:r>
        </a:p>
      </dsp:txBody>
      <dsp:txXfrm>
        <a:off x="918423" y="497433"/>
        <a:ext cx="884407" cy="497433"/>
      </dsp:txXfrm>
    </dsp:sp>
    <dsp:sp modelId="{2ACBA9E0-08D6-4C24-B575-C563A5B1463E}">
      <dsp:nvSpPr>
        <dsp:cNvPr id="0" name=""/>
        <dsp:cNvSpPr/>
      </dsp:nvSpPr>
      <dsp:spPr>
        <a:xfrm>
          <a:off x="340156" y="994867"/>
          <a:ext cx="2040940" cy="497433"/>
        </a:xfrm>
        <a:prstGeom prst="trapezoid">
          <a:avLst>
            <a:gd name="adj" fmla="val 68382"/>
          </a:avLst>
        </a:prstGeom>
        <a:gradFill rotWithShape="0">
          <a:gsLst>
            <a:gs pos="0">
              <a:schemeClr val="accent3">
                <a:alpha val="90000"/>
                <a:hueOff val="0"/>
                <a:satOff val="0"/>
                <a:lumOff val="0"/>
                <a:alphaOff val="-26667"/>
                <a:satMod val="103000"/>
                <a:lumMod val="102000"/>
                <a:tint val="94000"/>
              </a:schemeClr>
            </a:gs>
            <a:gs pos="50000">
              <a:schemeClr val="accent3">
                <a:alpha val="90000"/>
                <a:hueOff val="0"/>
                <a:satOff val="0"/>
                <a:lumOff val="0"/>
                <a:alphaOff val="-26667"/>
                <a:satMod val="110000"/>
                <a:lumMod val="100000"/>
                <a:shade val="100000"/>
              </a:schemeClr>
            </a:gs>
            <a:gs pos="100000">
              <a:schemeClr val="accent3">
                <a:alpha val="90000"/>
                <a:hueOff val="0"/>
                <a:satOff val="0"/>
                <a:lumOff val="0"/>
                <a:alphaOff val="-26667"/>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Delivery methods</a:t>
          </a:r>
        </a:p>
      </dsp:txBody>
      <dsp:txXfrm>
        <a:off x="697321" y="994867"/>
        <a:ext cx="1326611" cy="497433"/>
      </dsp:txXfrm>
    </dsp:sp>
    <dsp:sp modelId="{1B867D5A-D666-4A94-8E77-0CCDA3C0D926}">
      <dsp:nvSpPr>
        <dsp:cNvPr id="0" name=""/>
        <dsp:cNvSpPr/>
      </dsp:nvSpPr>
      <dsp:spPr>
        <a:xfrm>
          <a:off x="0" y="1492300"/>
          <a:ext cx="2721254" cy="497433"/>
        </a:xfrm>
        <a:prstGeom prst="trapezoid">
          <a:avLst>
            <a:gd name="adj" fmla="val 68382"/>
          </a:avLst>
        </a:prstGeom>
        <a:gradFill rotWithShape="0">
          <a:gsLst>
            <a:gs pos="0">
              <a:schemeClr val="accent3">
                <a:alpha val="90000"/>
                <a:hueOff val="0"/>
                <a:satOff val="0"/>
                <a:lumOff val="0"/>
                <a:alphaOff val="-40000"/>
                <a:satMod val="103000"/>
                <a:lumMod val="102000"/>
                <a:tint val="94000"/>
              </a:schemeClr>
            </a:gs>
            <a:gs pos="50000">
              <a:schemeClr val="accent3">
                <a:alpha val="90000"/>
                <a:hueOff val="0"/>
                <a:satOff val="0"/>
                <a:lumOff val="0"/>
                <a:alphaOff val="-40000"/>
                <a:satMod val="110000"/>
                <a:lumMod val="100000"/>
                <a:shade val="100000"/>
              </a:schemeClr>
            </a:gs>
            <a:gs pos="100000">
              <a:schemeClr val="accent3">
                <a:alpha val="90000"/>
                <a:hueOff val="0"/>
                <a:satOff val="0"/>
                <a:lumOff val="0"/>
                <a:alphaOff val="-4000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Context</a:t>
          </a:r>
        </a:p>
      </dsp:txBody>
      <dsp:txXfrm>
        <a:off x="476219" y="1492300"/>
        <a:ext cx="1768815" cy="4974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2C76-6276-4436-A48E-68E16E6F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28</Pages>
  <Words>9419</Words>
  <Characters>53692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dc:creator>
  <cp:lastModifiedBy>anna barlow</cp:lastModifiedBy>
  <cp:revision>37</cp:revision>
  <dcterms:created xsi:type="dcterms:W3CDTF">2018-05-16T15:01:00Z</dcterms:created>
  <dcterms:modified xsi:type="dcterms:W3CDTF">2018-05-17T08:00:00Z</dcterms:modified>
</cp:coreProperties>
</file>