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AEF6" w14:textId="1EC5D715" w:rsidR="00A85C61" w:rsidRDefault="00662A65">
      <w:pPr>
        <w:pStyle w:val="Title"/>
      </w:pPr>
      <w:r>
        <w:rPr>
          <w:color w:val="2E5395"/>
        </w:rPr>
        <w:t>Econ</w:t>
      </w:r>
      <w:r>
        <w:rPr>
          <w:color w:val="2E5395"/>
          <w:spacing w:val="23"/>
        </w:rPr>
        <w:t xml:space="preserve"> </w:t>
      </w:r>
      <w:r>
        <w:rPr>
          <w:color w:val="2E5395"/>
        </w:rPr>
        <w:t>0040:</w:t>
      </w:r>
      <w:r>
        <w:rPr>
          <w:color w:val="2E5395"/>
          <w:spacing w:val="28"/>
        </w:rPr>
        <w:t xml:space="preserve"> </w:t>
      </w:r>
      <w:proofErr w:type="spellStart"/>
      <w:r>
        <w:rPr>
          <w:color w:val="2E5395"/>
        </w:rPr>
        <w:t>Behavioural</w:t>
      </w:r>
      <w:proofErr w:type="spellEnd"/>
      <w:r>
        <w:rPr>
          <w:color w:val="2E5395"/>
          <w:spacing w:val="26"/>
        </w:rPr>
        <w:t xml:space="preserve"> </w:t>
      </w:r>
      <w:r>
        <w:rPr>
          <w:color w:val="2E5395"/>
        </w:rPr>
        <w:t>Economics</w:t>
      </w:r>
      <w:r>
        <w:rPr>
          <w:color w:val="2E5395"/>
          <w:spacing w:val="23"/>
        </w:rPr>
        <w:t xml:space="preserve"> </w:t>
      </w:r>
    </w:p>
    <w:p w14:paraId="3758EA36" w14:textId="77777777" w:rsidR="00A85C61" w:rsidRDefault="00662A65">
      <w:pPr>
        <w:pStyle w:val="BodyText"/>
        <w:spacing w:before="5"/>
        <w:rPr>
          <w:sz w:val="4"/>
        </w:rPr>
      </w:pPr>
      <w:r>
        <w:pict w14:anchorId="1A709628">
          <v:rect id="docshape2" o:spid="_x0000_s2050" style="position:absolute;margin-left:52.3pt;margin-top:3.9pt;width:490.45pt;height:1pt;z-index:-251658752;mso-wrap-distance-left:0;mso-wrap-distance-right:0;mso-position-horizontal-relative:page" fillcolor="#4471c4" stroked="f">
            <w10:wrap type="topAndBottom" anchorx="page"/>
          </v:rect>
        </w:pict>
      </w:r>
    </w:p>
    <w:p w14:paraId="691DE119" w14:textId="77777777" w:rsidR="00A85C61" w:rsidRDefault="00A85C61">
      <w:pPr>
        <w:pStyle w:val="BodyText"/>
        <w:spacing w:before="6"/>
        <w:rPr>
          <w:sz w:val="20"/>
        </w:rPr>
      </w:pPr>
    </w:p>
    <w:p w14:paraId="3A5160DC" w14:textId="77777777" w:rsidR="00A85C61" w:rsidRDefault="00662A65">
      <w:pPr>
        <w:pStyle w:val="Heading1"/>
        <w:spacing w:before="47"/>
        <w:jc w:val="left"/>
      </w:pPr>
      <w:bookmarkStart w:id="0" w:name="Lecturer_information"/>
      <w:bookmarkEnd w:id="0"/>
      <w:r>
        <w:rPr>
          <w:color w:val="2E5395"/>
        </w:rPr>
        <w:t>Lecturer</w:t>
      </w:r>
      <w:r>
        <w:rPr>
          <w:color w:val="2E5395"/>
          <w:spacing w:val="5"/>
        </w:rPr>
        <w:t xml:space="preserve"> </w:t>
      </w:r>
      <w:r>
        <w:rPr>
          <w:color w:val="2E5395"/>
          <w:spacing w:val="-2"/>
        </w:rPr>
        <w:t>information</w:t>
      </w:r>
    </w:p>
    <w:p w14:paraId="5EFDBD86" w14:textId="77777777" w:rsidR="00A85C61" w:rsidRDefault="00662A65">
      <w:pPr>
        <w:pStyle w:val="BodyText"/>
        <w:spacing w:before="1"/>
        <w:ind w:left="135"/>
      </w:pPr>
      <w:r>
        <w:t>Dr.</w:t>
      </w:r>
      <w:r>
        <w:rPr>
          <w:spacing w:val="-4"/>
        </w:rPr>
        <w:t xml:space="preserve"> </w:t>
      </w:r>
      <w:bookmarkStart w:id="1" w:name="_Hlk109301111"/>
      <w:r>
        <w:t>Zeynep</w:t>
      </w:r>
      <w:r>
        <w:rPr>
          <w:spacing w:val="-3"/>
        </w:rPr>
        <w:t xml:space="preserve"> </w:t>
      </w:r>
      <w:bookmarkEnd w:id="1"/>
      <w:proofErr w:type="spellStart"/>
      <w:r>
        <w:rPr>
          <w:spacing w:val="-2"/>
        </w:rPr>
        <w:t>Gurguc</w:t>
      </w:r>
      <w:proofErr w:type="spellEnd"/>
    </w:p>
    <w:p w14:paraId="11883C3F" w14:textId="77777777" w:rsidR="00A85C61" w:rsidRDefault="00A85C61">
      <w:pPr>
        <w:pStyle w:val="BodyText"/>
        <w:spacing w:before="5"/>
        <w:rPr>
          <w:sz w:val="24"/>
        </w:rPr>
      </w:pPr>
    </w:p>
    <w:p w14:paraId="327BF8D5" w14:textId="77777777" w:rsidR="00A85C61" w:rsidRDefault="00662A65">
      <w:pPr>
        <w:pStyle w:val="Heading1"/>
      </w:pPr>
      <w:bookmarkStart w:id="2" w:name="What_will_you_learn_about?"/>
      <w:bookmarkEnd w:id="2"/>
      <w:r>
        <w:rPr>
          <w:color w:val="2E5395"/>
        </w:rPr>
        <w:t>What will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you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learn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2"/>
        </w:rPr>
        <w:t>about?</w:t>
      </w:r>
    </w:p>
    <w:p w14:paraId="5905C2D8" w14:textId="77777777" w:rsidR="00A85C61" w:rsidRDefault="00662A65">
      <w:pPr>
        <w:pStyle w:val="BodyText"/>
        <w:spacing w:before="1"/>
        <w:ind w:left="135" w:right="136"/>
        <w:jc w:val="both"/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research in</w:t>
      </w:r>
      <w:r>
        <w:rPr>
          <w:spacing w:val="-4"/>
        </w:rPr>
        <w:t xml:space="preserve"> </w:t>
      </w:r>
      <w:proofErr w:type="spellStart"/>
      <w:r>
        <w:t>Behavioural</w:t>
      </w:r>
      <w:proofErr w:type="spellEnd"/>
      <w:r>
        <w:rPr>
          <w:spacing w:val="-4"/>
        </w:rPr>
        <w:t xml:space="preserve"> </w:t>
      </w:r>
      <w:r>
        <w:t>Economics,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 xml:space="preserve">of economics that draws on knowledge in psychology to capture important aspects of human </w:t>
      </w:r>
      <w:proofErr w:type="spellStart"/>
      <w:r>
        <w:t>behaviour</w:t>
      </w:r>
      <w:proofErr w:type="spellEnd"/>
      <w:r>
        <w:t xml:space="preserve"> and social interactions that standard economic models cannot explain.</w:t>
      </w:r>
    </w:p>
    <w:p w14:paraId="4D10AC8A" w14:textId="77777777" w:rsidR="00A85C61" w:rsidRDefault="00A85C61">
      <w:pPr>
        <w:pStyle w:val="BodyText"/>
        <w:spacing w:before="1"/>
      </w:pPr>
    </w:p>
    <w:p w14:paraId="13B7FC55" w14:textId="77777777" w:rsidR="00A85C61" w:rsidRDefault="00662A65">
      <w:pPr>
        <w:pStyle w:val="BodyText"/>
        <w:ind w:left="135" w:right="133"/>
        <w:jc w:val="both"/>
      </w:pPr>
      <w:r>
        <w:t xml:space="preserve">The topics we will cover </w:t>
      </w:r>
      <w:proofErr w:type="gramStart"/>
      <w:r>
        <w:t>include:</w:t>
      </w:r>
      <w:proofErr w:type="gramEnd"/>
      <w:r>
        <w:t xml:space="preserve"> Heuristics and Biases, Decision Making under Uncerta</w:t>
      </w:r>
      <w:r>
        <w:t>inty, Prospect</w:t>
      </w:r>
      <w:r>
        <w:rPr>
          <w:spacing w:val="-2"/>
        </w:rPr>
        <w:t xml:space="preserve"> </w:t>
      </w:r>
      <w:r>
        <w:t>Theory, Reference Dependence, Intertemporal Choice, Social Preferences, Bounded Rationality, Nudge as well as Heterogeneity and Malleability of Preferences. Throughout this course, we will link theory to practice and discuss</w:t>
      </w:r>
      <w:r>
        <w:rPr>
          <w:spacing w:val="-6"/>
        </w:rPr>
        <w:t xml:space="preserve"> </w:t>
      </w:r>
      <w:r>
        <w:t>empirical</w:t>
      </w:r>
      <w:r>
        <w:rPr>
          <w:spacing w:val="-3"/>
        </w:rPr>
        <w:t xml:space="preserve"> </w:t>
      </w:r>
      <w:r>
        <w:t>applic</w:t>
      </w:r>
      <w:r>
        <w:t>ations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choice,</w:t>
      </w:r>
      <w:r>
        <w:rPr>
          <w:spacing w:val="-4"/>
        </w:rPr>
        <w:t xml:space="preserve"> </w:t>
      </w:r>
      <w:r>
        <w:t>saving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4"/>
        </w:rPr>
        <w:t xml:space="preserve"> </w:t>
      </w:r>
      <w:r>
        <w:t xml:space="preserve">procrastination, education, </w:t>
      </w:r>
      <w:proofErr w:type="spellStart"/>
      <w:r>
        <w:t>labour</w:t>
      </w:r>
      <w:proofErr w:type="spellEnd"/>
      <w:r>
        <w:t xml:space="preserve"> supply, finance and policy making.</w:t>
      </w:r>
    </w:p>
    <w:p w14:paraId="14580653" w14:textId="77777777" w:rsidR="00A85C61" w:rsidRDefault="00A85C61">
      <w:pPr>
        <w:pStyle w:val="BodyText"/>
        <w:spacing w:before="6"/>
        <w:rPr>
          <w:sz w:val="24"/>
        </w:rPr>
      </w:pPr>
    </w:p>
    <w:p w14:paraId="0FF74F89" w14:textId="77777777" w:rsidR="00A85C61" w:rsidRDefault="00662A65">
      <w:pPr>
        <w:pStyle w:val="Heading1"/>
        <w:spacing w:before="1"/>
      </w:pPr>
      <w:bookmarkStart w:id="3" w:name="How_will_you_learn?"/>
      <w:bookmarkEnd w:id="3"/>
      <w:r>
        <w:rPr>
          <w:color w:val="2E5395"/>
        </w:rPr>
        <w:t>How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will you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2"/>
        </w:rPr>
        <w:t>learn?</w:t>
      </w:r>
    </w:p>
    <w:p w14:paraId="1DB2E2C9" w14:textId="46AC8126" w:rsidR="00A85C61" w:rsidRDefault="00662A65">
      <w:pPr>
        <w:pStyle w:val="BodyText"/>
        <w:ind w:left="135" w:right="137"/>
        <w:jc w:val="both"/>
      </w:pPr>
      <w:r w:rsidRPr="001828E8">
        <w:t xml:space="preserve">Each Monday </w:t>
      </w:r>
      <w:r w:rsidR="001828E8" w:rsidRPr="001828E8">
        <w:t>students usually</w:t>
      </w:r>
      <w:r w:rsidRPr="001828E8">
        <w:t xml:space="preserve"> get access to the core materials for the week as well as the tasks. </w:t>
      </w:r>
      <w:r>
        <w:t>In addition, both your lecturer and your teaching</w:t>
      </w:r>
      <w:r w:rsidRPr="001828E8">
        <w:t xml:space="preserve"> </w:t>
      </w:r>
      <w:r>
        <w:t>assistant</w:t>
      </w:r>
      <w:r w:rsidRPr="001828E8">
        <w:t xml:space="preserve"> </w:t>
      </w:r>
      <w:r>
        <w:t>will</w:t>
      </w:r>
      <w:r w:rsidRPr="001828E8">
        <w:t xml:space="preserve"> </w:t>
      </w:r>
      <w:r>
        <w:t>have</w:t>
      </w:r>
      <w:r w:rsidRPr="001828E8">
        <w:t xml:space="preserve"> </w:t>
      </w:r>
      <w:r>
        <w:t>regular</w:t>
      </w:r>
      <w:r w:rsidRPr="001828E8">
        <w:t xml:space="preserve"> </w:t>
      </w:r>
      <w:r>
        <w:t>student</w:t>
      </w:r>
      <w:r w:rsidRPr="001828E8">
        <w:t xml:space="preserve"> </w:t>
      </w:r>
      <w:r>
        <w:t>support</w:t>
      </w:r>
      <w:r w:rsidRPr="001828E8">
        <w:t xml:space="preserve"> </w:t>
      </w:r>
      <w:r>
        <w:t>and</w:t>
      </w:r>
      <w:r w:rsidRPr="001828E8">
        <w:t xml:space="preserve"> </w:t>
      </w:r>
      <w:r>
        <w:t>feedback</w:t>
      </w:r>
      <w:r w:rsidRPr="001828E8">
        <w:t xml:space="preserve"> </w:t>
      </w:r>
      <w:r>
        <w:t>hours</w:t>
      </w:r>
      <w:r w:rsidRPr="001828E8">
        <w:t xml:space="preserve"> </w:t>
      </w:r>
      <w:r>
        <w:t>where</w:t>
      </w:r>
      <w:r w:rsidRPr="001828E8">
        <w:t xml:space="preserve"> </w:t>
      </w:r>
      <w:r>
        <w:t>you</w:t>
      </w:r>
      <w:r w:rsidRPr="001828E8">
        <w:t xml:space="preserve"> </w:t>
      </w:r>
      <w:r>
        <w:t>can</w:t>
      </w:r>
      <w:r w:rsidRPr="001828E8">
        <w:t xml:space="preserve"> </w:t>
      </w:r>
      <w:r>
        <w:t>drop</w:t>
      </w:r>
      <w:r w:rsidRPr="001828E8">
        <w:t xml:space="preserve"> </w:t>
      </w:r>
      <w:r>
        <w:t>in</w:t>
      </w:r>
      <w:r w:rsidRPr="001828E8">
        <w:t xml:space="preserve"> </w:t>
      </w:r>
      <w:r>
        <w:t>to</w:t>
      </w:r>
      <w:r w:rsidRPr="001828E8">
        <w:t xml:space="preserve"> </w:t>
      </w:r>
      <w:r>
        <w:t>discuss</w:t>
      </w:r>
      <w:r w:rsidRPr="001828E8">
        <w:t xml:space="preserve"> </w:t>
      </w:r>
      <w:r>
        <w:t>any issues around this module.</w:t>
      </w:r>
    </w:p>
    <w:p w14:paraId="62E361D3" w14:textId="482CBF62" w:rsidR="001828E8" w:rsidRDefault="001828E8">
      <w:pPr>
        <w:pStyle w:val="BodyText"/>
        <w:ind w:left="135" w:right="137"/>
        <w:jc w:val="both"/>
      </w:pPr>
    </w:p>
    <w:p w14:paraId="77B6E35F" w14:textId="3B0E380B" w:rsidR="001828E8" w:rsidRDefault="001828E8">
      <w:pPr>
        <w:pStyle w:val="BodyText"/>
        <w:ind w:left="135" w:right="137"/>
        <w:jc w:val="both"/>
      </w:pPr>
      <w:r>
        <w:t>There will be weekly lectures and tutorial sessions.</w:t>
      </w:r>
    </w:p>
    <w:p w14:paraId="72B2EC58" w14:textId="77777777" w:rsidR="00A85C61" w:rsidRDefault="00A85C61">
      <w:pPr>
        <w:pStyle w:val="BodyText"/>
        <w:spacing w:before="2"/>
      </w:pPr>
    </w:p>
    <w:p w14:paraId="6BACCCA4" w14:textId="77777777" w:rsidR="00A85C61" w:rsidRDefault="00A85C61">
      <w:pPr>
        <w:pStyle w:val="BodyText"/>
        <w:spacing w:before="5"/>
        <w:rPr>
          <w:sz w:val="24"/>
        </w:rPr>
      </w:pPr>
    </w:p>
    <w:p w14:paraId="5F33A4C4" w14:textId="77777777" w:rsidR="00A85C61" w:rsidRDefault="00662A65">
      <w:pPr>
        <w:pStyle w:val="Heading1"/>
      </w:pPr>
      <w:bookmarkStart w:id="4" w:name="Is_this_course_right_for_you?"/>
      <w:bookmarkEnd w:id="4"/>
      <w:r>
        <w:rPr>
          <w:color w:val="2E5395"/>
        </w:rPr>
        <w:t>Is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this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course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right for</w:t>
      </w:r>
      <w:r>
        <w:rPr>
          <w:color w:val="2E5395"/>
          <w:spacing w:val="-1"/>
        </w:rPr>
        <w:t xml:space="preserve"> </w:t>
      </w:r>
      <w:r>
        <w:rPr>
          <w:color w:val="2E5395"/>
          <w:spacing w:val="-4"/>
        </w:rPr>
        <w:t>you?</w:t>
      </w:r>
    </w:p>
    <w:p w14:paraId="5B44D056" w14:textId="77777777" w:rsidR="00A85C61" w:rsidRDefault="00662A65">
      <w:pPr>
        <w:pStyle w:val="BodyText"/>
        <w:spacing w:before="1"/>
        <w:ind w:left="135" w:right="138"/>
        <w:jc w:val="both"/>
      </w:pPr>
      <w:r>
        <w:t xml:space="preserve">Students are expected to have a good background in Microeconomics and Econometrics. Microeconomics is a prerequisite for this class. Additionally, Quantitative Economics and Econometrics, and Game Theory are </w:t>
      </w:r>
      <w:r>
        <w:rPr>
          <w:spacing w:val="-2"/>
        </w:rPr>
        <w:t>recommended.</w:t>
      </w:r>
    </w:p>
    <w:p w14:paraId="79F96AF9" w14:textId="77777777" w:rsidR="00A85C61" w:rsidRDefault="00A85C61">
      <w:pPr>
        <w:pStyle w:val="BodyText"/>
        <w:spacing w:before="8"/>
        <w:rPr>
          <w:sz w:val="24"/>
        </w:rPr>
      </w:pPr>
    </w:p>
    <w:p w14:paraId="7089DCB2" w14:textId="77777777" w:rsidR="00A85C61" w:rsidRDefault="00662A65">
      <w:pPr>
        <w:pStyle w:val="Heading1"/>
        <w:spacing w:before="1"/>
      </w:pPr>
      <w:bookmarkStart w:id="5" w:name="What_will_you_know_(better)_by_the_end_o"/>
      <w:bookmarkEnd w:id="5"/>
      <w:r>
        <w:rPr>
          <w:color w:val="2E5395"/>
        </w:rPr>
        <w:t>What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will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you know (better)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by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end of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2"/>
        </w:rPr>
        <w:t>course?</w:t>
      </w:r>
    </w:p>
    <w:p w14:paraId="73E49DCF" w14:textId="77777777" w:rsidR="00A85C61" w:rsidRDefault="00662A65">
      <w:pPr>
        <w:pStyle w:val="BodyText"/>
        <w:spacing w:before="1"/>
        <w:ind w:left="135" w:right="131"/>
        <w:jc w:val="both"/>
      </w:pPr>
      <w:r>
        <w:t xml:space="preserve">Drawing on real-world examples, the students will be able to understand how </w:t>
      </w:r>
      <w:proofErr w:type="spellStart"/>
      <w:r>
        <w:t>Behavioural</w:t>
      </w:r>
      <w:proofErr w:type="spellEnd"/>
      <w:r>
        <w:t xml:space="preserve"> Economics builds on traditional economic models and psychology. They will be able to demonstrate knowledge of</w:t>
      </w:r>
      <w:r>
        <w:rPr>
          <w:spacing w:val="-1"/>
        </w:rPr>
        <w:t xml:space="preserve"> </w:t>
      </w:r>
      <w:r>
        <w:t>some of</w:t>
      </w:r>
      <w:r>
        <w:rPr>
          <w:spacing w:val="-1"/>
        </w:rPr>
        <w:t xml:space="preserve"> </w:t>
      </w:r>
      <w:r>
        <w:t>the main theoretical and empir</w:t>
      </w:r>
      <w:r>
        <w:t xml:space="preserve">ical </w:t>
      </w:r>
      <w:proofErr w:type="gramStart"/>
      <w:r>
        <w:t>findings, and</w:t>
      </w:r>
      <w:proofErr w:type="gramEnd"/>
      <w:r>
        <w:t xml:space="preserve"> apply the main concepts from this field to a variety of contexts.</w:t>
      </w:r>
    </w:p>
    <w:p w14:paraId="248705DD" w14:textId="77777777" w:rsidR="00A85C61" w:rsidRDefault="00A85C61">
      <w:pPr>
        <w:pStyle w:val="BodyText"/>
        <w:spacing w:before="3"/>
        <w:rPr>
          <w:sz w:val="24"/>
        </w:rPr>
      </w:pPr>
    </w:p>
    <w:p w14:paraId="6AF8A5E8" w14:textId="77777777" w:rsidR="00A85C61" w:rsidRDefault="00662A65">
      <w:pPr>
        <w:pStyle w:val="Heading1"/>
      </w:pPr>
      <w:bookmarkStart w:id="6" w:name="What_have_students_thought_of_the_course"/>
      <w:bookmarkEnd w:id="6"/>
      <w:r>
        <w:rPr>
          <w:color w:val="2E5395"/>
        </w:rPr>
        <w:t>What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have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students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thought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course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in the</w:t>
      </w:r>
      <w:r>
        <w:rPr>
          <w:color w:val="2E5395"/>
          <w:spacing w:val="-1"/>
        </w:rPr>
        <w:t xml:space="preserve"> </w:t>
      </w:r>
      <w:r>
        <w:rPr>
          <w:color w:val="2E5395"/>
          <w:spacing w:val="-2"/>
        </w:rPr>
        <w:t>past?</w:t>
      </w:r>
    </w:p>
    <w:p w14:paraId="60019F14" w14:textId="77777777" w:rsidR="00A85C61" w:rsidRDefault="00662A65">
      <w:pPr>
        <w:pStyle w:val="BodyText"/>
        <w:spacing w:before="8" w:line="237" w:lineRule="auto"/>
        <w:ind w:left="135" w:right="127"/>
        <w:jc w:val="both"/>
      </w:pPr>
      <w:r>
        <w:t xml:space="preserve">Students liked seeing how </w:t>
      </w:r>
      <w:proofErr w:type="spellStart"/>
      <w:r>
        <w:t>behavioural</w:t>
      </w:r>
      <w:proofErr w:type="spellEnd"/>
      <w:r>
        <w:t xml:space="preserve"> economics was used to generate better theoretical insights in economics and reading about real-world applications.</w:t>
      </w:r>
    </w:p>
    <w:p w14:paraId="3940AE63" w14:textId="77777777" w:rsidR="00A85C61" w:rsidRDefault="00A85C61">
      <w:pPr>
        <w:spacing w:line="237" w:lineRule="auto"/>
        <w:jc w:val="both"/>
        <w:sectPr w:rsidR="00A85C61">
          <w:footerReference w:type="default" r:id="rId7"/>
          <w:type w:val="continuous"/>
          <w:pgSz w:w="11900" w:h="16840"/>
          <w:pgMar w:top="1880" w:right="940" w:bottom="960" w:left="940" w:header="0" w:footer="771" w:gutter="0"/>
          <w:pgNumType w:start="1"/>
          <w:cols w:space="720"/>
        </w:sectPr>
      </w:pPr>
    </w:p>
    <w:p w14:paraId="016EE9EE" w14:textId="77777777" w:rsidR="00A85C61" w:rsidRDefault="00662A65">
      <w:pPr>
        <w:pStyle w:val="Heading1"/>
        <w:spacing w:before="18"/>
        <w:jc w:val="left"/>
      </w:pPr>
      <w:bookmarkStart w:id="7" w:name="Assessment"/>
      <w:bookmarkEnd w:id="7"/>
      <w:r>
        <w:rPr>
          <w:color w:val="2E5395"/>
          <w:spacing w:val="-2"/>
        </w:rPr>
        <w:lastRenderedPageBreak/>
        <w:t>Assessment</w:t>
      </w:r>
    </w:p>
    <w:p w14:paraId="1710FA66" w14:textId="77777777" w:rsidR="00A85C61" w:rsidRDefault="00662A65">
      <w:pPr>
        <w:pStyle w:val="BodyText"/>
        <w:ind w:left="135"/>
      </w:pPr>
      <w: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mark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module</w:t>
      </w:r>
      <w:r>
        <w:rPr>
          <w:spacing w:val="-3"/>
        </w:rPr>
        <w:t xml:space="preserve"> </w:t>
      </w:r>
      <w:r>
        <w:t>comprises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rPr>
          <w:spacing w:val="-2"/>
        </w:rPr>
        <w:t>assessments:</w:t>
      </w:r>
    </w:p>
    <w:p w14:paraId="0162D19C" w14:textId="2B5A5948" w:rsidR="00A85C61" w:rsidRDefault="00662A65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80"/>
        <w:ind w:right="0"/>
      </w:pPr>
      <w:r>
        <w:t>30%</w:t>
      </w:r>
      <w:r>
        <w:rPr>
          <w:spacing w:val="-8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convertible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blogpost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Behavioural</w:t>
      </w:r>
      <w:proofErr w:type="spellEnd"/>
      <w:r>
        <w:rPr>
          <w:spacing w:val="-3"/>
        </w:rPr>
        <w:t xml:space="preserve"> </w:t>
      </w:r>
      <w:r>
        <w:t>Economics</w:t>
      </w:r>
      <w:r>
        <w:rPr>
          <w:spacing w:val="-4"/>
        </w:rPr>
        <w:t xml:space="preserve"> </w:t>
      </w:r>
      <w:r>
        <w:t>(</w:t>
      </w:r>
      <w:r w:rsidR="00C0055C">
        <w:t xml:space="preserve">usually </w:t>
      </w:r>
      <w:r>
        <w:t>1250-2000</w:t>
      </w:r>
      <w:r>
        <w:rPr>
          <w:spacing w:val="-4"/>
        </w:rPr>
        <w:t xml:space="preserve"> </w:t>
      </w:r>
      <w:r>
        <w:rPr>
          <w:spacing w:val="-2"/>
        </w:rPr>
        <w:t>words)</w:t>
      </w:r>
    </w:p>
    <w:p w14:paraId="470FEF47" w14:textId="21FE077C" w:rsidR="00A85C61" w:rsidRDefault="00662A65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25" w:line="259" w:lineRule="auto"/>
        <w:ind w:right="135"/>
      </w:pPr>
      <w:r>
        <w:t>70%</w:t>
      </w:r>
      <w:r>
        <w:rPr>
          <w:spacing w:val="-1"/>
        </w:rPr>
        <w:t xml:space="preserve"> </w:t>
      </w:r>
      <w:r>
        <w:t xml:space="preserve">exam with </w:t>
      </w:r>
      <w:r w:rsidR="00C0055C">
        <w:t xml:space="preserve">usually </w:t>
      </w:r>
      <w:r>
        <w:t>two compulsory questions and a choice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 out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three additional </w:t>
      </w:r>
      <w:r>
        <w:rPr>
          <w:spacing w:val="-2"/>
        </w:rPr>
        <w:t>questions.</w:t>
      </w:r>
    </w:p>
    <w:p w14:paraId="495B4F52" w14:textId="77777777" w:rsidR="00A85C61" w:rsidRDefault="00A85C61">
      <w:pPr>
        <w:pStyle w:val="BodyText"/>
        <w:spacing w:before="5"/>
        <w:rPr>
          <w:sz w:val="19"/>
        </w:rPr>
      </w:pPr>
    </w:p>
    <w:p w14:paraId="4EFEE64A" w14:textId="77777777" w:rsidR="00A85C61" w:rsidRDefault="00662A65">
      <w:pPr>
        <w:pStyle w:val="Heading1"/>
        <w:jc w:val="left"/>
      </w:pPr>
      <w:bookmarkStart w:id="8" w:name="Readings"/>
      <w:bookmarkEnd w:id="8"/>
      <w:r>
        <w:rPr>
          <w:color w:val="2E5395"/>
          <w:spacing w:val="-2"/>
        </w:rPr>
        <w:t>Readings</w:t>
      </w:r>
    </w:p>
    <w:p w14:paraId="23D57522" w14:textId="77777777" w:rsidR="00A85C61" w:rsidRDefault="00A85C61">
      <w:pPr>
        <w:pStyle w:val="BodyText"/>
        <w:spacing w:before="1"/>
        <w:rPr>
          <w:b/>
          <w:sz w:val="23"/>
        </w:rPr>
      </w:pPr>
    </w:p>
    <w:p w14:paraId="4EFB616F" w14:textId="77777777" w:rsidR="00A85C61" w:rsidRDefault="00662A65">
      <w:pPr>
        <w:spacing w:line="242" w:lineRule="auto"/>
        <w:ind w:left="135" w:right="151"/>
        <w:jc w:val="both"/>
        <w:rPr>
          <w:b/>
          <w:i/>
          <w:sz w:val="24"/>
        </w:rPr>
      </w:pPr>
      <w:r>
        <w:rPr>
          <w:b/>
          <w:i/>
          <w:color w:val="2E5395"/>
          <w:sz w:val="24"/>
        </w:rPr>
        <w:t>Please note that the details of readings in this syllabus may be updated at various points during the term.</w:t>
      </w:r>
    </w:p>
    <w:p w14:paraId="1CD5AF20" w14:textId="77777777" w:rsidR="00A85C61" w:rsidRDefault="00A85C61">
      <w:pPr>
        <w:pStyle w:val="BodyText"/>
        <w:spacing w:before="4"/>
        <w:rPr>
          <w:b/>
          <w:i/>
        </w:rPr>
      </w:pPr>
    </w:p>
    <w:p w14:paraId="4CAC2342" w14:textId="77777777" w:rsidR="00A85C61" w:rsidRDefault="00662A65">
      <w:pPr>
        <w:pStyle w:val="BodyText"/>
        <w:ind w:left="135"/>
      </w:pPr>
      <w:r>
        <w:t xml:space="preserve">We will not follow a particular textbook; however, the following books are recommendable for an overview and/or those who are seriously interested </w:t>
      </w:r>
      <w:r>
        <w:t xml:space="preserve">in </w:t>
      </w:r>
      <w:proofErr w:type="spellStart"/>
      <w:r>
        <w:t>behavioural</w:t>
      </w:r>
      <w:proofErr w:type="spellEnd"/>
      <w:r>
        <w:t xml:space="preserve"> economics:</w:t>
      </w:r>
    </w:p>
    <w:p w14:paraId="02D18381" w14:textId="77777777" w:rsidR="00A85C61" w:rsidRDefault="00A85C61">
      <w:pPr>
        <w:pStyle w:val="BodyText"/>
        <w:spacing w:before="3"/>
      </w:pPr>
    </w:p>
    <w:p w14:paraId="3AAEAE40" w14:textId="77777777" w:rsidR="00A85C61" w:rsidRDefault="00662A65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42" w:lineRule="auto"/>
        <w:ind w:right="130"/>
      </w:pPr>
      <w:r>
        <w:t xml:space="preserve">Wilkinson, Nick, and Matthias </w:t>
      </w:r>
      <w:proofErr w:type="spellStart"/>
      <w:r>
        <w:t>Klaes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i/>
        </w:rPr>
        <w:t>An introduction to behavioral economics</w:t>
      </w:r>
      <w:r>
        <w:t>. Palgrave Macmillan,</w:t>
      </w:r>
      <w:r>
        <w:rPr>
          <w:spacing w:val="40"/>
        </w:rPr>
        <w:t xml:space="preserve"> </w:t>
      </w:r>
      <w:r>
        <w:rPr>
          <w:spacing w:val="-2"/>
        </w:rPr>
        <w:t>2012.</w:t>
      </w:r>
    </w:p>
    <w:p w14:paraId="5A5FA48B" w14:textId="77777777" w:rsidR="00A85C61" w:rsidRDefault="00662A65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37" w:lineRule="auto"/>
        <w:ind w:right="128"/>
      </w:pPr>
      <w:r>
        <w:t xml:space="preserve">Camerer, Colin F., George Loewenstein, and Matthew Rabin, eds. </w:t>
      </w:r>
      <w:r>
        <w:rPr>
          <w:i/>
        </w:rPr>
        <w:t>Advances in Behavioral</w:t>
      </w:r>
      <w:r>
        <w:rPr>
          <w:i/>
          <w:spacing w:val="-2"/>
        </w:rPr>
        <w:t xml:space="preserve"> </w:t>
      </w:r>
      <w:r>
        <w:rPr>
          <w:i/>
        </w:rPr>
        <w:t>Economics</w:t>
      </w:r>
      <w:r>
        <w:t xml:space="preserve">. Princeton University Press, </w:t>
      </w:r>
      <w:r>
        <w:t>2011.</w:t>
      </w:r>
    </w:p>
    <w:p w14:paraId="22384A6E" w14:textId="77777777" w:rsidR="00A85C61" w:rsidRDefault="00662A65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</w:pPr>
      <w:r>
        <w:t xml:space="preserve">Camerer, Colin F., </w:t>
      </w:r>
      <w:r>
        <w:rPr>
          <w:i/>
        </w:rPr>
        <w:t>Behavioral</w:t>
      </w:r>
      <w:r>
        <w:rPr>
          <w:i/>
          <w:spacing w:val="-2"/>
        </w:rPr>
        <w:t xml:space="preserve"> </w:t>
      </w:r>
      <w:r>
        <w:rPr>
          <w:i/>
        </w:rPr>
        <w:t>game theory: Experiments in strategic interaction</w:t>
      </w:r>
      <w:r>
        <w:t>.</w:t>
      </w:r>
      <w:r>
        <w:rPr>
          <w:spacing w:val="-3"/>
        </w:rPr>
        <w:t xml:space="preserve"> </w:t>
      </w:r>
      <w:r>
        <w:t>Princeton University Press, 2003.</w:t>
      </w:r>
    </w:p>
    <w:p w14:paraId="648C20F2" w14:textId="77777777" w:rsidR="00A85C61" w:rsidRDefault="00A85C61">
      <w:pPr>
        <w:pStyle w:val="BodyText"/>
      </w:pPr>
    </w:p>
    <w:p w14:paraId="6ED8CC96" w14:textId="77777777" w:rsidR="00A85C61" w:rsidRDefault="00A85C61">
      <w:pPr>
        <w:pStyle w:val="BodyText"/>
        <w:spacing w:before="7"/>
        <w:rPr>
          <w:sz w:val="16"/>
        </w:rPr>
      </w:pPr>
    </w:p>
    <w:p w14:paraId="0E2D8D2F" w14:textId="51B953A3" w:rsidR="00A85C61" w:rsidRDefault="00662A65">
      <w:pPr>
        <w:pStyle w:val="BodyText"/>
        <w:ind w:left="135" w:right="134"/>
        <w:jc w:val="both"/>
      </w:pPr>
      <w:r>
        <w:t>The relevant articles per topic are listed below. The journal articles are all available through the</w:t>
      </w:r>
      <w:r w:rsidR="00C0055C">
        <w:t xml:space="preserve"> </w:t>
      </w:r>
      <w:proofErr w:type="spellStart"/>
      <w:r w:rsidR="00C0055C">
        <w:t>UCl</w:t>
      </w:r>
      <w:proofErr w:type="spellEnd"/>
      <w:r w:rsidR="00C0055C">
        <w:t xml:space="preserve"> Library </w:t>
      </w:r>
      <w:proofErr w:type="gramStart"/>
      <w:r w:rsidR="00C0055C">
        <w:t>web-site</w:t>
      </w:r>
      <w:proofErr w:type="gramEnd"/>
      <w:r w:rsidR="00C0055C">
        <w:t>.</w:t>
      </w:r>
      <w:r>
        <w:t xml:space="preserve"> </w:t>
      </w:r>
      <w:r>
        <w:t>Each week you</w:t>
      </w:r>
      <w:r>
        <w:rPr>
          <w:spacing w:val="-5"/>
        </w:rPr>
        <w:t xml:space="preserve"> </w:t>
      </w:r>
      <w:r>
        <w:t>will receive</w:t>
      </w:r>
      <w:r>
        <w:rPr>
          <w:spacing w:val="-3"/>
        </w:rPr>
        <w:t xml:space="preserve"> </w:t>
      </w:r>
      <w:r>
        <w:t>guidance on which readings/videos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rPr>
          <w:spacing w:val="-1"/>
        </w:rPr>
        <w:t xml:space="preserve"> </w:t>
      </w:r>
      <w:r>
        <w:t>(not all listed below) to go through and which tasks to complete.</w:t>
      </w:r>
    </w:p>
    <w:p w14:paraId="048DECC4" w14:textId="77777777" w:rsidR="00A85C61" w:rsidRDefault="00A85C61">
      <w:pPr>
        <w:pStyle w:val="BodyText"/>
      </w:pPr>
    </w:p>
    <w:p w14:paraId="53C0C084" w14:textId="77777777" w:rsidR="00A85C61" w:rsidRDefault="00A85C61">
      <w:pPr>
        <w:pStyle w:val="BodyText"/>
        <w:spacing w:before="9"/>
        <w:rPr>
          <w:sz w:val="31"/>
        </w:rPr>
      </w:pPr>
    </w:p>
    <w:p w14:paraId="24A67354" w14:textId="77777777" w:rsidR="00A85C61" w:rsidRDefault="00662A65">
      <w:pPr>
        <w:pStyle w:val="Heading2"/>
        <w:spacing w:before="1"/>
      </w:pPr>
      <w:r>
        <w:t>Topic</w:t>
      </w:r>
      <w:r>
        <w:rPr>
          <w:spacing w:val="-6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Be</w:t>
      </w:r>
      <w:r>
        <w:t>havioural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Economics</w:t>
      </w:r>
    </w:p>
    <w:p w14:paraId="20A31C28" w14:textId="77777777" w:rsidR="00A85C61" w:rsidRDefault="00662A65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119"/>
      </w:pPr>
      <w:r>
        <w:t xml:space="preserve">Kahneman, Daniel. "Maps of bounded rationality: Psychology for behavioral economics." </w:t>
      </w:r>
      <w:r>
        <w:rPr>
          <w:i/>
        </w:rPr>
        <w:t xml:space="preserve">The American economic review </w:t>
      </w:r>
      <w:r>
        <w:t>93.5 (2003): 1449-1475.</w:t>
      </w:r>
    </w:p>
    <w:p w14:paraId="2C7BFEAD" w14:textId="77777777" w:rsidR="00A85C61" w:rsidRDefault="00662A65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121"/>
        <w:ind w:right="143"/>
      </w:pPr>
      <w:r>
        <w:t xml:space="preserve">Camerer, Colin, Linda Babcock, George Loewenstein, and Richard Thaler. "Labor supply of New York City cabdrivers: One day at a time." </w:t>
      </w:r>
      <w:r>
        <w:rPr>
          <w:i/>
        </w:rPr>
        <w:t xml:space="preserve">The Quarterly Journal of Economics </w:t>
      </w:r>
      <w:r>
        <w:t>112, no. 2 (1997): 407-441.</w:t>
      </w:r>
    </w:p>
    <w:p w14:paraId="2BE60C04" w14:textId="77777777" w:rsidR="00A85C61" w:rsidRDefault="00A85C61">
      <w:pPr>
        <w:pStyle w:val="BodyText"/>
      </w:pPr>
    </w:p>
    <w:p w14:paraId="3367AEC6" w14:textId="77777777" w:rsidR="00A85C61" w:rsidRDefault="00A85C61">
      <w:pPr>
        <w:pStyle w:val="BodyText"/>
        <w:spacing w:before="8"/>
        <w:rPr>
          <w:sz w:val="19"/>
        </w:rPr>
      </w:pPr>
    </w:p>
    <w:p w14:paraId="2BA8BA0C" w14:textId="77777777" w:rsidR="00A85C61" w:rsidRDefault="00662A65">
      <w:pPr>
        <w:pStyle w:val="Heading2"/>
      </w:pPr>
      <w:r>
        <w:t>Topic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Decision Making Under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Uncertainty</w:t>
      </w:r>
    </w:p>
    <w:p w14:paraId="02F62937" w14:textId="77777777" w:rsidR="00A85C61" w:rsidRDefault="00662A65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120"/>
        <w:ind w:right="140"/>
      </w:pPr>
      <w:r>
        <w:t>Kahne</w:t>
      </w:r>
      <w:r>
        <w:t>man,</w:t>
      </w:r>
      <w:r>
        <w:rPr>
          <w:spacing w:val="40"/>
        </w:rPr>
        <w:t xml:space="preserve"> </w:t>
      </w:r>
      <w:r>
        <w:t>Daniel,</w:t>
      </w:r>
      <w:r>
        <w:rPr>
          <w:spacing w:val="40"/>
        </w:rPr>
        <w:t xml:space="preserve"> </w:t>
      </w:r>
      <w:r>
        <w:t>Jack</w:t>
      </w:r>
      <w:r>
        <w:rPr>
          <w:spacing w:val="40"/>
        </w:rPr>
        <w:t xml:space="preserve"> </w:t>
      </w:r>
      <w:r>
        <w:t>L.</w:t>
      </w:r>
      <w:r>
        <w:rPr>
          <w:spacing w:val="40"/>
        </w:rPr>
        <w:t xml:space="preserve"> </w:t>
      </w:r>
      <w:proofErr w:type="spellStart"/>
      <w:r>
        <w:t>Knetsch</w:t>
      </w:r>
      <w:proofErr w:type="spellEnd"/>
      <w:r>
        <w:t>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Richard</w:t>
      </w:r>
      <w:r>
        <w:rPr>
          <w:spacing w:val="40"/>
        </w:rPr>
        <w:t xml:space="preserve"> </w:t>
      </w:r>
      <w:r>
        <w:t>H.</w:t>
      </w:r>
      <w:r>
        <w:rPr>
          <w:spacing w:val="40"/>
        </w:rPr>
        <w:t xml:space="preserve"> </w:t>
      </w:r>
      <w:r>
        <w:t>Thaler.</w:t>
      </w:r>
      <w:r>
        <w:rPr>
          <w:spacing w:val="40"/>
        </w:rPr>
        <w:t xml:space="preserve"> </w:t>
      </w:r>
      <w:r>
        <w:t>"Anomalies: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endowment</w:t>
      </w:r>
      <w:r>
        <w:rPr>
          <w:spacing w:val="40"/>
        </w:rPr>
        <w:t xml:space="preserve"> </w:t>
      </w:r>
      <w:r>
        <w:t>effect,</w:t>
      </w:r>
      <w:r>
        <w:rPr>
          <w:spacing w:val="40"/>
        </w:rPr>
        <w:t xml:space="preserve"> </w:t>
      </w:r>
      <w:r>
        <w:t xml:space="preserve">loss aversion, and status quo bias." </w:t>
      </w:r>
      <w:r>
        <w:rPr>
          <w:i/>
        </w:rPr>
        <w:t xml:space="preserve">The journal of economic perspectives </w:t>
      </w:r>
      <w:r>
        <w:t>5.1 (1991): 193-206.</w:t>
      </w:r>
    </w:p>
    <w:p w14:paraId="3897E811" w14:textId="77777777" w:rsidR="00A85C61" w:rsidRDefault="00662A65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122"/>
        <w:ind w:right="146"/>
      </w:pPr>
      <w:r>
        <w:rPr>
          <w:color w:val="212121"/>
        </w:rPr>
        <w:t xml:space="preserve">De Martino, Benedetto, </w:t>
      </w:r>
      <w:proofErr w:type="spellStart"/>
      <w:r>
        <w:rPr>
          <w:color w:val="212121"/>
        </w:rPr>
        <w:t>Dharshan</w:t>
      </w:r>
      <w:proofErr w:type="spellEnd"/>
      <w:r>
        <w:rPr>
          <w:color w:val="212121"/>
        </w:rPr>
        <w:t xml:space="preserve"> Kumaran, Ben Seymour, and Raymond J. Dolan</w:t>
      </w:r>
      <w:r>
        <w:rPr>
          <w:color w:val="212121"/>
        </w:rPr>
        <w:t xml:space="preserve">. "Frames, biases, and rational decision-making in the human brain." </w:t>
      </w:r>
      <w:r>
        <w:rPr>
          <w:i/>
          <w:color w:val="212121"/>
        </w:rPr>
        <w:t xml:space="preserve">Science </w:t>
      </w:r>
      <w:r>
        <w:rPr>
          <w:color w:val="212121"/>
        </w:rPr>
        <w:t>313, no. 5787 (2006): 684-687.</w:t>
      </w:r>
    </w:p>
    <w:p w14:paraId="36AE99CA" w14:textId="77777777" w:rsidR="00A85C61" w:rsidRDefault="00A85C61">
      <w:pPr>
        <w:pStyle w:val="BodyText"/>
      </w:pPr>
    </w:p>
    <w:p w14:paraId="634E9B0B" w14:textId="77777777" w:rsidR="00A85C61" w:rsidRDefault="00A85C61">
      <w:pPr>
        <w:pStyle w:val="BodyText"/>
        <w:spacing w:before="7"/>
        <w:rPr>
          <w:sz w:val="19"/>
        </w:rPr>
      </w:pPr>
    </w:p>
    <w:p w14:paraId="599EEBD5" w14:textId="77777777" w:rsidR="00A85C61" w:rsidRDefault="00662A65">
      <w:pPr>
        <w:pStyle w:val="Heading2"/>
        <w:jc w:val="both"/>
      </w:pPr>
      <w:r>
        <w:t>Topic</w:t>
      </w:r>
      <w:r>
        <w:rPr>
          <w:spacing w:val="-5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Dependence</w:t>
      </w:r>
    </w:p>
    <w:p w14:paraId="26550496" w14:textId="445F5C1F" w:rsidR="00A85C61" w:rsidRDefault="00662A65" w:rsidP="00C0055C">
      <w:pPr>
        <w:pStyle w:val="ListParagraph"/>
        <w:numPr>
          <w:ilvl w:val="0"/>
          <w:numId w:val="1"/>
        </w:numPr>
        <w:tabs>
          <w:tab w:val="left" w:pos="496"/>
        </w:tabs>
        <w:spacing w:before="120"/>
        <w:ind w:right="129"/>
        <w:sectPr w:rsidR="00A85C61">
          <w:pgSz w:w="11900" w:h="16840"/>
          <w:pgMar w:top="1420" w:right="940" w:bottom="960" w:left="940" w:header="0" w:footer="771" w:gutter="0"/>
          <w:cols w:space="720"/>
        </w:sectPr>
      </w:pPr>
      <w:proofErr w:type="spellStart"/>
      <w:r>
        <w:t>Marzilli</w:t>
      </w:r>
      <w:proofErr w:type="spellEnd"/>
      <w:r>
        <w:t xml:space="preserve"> Ericson, Keith M., and Andreas </w:t>
      </w:r>
      <w:proofErr w:type="spellStart"/>
      <w:r>
        <w:t>Fuster</w:t>
      </w:r>
      <w:proofErr w:type="spellEnd"/>
      <w:r>
        <w:t>. "Expectations as endowments: Evidence on reference- dependent</w:t>
      </w:r>
      <w:r>
        <w:rPr>
          <w:spacing w:val="40"/>
        </w:rPr>
        <w:t xml:space="preserve"> </w:t>
      </w:r>
      <w:r>
        <w:t>prefer</w:t>
      </w:r>
      <w:r>
        <w:t>ences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exchange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valuation</w:t>
      </w:r>
      <w:r>
        <w:rPr>
          <w:spacing w:val="40"/>
        </w:rPr>
        <w:t xml:space="preserve"> </w:t>
      </w:r>
      <w:r>
        <w:t xml:space="preserve">experiments." </w:t>
      </w:r>
      <w:r>
        <w:rPr>
          <w:i/>
        </w:rPr>
        <w:t>The</w:t>
      </w:r>
      <w:r>
        <w:rPr>
          <w:i/>
          <w:spacing w:val="40"/>
        </w:rPr>
        <w:t xml:space="preserve"> </w:t>
      </w:r>
      <w:r>
        <w:rPr>
          <w:i/>
        </w:rPr>
        <w:t>Quarterly</w:t>
      </w:r>
      <w:r>
        <w:rPr>
          <w:i/>
          <w:spacing w:val="40"/>
        </w:rPr>
        <w:t xml:space="preserve"> </w:t>
      </w:r>
      <w:r>
        <w:rPr>
          <w:i/>
        </w:rPr>
        <w:t>Journal</w:t>
      </w:r>
      <w:r>
        <w:rPr>
          <w:i/>
          <w:spacing w:val="40"/>
        </w:rPr>
        <w:t xml:space="preserve"> </w:t>
      </w:r>
      <w:r>
        <w:rPr>
          <w:i/>
        </w:rPr>
        <w:t xml:space="preserve">of Economics </w:t>
      </w:r>
      <w:r>
        <w:t>126, no. 4 (2011): 1879-1907. (INCLUDING APPENDI</w:t>
      </w:r>
      <w:r>
        <w:t>X</w:t>
      </w:r>
      <w:r>
        <w:t>)</w:t>
      </w:r>
    </w:p>
    <w:p w14:paraId="7044CCC5" w14:textId="4DCA6344" w:rsidR="00A85C61" w:rsidRDefault="00A85C61" w:rsidP="00C0055C">
      <w:pPr>
        <w:ind w:right="1610"/>
        <w:rPr>
          <w:rFonts w:ascii="Arial"/>
          <w:b/>
          <w:sz w:val="30"/>
        </w:rPr>
      </w:pPr>
    </w:p>
    <w:sectPr w:rsidR="00A85C61">
      <w:foot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73F0" w14:textId="77777777" w:rsidR="00662A65" w:rsidRDefault="00662A65">
      <w:r>
        <w:separator/>
      </w:r>
    </w:p>
  </w:endnote>
  <w:endnote w:type="continuationSeparator" w:id="0">
    <w:p w14:paraId="2C6623C7" w14:textId="77777777" w:rsidR="00662A65" w:rsidRDefault="006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D38E" w14:textId="77777777" w:rsidR="00A85C61" w:rsidRDefault="00662A65">
    <w:pPr>
      <w:pStyle w:val="BodyText"/>
      <w:spacing w:line="14" w:lineRule="auto"/>
      <w:rPr>
        <w:sz w:val="20"/>
      </w:rPr>
    </w:pPr>
    <w:r>
      <w:pict w14:anchorId="1186844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3.2pt;margin-top:792.45pt;width:12.1pt;height:12pt;z-index:-251658752;mso-position-horizontal-relative:page;mso-position-vertical-relative:page" filled="f" stroked="f">
          <v:textbox inset="0,0,0,0">
            <w:txbxContent>
              <w:p w14:paraId="708CD64E" w14:textId="77777777" w:rsidR="00A85C61" w:rsidRDefault="00662A65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6890" w14:textId="77777777" w:rsidR="00A85C61" w:rsidRDefault="00A85C6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A75C" w14:textId="77777777" w:rsidR="00662A65" w:rsidRDefault="00662A65">
      <w:r>
        <w:separator/>
      </w:r>
    </w:p>
  </w:footnote>
  <w:footnote w:type="continuationSeparator" w:id="0">
    <w:p w14:paraId="48071F47" w14:textId="77777777" w:rsidR="00662A65" w:rsidRDefault="0066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D11"/>
    <w:multiLevelType w:val="hybridMultilevel"/>
    <w:tmpl w:val="D068D0EA"/>
    <w:lvl w:ilvl="0" w:tplc="29445D7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9A35A2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2" w:tplc="F76811EC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3" w:tplc="0EBEE76E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ar-SA"/>
      </w:rPr>
    </w:lvl>
    <w:lvl w:ilvl="4" w:tplc="FA5401EA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5" w:tplc="B33EDDB6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ar-SA"/>
      </w:rPr>
    </w:lvl>
    <w:lvl w:ilvl="6" w:tplc="1F3C8B40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  <w:lvl w:ilvl="7" w:tplc="7B4C8912"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ar-SA"/>
      </w:rPr>
    </w:lvl>
    <w:lvl w:ilvl="8" w:tplc="E9CAA786">
      <w:numFmt w:val="bullet"/>
      <w:lvlText w:val="•"/>
      <w:lvlJc w:val="left"/>
      <w:pPr>
        <w:ind w:left="818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26A4966"/>
    <w:multiLevelType w:val="hybridMultilevel"/>
    <w:tmpl w:val="03066656"/>
    <w:lvl w:ilvl="0" w:tplc="5CB4E126">
      <w:numFmt w:val="bullet"/>
      <w:lvlText w:val=""/>
      <w:lvlJc w:val="left"/>
      <w:pPr>
        <w:ind w:left="4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422F2C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1A50B428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0A8CDBCC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CE38B080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8B20F00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26EA2278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7" w:tplc="BB7AC0BA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8" w:tplc="2FECF6F6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num w:numId="1" w16cid:durableId="2120447471">
    <w:abstractNumId w:val="1"/>
  </w:num>
  <w:num w:numId="2" w16cid:durableId="139867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5C61"/>
    <w:rsid w:val="001828E8"/>
    <w:rsid w:val="00662A65"/>
    <w:rsid w:val="006F2D11"/>
    <w:rsid w:val="00A85C61"/>
    <w:rsid w:val="00C0055C"/>
    <w:rsid w:val="00E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39CAFEB"/>
  <w15:docId w15:val="{8030F0E8-5C7B-45E9-BE62-F273F3E4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5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3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13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95" w:right="1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Gurguc, Zeynep</dc:creator>
  <cp:lastModifiedBy>Omelianenko, Karina</cp:lastModifiedBy>
  <cp:revision>3</cp:revision>
  <dcterms:created xsi:type="dcterms:W3CDTF">2022-07-21T12:04:00Z</dcterms:created>
  <dcterms:modified xsi:type="dcterms:W3CDTF">2022-07-21T12:11:00Z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2022-07-21T00:00:00Z</vt:filetime>
  </property>
</Properties>
</file>