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2D1F" w14:textId="77777777" w:rsidR="009541DC" w:rsidRDefault="00C82091">
      <w:pPr>
        <w:pStyle w:val="Heading"/>
        <w:rPr>
          <w:rFonts w:ascii="Arial" w:hAnsi="Arial" w:cs="Arial"/>
          <w:lang w:val="en-GB"/>
        </w:rPr>
      </w:pPr>
      <w:r>
        <w:rPr>
          <w:rFonts w:ascii="Arial" w:hAnsi="Arial" w:cs="Arial"/>
          <w:lang w:val="en-GB"/>
        </w:rPr>
        <w:t>ECON0029: Economics of Information</w:t>
      </w:r>
    </w:p>
    <w:p w14:paraId="3B58D002" w14:textId="77777777" w:rsidR="009541DC" w:rsidRDefault="00C82091">
      <w:pPr>
        <w:jc w:val="center"/>
      </w:pPr>
      <w:proofErr w:type="spellStart"/>
      <w:r>
        <w:rPr>
          <w:rStyle w:val="SubtleEmphasis"/>
          <w:rFonts w:ascii="Arial" w:hAnsi="Arial" w:cs="Arial"/>
        </w:rPr>
        <w:t>University</w:t>
      </w:r>
      <w:proofErr w:type="spellEnd"/>
      <w:r>
        <w:rPr>
          <w:rStyle w:val="SubtleEmphasis"/>
          <w:rFonts w:ascii="Arial" w:hAnsi="Arial" w:cs="Arial"/>
        </w:rPr>
        <w:t xml:space="preserve"> </w:t>
      </w:r>
      <w:proofErr w:type="spellStart"/>
      <w:r>
        <w:rPr>
          <w:rStyle w:val="SubtleEmphasis"/>
          <w:rFonts w:ascii="Arial" w:hAnsi="Arial" w:cs="Arial"/>
        </w:rPr>
        <w:t>College</w:t>
      </w:r>
      <w:proofErr w:type="spellEnd"/>
      <w:r>
        <w:rPr>
          <w:rStyle w:val="SubtleEmphasis"/>
          <w:rFonts w:ascii="Arial" w:hAnsi="Arial" w:cs="Arial"/>
        </w:rPr>
        <w:t xml:space="preserve"> London</w:t>
      </w:r>
    </w:p>
    <w:p w14:paraId="5930BD15" w14:textId="77777777" w:rsidR="009541DC" w:rsidRDefault="00C82091">
      <w:pPr>
        <w:jc w:val="center"/>
      </w:pPr>
      <w:proofErr w:type="spellStart"/>
      <w:r>
        <w:rPr>
          <w:rStyle w:val="SubtleEmphasis"/>
          <w:rFonts w:ascii="Arial" w:hAnsi="Arial" w:cs="Arial"/>
        </w:rPr>
        <w:t>Department</w:t>
      </w:r>
      <w:proofErr w:type="spellEnd"/>
      <w:r>
        <w:rPr>
          <w:rStyle w:val="SubtleEmphasis"/>
          <w:rFonts w:ascii="Arial" w:hAnsi="Arial" w:cs="Arial"/>
        </w:rPr>
        <w:t xml:space="preserve"> </w:t>
      </w:r>
      <w:proofErr w:type="spellStart"/>
      <w:r>
        <w:rPr>
          <w:rStyle w:val="SubtleEmphasis"/>
          <w:rFonts w:ascii="Arial" w:hAnsi="Arial" w:cs="Arial"/>
        </w:rPr>
        <w:t>of</w:t>
      </w:r>
      <w:proofErr w:type="spellEnd"/>
      <w:r>
        <w:rPr>
          <w:rStyle w:val="SubtleEmphasis"/>
          <w:rFonts w:ascii="Arial" w:hAnsi="Arial" w:cs="Arial"/>
        </w:rPr>
        <w:t xml:space="preserve"> </w:t>
      </w:r>
      <w:proofErr w:type="spellStart"/>
      <w:r>
        <w:rPr>
          <w:rStyle w:val="SubtleEmphasis"/>
          <w:rFonts w:ascii="Arial" w:hAnsi="Arial" w:cs="Arial"/>
        </w:rPr>
        <w:t>Economics</w:t>
      </w:r>
      <w:proofErr w:type="spellEnd"/>
    </w:p>
    <w:p w14:paraId="3DD2BF19" w14:textId="77777777" w:rsidR="009541DC" w:rsidRDefault="009541DC">
      <w:pPr>
        <w:jc w:val="center"/>
      </w:pPr>
    </w:p>
    <w:p w14:paraId="773E13E2" w14:textId="77777777" w:rsidR="00B771A9" w:rsidRDefault="00B771A9" w:rsidP="00B771A9">
      <w:pPr>
        <w:pStyle w:val="Heading5"/>
        <w:spacing w:before="0" w:after="150"/>
        <w:rPr>
          <w:rFonts w:ascii="Arial" w:eastAsia="Times New Roman" w:hAnsi="Arial" w:cs="Arial"/>
          <w:b/>
          <w:bCs/>
          <w:color w:val="auto"/>
          <w:kern w:val="2"/>
          <w:sz w:val="32"/>
          <w:szCs w:val="32"/>
          <w:lang w:val="en-GB"/>
        </w:rPr>
      </w:pPr>
    </w:p>
    <w:p w14:paraId="38181139" w14:textId="4B898EF4" w:rsidR="00B771A9" w:rsidRPr="00B771A9" w:rsidRDefault="00B771A9" w:rsidP="00B771A9">
      <w:pPr>
        <w:pStyle w:val="Heading5"/>
        <w:spacing w:before="0" w:after="150"/>
        <w:rPr>
          <w:rFonts w:ascii="Arial" w:eastAsia="Times New Roman" w:hAnsi="Arial" w:cs="Arial"/>
          <w:color w:val="auto"/>
          <w:sz w:val="22"/>
          <w:szCs w:val="22"/>
          <w:lang w:val="en-GB"/>
        </w:rPr>
      </w:pPr>
      <w:r w:rsidRPr="00B771A9">
        <w:rPr>
          <w:rFonts w:ascii="Arial" w:eastAsia="Times New Roman" w:hAnsi="Arial" w:cs="Arial"/>
          <w:color w:val="auto"/>
          <w:sz w:val="22"/>
          <w:szCs w:val="22"/>
          <w:lang w:val="en-GB"/>
        </w:rPr>
        <w:t xml:space="preserve">Lecturer: Deniz </w:t>
      </w:r>
      <w:proofErr w:type="spellStart"/>
      <w:r w:rsidRPr="00B771A9">
        <w:rPr>
          <w:rFonts w:ascii="Arial" w:eastAsia="Times New Roman" w:hAnsi="Arial" w:cs="Arial"/>
          <w:color w:val="auto"/>
          <w:sz w:val="22"/>
          <w:szCs w:val="22"/>
          <w:lang w:val="en-GB"/>
        </w:rPr>
        <w:t>Kattwinkel</w:t>
      </w:r>
      <w:proofErr w:type="spellEnd"/>
    </w:p>
    <w:p w14:paraId="58F9EE35" w14:textId="77777777" w:rsidR="009541DC" w:rsidRDefault="009541DC">
      <w:pPr>
        <w:rPr>
          <w:rFonts w:ascii="Arial" w:hAnsi="Arial" w:cs="Arial"/>
          <w:bCs/>
          <w:sz w:val="22"/>
          <w:szCs w:val="22"/>
          <w:lang w:val="en-GB"/>
        </w:rPr>
      </w:pPr>
    </w:p>
    <w:p w14:paraId="37D6321B" w14:textId="77777777" w:rsidR="009541DC" w:rsidRDefault="00C82091">
      <w:pPr>
        <w:pStyle w:val="Heading1"/>
        <w:rPr>
          <w:rFonts w:ascii="Arial" w:hAnsi="Arial" w:cs="Arial"/>
          <w:lang w:val="en-GB"/>
        </w:rPr>
      </w:pPr>
      <w:r>
        <w:rPr>
          <w:rFonts w:ascii="Arial" w:hAnsi="Arial" w:cs="Arial"/>
          <w:lang w:val="en-GB"/>
        </w:rPr>
        <w:t>Aims:</w:t>
      </w:r>
    </w:p>
    <w:p w14:paraId="2F4CF9EB" w14:textId="77777777" w:rsidR="009541DC" w:rsidRDefault="00C82091">
      <w:pPr>
        <w:pStyle w:val="NormalWeb"/>
        <w:spacing w:line="360" w:lineRule="auto"/>
        <w:contextualSpacing/>
        <w:jc w:val="both"/>
      </w:pPr>
      <w:r>
        <w:rPr>
          <w:rFonts w:ascii="Arial" w:hAnsi="Arial" w:cs="Arial"/>
          <w:sz w:val="22"/>
          <w:szCs w:val="22"/>
          <w:lang w:val="en-GB"/>
        </w:rPr>
        <w:t xml:space="preserve">In many economic transactions, involved parties have different information about important characteristics that affect the value of trade. In this course, we will study how agents deal with this </w:t>
      </w:r>
      <w:r>
        <w:rPr>
          <w:rFonts w:ascii="Arial" w:hAnsi="Arial" w:cs="Arial"/>
          <w:b/>
          <w:sz w:val="22"/>
          <w:szCs w:val="22"/>
          <w:lang w:val="en-GB"/>
        </w:rPr>
        <w:t>information asymmetry</w:t>
      </w:r>
      <w:r>
        <w:rPr>
          <w:rFonts w:ascii="Arial" w:hAnsi="Arial" w:cs="Arial"/>
          <w:sz w:val="22"/>
          <w:szCs w:val="22"/>
          <w:lang w:val="en-GB"/>
        </w:rPr>
        <w:t xml:space="preserve"> by designing incentives and embedding them in contracts. We will also study the effects of information asymmetry on the prevailing market equilibrium. We will discuss applications from labour markets (</w:t>
      </w:r>
      <w:proofErr w:type="gramStart"/>
      <w:r>
        <w:rPr>
          <w:rFonts w:ascii="Arial" w:hAnsi="Arial" w:cs="Arial"/>
          <w:sz w:val="22"/>
          <w:szCs w:val="22"/>
          <w:lang w:val="en-GB"/>
        </w:rPr>
        <w:t>in particular compensations</w:t>
      </w:r>
      <w:proofErr w:type="gramEnd"/>
      <w:r>
        <w:rPr>
          <w:rFonts w:ascii="Arial" w:hAnsi="Arial" w:cs="Arial"/>
          <w:sz w:val="22"/>
          <w:szCs w:val="22"/>
          <w:lang w:val="en-GB"/>
        </w:rPr>
        <w:t xml:space="preserve"> schemes of managers and CEOs), corporate finance (in particular rationing in credit markets) and the provision of health insurance.</w:t>
      </w:r>
    </w:p>
    <w:p w14:paraId="371C8A7B" w14:textId="77777777" w:rsidR="009541DC" w:rsidRDefault="00C82091">
      <w:pPr>
        <w:pStyle w:val="NormalWeb"/>
        <w:spacing w:line="360" w:lineRule="auto"/>
        <w:contextualSpacing/>
        <w:jc w:val="both"/>
      </w:pPr>
      <w:r>
        <w:rPr>
          <w:rFonts w:ascii="Arial" w:hAnsi="Arial" w:cs="Arial"/>
          <w:sz w:val="22"/>
          <w:szCs w:val="22"/>
          <w:lang w:val="en-GB"/>
        </w:rPr>
        <w:t xml:space="preserve">The course analyses </w:t>
      </w:r>
      <w:r>
        <w:rPr>
          <w:rFonts w:ascii="Arial" w:hAnsi="Arial" w:cs="Arial"/>
          <w:b/>
          <w:sz w:val="22"/>
          <w:szCs w:val="22"/>
          <w:lang w:val="en-GB"/>
        </w:rPr>
        <w:t>incentive schemes</w:t>
      </w:r>
      <w:r>
        <w:rPr>
          <w:rFonts w:ascii="Arial" w:hAnsi="Arial" w:cs="Arial"/>
          <w:sz w:val="22"/>
          <w:szCs w:val="22"/>
          <w:lang w:val="en-GB"/>
        </w:rPr>
        <w:t xml:space="preserve"> that are used in situations of </w:t>
      </w:r>
      <w:r>
        <w:rPr>
          <w:rFonts w:ascii="Arial" w:hAnsi="Arial" w:cs="Arial"/>
          <w:b/>
          <w:sz w:val="22"/>
          <w:szCs w:val="22"/>
          <w:lang w:val="en-GB"/>
        </w:rPr>
        <w:t>Moral Hazard</w:t>
      </w:r>
      <w:r>
        <w:rPr>
          <w:rFonts w:ascii="Arial" w:hAnsi="Arial" w:cs="Arial"/>
          <w:sz w:val="22"/>
          <w:szCs w:val="22"/>
          <w:lang w:val="en-GB"/>
        </w:rPr>
        <w:t xml:space="preserve"> (</w:t>
      </w:r>
      <w:proofErr w:type="gramStart"/>
      <w:r>
        <w:rPr>
          <w:rFonts w:ascii="Arial" w:hAnsi="Arial" w:cs="Arial"/>
          <w:sz w:val="22"/>
          <w:szCs w:val="22"/>
          <w:lang w:val="en-GB"/>
        </w:rPr>
        <w:t>e.g.</w:t>
      </w:r>
      <w:proofErr w:type="gramEnd"/>
      <w:r>
        <w:rPr>
          <w:rFonts w:ascii="Arial" w:hAnsi="Arial" w:cs="Arial"/>
          <w:sz w:val="22"/>
          <w:szCs w:val="22"/>
          <w:lang w:val="en-GB"/>
        </w:rPr>
        <w:t xml:space="preserve"> non-verifiable effort of an employee or customer of an insurance company), as well as </w:t>
      </w:r>
      <w:r>
        <w:rPr>
          <w:rFonts w:ascii="Arial" w:hAnsi="Arial" w:cs="Arial"/>
          <w:b/>
          <w:sz w:val="22"/>
          <w:szCs w:val="22"/>
          <w:lang w:val="en-GB"/>
        </w:rPr>
        <w:t>menus of contracts</w:t>
      </w:r>
      <w:r>
        <w:rPr>
          <w:rFonts w:ascii="Arial" w:hAnsi="Arial" w:cs="Arial"/>
          <w:sz w:val="22"/>
          <w:szCs w:val="22"/>
          <w:lang w:val="en-GB"/>
        </w:rPr>
        <w:t xml:space="preserve"> and </w:t>
      </w:r>
      <w:r>
        <w:rPr>
          <w:rFonts w:ascii="Arial" w:hAnsi="Arial" w:cs="Arial"/>
          <w:b/>
          <w:sz w:val="22"/>
          <w:szCs w:val="22"/>
          <w:lang w:val="en-GB"/>
        </w:rPr>
        <w:t>product lines</w:t>
      </w:r>
      <w:r>
        <w:rPr>
          <w:rFonts w:ascii="Arial" w:hAnsi="Arial" w:cs="Arial"/>
          <w:sz w:val="22"/>
          <w:szCs w:val="22"/>
          <w:lang w:val="en-GB"/>
        </w:rPr>
        <w:t xml:space="preserve"> that are used in the presence of </w:t>
      </w:r>
      <w:r>
        <w:rPr>
          <w:rFonts w:ascii="Arial" w:hAnsi="Arial" w:cs="Arial"/>
          <w:b/>
          <w:sz w:val="22"/>
          <w:szCs w:val="22"/>
          <w:lang w:val="en-GB"/>
        </w:rPr>
        <w:t>Adverse Selection</w:t>
      </w:r>
      <w:r>
        <w:rPr>
          <w:rFonts w:ascii="Arial" w:hAnsi="Arial" w:cs="Arial"/>
          <w:sz w:val="22"/>
          <w:szCs w:val="22"/>
          <w:lang w:val="en-GB"/>
        </w:rPr>
        <w:t xml:space="preserve"> (e.g. when different customers select different contracts or products based on their preferences).</w:t>
      </w:r>
    </w:p>
    <w:p w14:paraId="5CF96FEA" w14:textId="77777777" w:rsidR="009541DC" w:rsidRDefault="00C82091">
      <w:pPr>
        <w:pStyle w:val="NormalWeb"/>
        <w:spacing w:line="360" w:lineRule="auto"/>
        <w:contextualSpacing/>
        <w:jc w:val="both"/>
      </w:pPr>
      <w:r>
        <w:rPr>
          <w:rFonts w:ascii="Arial" w:hAnsi="Arial" w:cs="Arial"/>
          <w:sz w:val="22"/>
          <w:szCs w:val="22"/>
          <w:lang w:val="en-GB"/>
        </w:rPr>
        <w:t xml:space="preserve">A central theme of the course is that asymmetric information can lead to </w:t>
      </w:r>
      <w:r>
        <w:rPr>
          <w:rFonts w:ascii="Arial" w:hAnsi="Arial" w:cs="Arial"/>
          <w:b/>
          <w:sz w:val="22"/>
          <w:szCs w:val="22"/>
          <w:lang w:val="en-GB"/>
        </w:rPr>
        <w:t>inefficiencies and market failure</w:t>
      </w:r>
      <w:r>
        <w:rPr>
          <w:rFonts w:ascii="Arial" w:hAnsi="Arial" w:cs="Arial"/>
          <w:sz w:val="22"/>
          <w:szCs w:val="22"/>
          <w:lang w:val="en-GB"/>
        </w:rPr>
        <w:t>. We analyse how agents can overcome these inefficiencies and discuss the consequences of government interventions that aim to improve on the market outcome.</w:t>
      </w:r>
    </w:p>
    <w:p w14:paraId="68475F0A"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The core content of the course is theoretical. The theoretical observations will be applied to specific settings and compared to empirical data on incentive schemes and menus of contracts used in practice.</w:t>
      </w:r>
    </w:p>
    <w:p w14:paraId="1515E637"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Finally empirical tests are discussed that can be used to identify Moral Hazard and Adverse Selection in insurance markets.</w:t>
      </w:r>
    </w:p>
    <w:p w14:paraId="042D8ED2" w14:textId="77777777" w:rsidR="009541DC" w:rsidRDefault="00C82091">
      <w:pPr>
        <w:pStyle w:val="Heading1"/>
        <w:rPr>
          <w:rFonts w:ascii="Arial" w:hAnsi="Arial" w:cs="Arial"/>
          <w:lang w:val="en-GB"/>
        </w:rPr>
      </w:pPr>
      <w:r>
        <w:rPr>
          <w:rFonts w:ascii="Arial" w:hAnsi="Arial" w:cs="Arial"/>
          <w:lang w:val="en-GB"/>
        </w:rPr>
        <w:t>Suitable for:</w:t>
      </w:r>
    </w:p>
    <w:p w14:paraId="62CCC2AA" w14:textId="77777777" w:rsidR="009541DC" w:rsidRDefault="00C82091">
      <w:pPr>
        <w:spacing w:before="280" w:after="280" w:line="360" w:lineRule="auto"/>
        <w:contextualSpacing/>
        <w:rPr>
          <w:rFonts w:ascii="Arial" w:hAnsi="Arial" w:cs="Arial"/>
          <w:sz w:val="22"/>
          <w:szCs w:val="22"/>
          <w:lang w:val="en-GB"/>
        </w:rPr>
      </w:pPr>
      <w:r>
        <w:rPr>
          <w:rFonts w:ascii="Arial" w:hAnsi="Arial" w:cs="Arial"/>
          <w:sz w:val="22"/>
          <w:szCs w:val="22"/>
          <w:lang w:val="en-GB"/>
        </w:rPr>
        <w:t>3rd year Economics (L100), Phil/Econ (VL51), Math/Econ (G1L1/G1LC) and Econ/Stats (LG13) students.</w:t>
      </w:r>
    </w:p>
    <w:p w14:paraId="242F5A74" w14:textId="77777777" w:rsidR="009541DC" w:rsidRDefault="00C82091">
      <w:pPr>
        <w:pStyle w:val="Heading1"/>
        <w:rPr>
          <w:rFonts w:ascii="Arial" w:hAnsi="Arial" w:cs="Arial"/>
          <w:lang w:val="en-GB"/>
        </w:rPr>
      </w:pPr>
      <w:r>
        <w:rPr>
          <w:rFonts w:ascii="Arial" w:hAnsi="Arial" w:cs="Arial"/>
          <w:lang w:val="en-GB"/>
        </w:rPr>
        <w:lastRenderedPageBreak/>
        <w:t>Prerequisites:</w:t>
      </w:r>
    </w:p>
    <w:p w14:paraId="47ADE6DC" w14:textId="77777777" w:rsidR="009541DC" w:rsidRDefault="00C82091">
      <w:pPr>
        <w:pStyle w:val="NormalWeb"/>
        <w:spacing w:line="360" w:lineRule="auto"/>
        <w:contextualSpacing/>
        <w:rPr>
          <w:rFonts w:ascii="Arial" w:hAnsi="Arial" w:cs="Arial"/>
          <w:sz w:val="22"/>
          <w:szCs w:val="22"/>
          <w:lang w:val="en-GB"/>
        </w:rPr>
      </w:pPr>
      <w:r>
        <w:rPr>
          <w:rFonts w:ascii="Arial" w:hAnsi="Arial" w:cs="Arial"/>
          <w:sz w:val="22"/>
          <w:szCs w:val="22"/>
          <w:lang w:val="en-GB"/>
        </w:rPr>
        <w:t>ECON0013 (formerly ECON2001): Microeconomics, ECON0019 (formerly: ECON2007): Quantitative Economics and Econometrics.</w:t>
      </w:r>
    </w:p>
    <w:p w14:paraId="757E7423" w14:textId="77777777" w:rsidR="009541DC" w:rsidRDefault="00C82091">
      <w:pPr>
        <w:pStyle w:val="Heading1"/>
        <w:rPr>
          <w:rFonts w:ascii="Arial" w:hAnsi="Arial" w:cs="Arial"/>
          <w:lang w:val="en-GB"/>
        </w:rPr>
      </w:pPr>
      <w:r>
        <w:rPr>
          <w:rFonts w:ascii="Arial" w:hAnsi="Arial" w:cs="Arial"/>
          <w:lang w:val="en-GB"/>
        </w:rPr>
        <w:t>Assessment:</w:t>
      </w:r>
    </w:p>
    <w:p w14:paraId="0F3A6A57" w14:textId="7368E673"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The material covered in the lectures will be evaluated in a 100% exam</w:t>
      </w:r>
      <w:r w:rsidR="00E27AD1">
        <w:rPr>
          <w:rFonts w:ascii="Arial" w:hAnsi="Arial" w:cs="Arial"/>
          <w:sz w:val="22"/>
          <w:szCs w:val="22"/>
          <w:lang w:val="en-GB"/>
        </w:rPr>
        <w:t>.</w:t>
      </w:r>
      <w:r>
        <w:rPr>
          <w:rFonts w:ascii="Arial" w:hAnsi="Arial" w:cs="Arial"/>
          <w:sz w:val="22"/>
          <w:szCs w:val="22"/>
          <w:lang w:val="en-GB"/>
        </w:rPr>
        <w:t xml:space="preserve"> </w:t>
      </w:r>
    </w:p>
    <w:p w14:paraId="4F0E3664" w14:textId="0ACC4998" w:rsidR="009541DC" w:rsidRDefault="00C82091">
      <w:pPr>
        <w:pStyle w:val="Heading1"/>
        <w:rPr>
          <w:rFonts w:ascii="Arial" w:hAnsi="Arial" w:cs="Arial"/>
          <w:lang w:val="en-GB"/>
        </w:rPr>
      </w:pPr>
      <w:r>
        <w:rPr>
          <w:rFonts w:ascii="Arial" w:hAnsi="Arial" w:cs="Arial"/>
          <w:lang w:val="en-GB"/>
        </w:rPr>
        <w:t>Lectures, Course Work and Tutorial:</w:t>
      </w:r>
    </w:p>
    <w:p w14:paraId="6E599A0B" w14:textId="2DB981EC" w:rsidR="009541DC" w:rsidRPr="00E27AD1" w:rsidRDefault="00C82091">
      <w:pPr>
        <w:pStyle w:val="NormalWeb"/>
        <w:spacing w:line="360" w:lineRule="auto"/>
        <w:contextualSpacing/>
        <w:jc w:val="both"/>
      </w:pPr>
      <w:r>
        <w:rPr>
          <w:rFonts w:ascii="Arial" w:hAnsi="Arial" w:cs="Arial"/>
          <w:sz w:val="22"/>
          <w:szCs w:val="22"/>
          <w:lang w:val="en-GB"/>
        </w:rPr>
        <w:t xml:space="preserve">There will </w:t>
      </w:r>
      <w:r w:rsidR="0081799C">
        <w:rPr>
          <w:rFonts w:ascii="Arial" w:hAnsi="Arial" w:cs="Arial"/>
          <w:sz w:val="22"/>
          <w:szCs w:val="22"/>
          <w:lang w:val="en-GB"/>
        </w:rPr>
        <w:t xml:space="preserve">be </w:t>
      </w:r>
      <w:r>
        <w:rPr>
          <w:rFonts w:ascii="Arial" w:hAnsi="Arial" w:cs="Arial"/>
          <w:sz w:val="22"/>
          <w:szCs w:val="22"/>
          <w:lang w:val="en-GB"/>
        </w:rPr>
        <w:t xml:space="preserve">lectures each week. In </w:t>
      </w:r>
      <w:proofErr w:type="gramStart"/>
      <w:r>
        <w:rPr>
          <w:rFonts w:ascii="Arial" w:hAnsi="Arial" w:cs="Arial"/>
          <w:sz w:val="22"/>
          <w:szCs w:val="22"/>
          <w:lang w:val="en-GB"/>
        </w:rPr>
        <w:t>addition</w:t>
      </w:r>
      <w:proofErr w:type="gramEnd"/>
      <w:r>
        <w:rPr>
          <w:rFonts w:ascii="Arial" w:hAnsi="Arial" w:cs="Arial"/>
          <w:sz w:val="22"/>
          <w:szCs w:val="22"/>
          <w:lang w:val="en-GB"/>
        </w:rPr>
        <w:t xml:space="preserve"> there are eight tutorials throughout the term. For each tutorial session there will be a problem set. Coursework is mandatory and will be marked to provide </w:t>
      </w:r>
      <w:proofErr w:type="gramStart"/>
      <w:r>
        <w:rPr>
          <w:rFonts w:ascii="Arial" w:hAnsi="Arial" w:cs="Arial"/>
          <w:sz w:val="22"/>
          <w:szCs w:val="22"/>
          <w:lang w:val="en-GB"/>
        </w:rPr>
        <w:t>feedback, but</w:t>
      </w:r>
      <w:proofErr w:type="gramEnd"/>
      <w:r>
        <w:rPr>
          <w:rFonts w:ascii="Arial" w:hAnsi="Arial" w:cs="Arial"/>
          <w:sz w:val="22"/>
          <w:szCs w:val="22"/>
          <w:lang w:val="en-GB"/>
        </w:rPr>
        <w:t xml:space="preserve"> will not be relevant for the overall grade of the course. </w:t>
      </w:r>
      <w:r w:rsidR="007779BC">
        <w:rPr>
          <w:rFonts w:ascii="Arial" w:hAnsi="Arial" w:cs="Arial"/>
          <w:sz w:val="22"/>
          <w:szCs w:val="22"/>
          <w:lang w:val="en-GB"/>
        </w:rPr>
        <w:t>We</w:t>
      </w:r>
      <w:r>
        <w:rPr>
          <w:rFonts w:ascii="Arial" w:hAnsi="Arial" w:cs="Arial"/>
          <w:sz w:val="22"/>
          <w:szCs w:val="22"/>
          <w:lang w:val="en-GB"/>
        </w:rPr>
        <w:t xml:space="preserve"> encourage you to work in groups of two or three students and submit your coursework jointly. Worked solution will be provided for all coursework. </w:t>
      </w:r>
    </w:p>
    <w:p w14:paraId="7E778790"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There will also be a weekly office hour.</w:t>
      </w:r>
    </w:p>
    <w:p w14:paraId="4A988AFC" w14:textId="77777777" w:rsidR="009541DC" w:rsidRDefault="009541DC">
      <w:pPr>
        <w:pStyle w:val="NormalWeb"/>
        <w:spacing w:line="360" w:lineRule="auto"/>
        <w:contextualSpacing/>
        <w:jc w:val="both"/>
        <w:rPr>
          <w:rFonts w:ascii="Arial" w:hAnsi="Arial" w:cs="Arial"/>
          <w:sz w:val="22"/>
          <w:szCs w:val="22"/>
          <w:lang w:val="en-GB"/>
        </w:rPr>
      </w:pPr>
    </w:p>
    <w:p w14:paraId="5918C022" w14:textId="77777777" w:rsidR="009541DC" w:rsidRDefault="00C82091">
      <w:pPr>
        <w:pStyle w:val="Heading1"/>
        <w:rPr>
          <w:rFonts w:ascii="Arial" w:hAnsi="Arial" w:cs="Arial"/>
          <w:lang w:val="en-GB"/>
        </w:rPr>
      </w:pPr>
      <w:r>
        <w:rPr>
          <w:rFonts w:ascii="Arial" w:hAnsi="Arial" w:cs="Arial"/>
          <w:lang w:val="en-GB"/>
        </w:rPr>
        <w:t>Textbooks</w:t>
      </w:r>
    </w:p>
    <w:p w14:paraId="258FC958"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Main Textbook for the Course:</w:t>
      </w:r>
    </w:p>
    <w:p w14:paraId="182C0B84" w14:textId="77777777" w:rsidR="009541DC" w:rsidRDefault="00C82091">
      <w:pPr>
        <w:pStyle w:val="NormalWeb"/>
        <w:numPr>
          <w:ilvl w:val="0"/>
          <w:numId w:val="2"/>
        </w:numPr>
        <w:spacing w:line="360" w:lineRule="auto"/>
        <w:jc w:val="both"/>
      </w:pPr>
      <w:r>
        <w:rPr>
          <w:rFonts w:ascii="Arial" w:hAnsi="Arial" w:cs="Arial"/>
          <w:b/>
          <w:sz w:val="22"/>
          <w:szCs w:val="22"/>
          <w:lang w:val="en-GB"/>
        </w:rPr>
        <w:t>(MSPC)</w:t>
      </w:r>
      <w:r>
        <w:rPr>
          <w:rFonts w:ascii="Arial" w:hAnsi="Arial" w:cs="Arial"/>
          <w:sz w:val="22"/>
          <w:szCs w:val="22"/>
          <w:lang w:val="en-GB"/>
        </w:rPr>
        <w:t xml:space="preserve"> Macho-Stadler, I. and Pérez-</w:t>
      </w:r>
      <w:proofErr w:type="spellStart"/>
      <w:r>
        <w:rPr>
          <w:rFonts w:ascii="Arial" w:hAnsi="Arial" w:cs="Arial"/>
          <w:sz w:val="22"/>
          <w:szCs w:val="22"/>
          <w:lang w:val="en-GB"/>
        </w:rPr>
        <w:t>Castrillo</w:t>
      </w:r>
      <w:proofErr w:type="spellEnd"/>
      <w:r>
        <w:rPr>
          <w:rFonts w:ascii="Arial" w:hAnsi="Arial" w:cs="Arial"/>
          <w:sz w:val="22"/>
          <w:szCs w:val="22"/>
          <w:lang w:val="en-GB"/>
        </w:rPr>
        <w:t>, J.D. “An Introduction to the Economics of Information. Incentives and Contracts”. Oxford University Press. 2001. Second edition</w:t>
      </w:r>
    </w:p>
    <w:p w14:paraId="6CC2728F" w14:textId="77777777" w:rsidR="009541DC" w:rsidRDefault="00C82091">
      <w:pPr>
        <w:pStyle w:val="NormalWeb"/>
        <w:spacing w:line="360" w:lineRule="auto"/>
        <w:ind w:left="720"/>
        <w:contextualSpacing/>
        <w:jc w:val="both"/>
        <w:rPr>
          <w:rFonts w:ascii="Arial" w:hAnsi="Arial" w:cs="Arial"/>
          <w:sz w:val="22"/>
          <w:szCs w:val="22"/>
          <w:lang w:val="en-GB"/>
        </w:rPr>
      </w:pPr>
      <w:r>
        <w:rPr>
          <w:rFonts w:ascii="Arial" w:hAnsi="Arial" w:cs="Arial"/>
          <w:sz w:val="22"/>
          <w:szCs w:val="22"/>
          <w:lang w:val="en-GB"/>
        </w:rPr>
        <w:t>Students in previous years found this textbook very helpful. Except for topics 5 and 9, the theoretical material in the lectures follows this textbook quite closely.</w:t>
      </w:r>
    </w:p>
    <w:p w14:paraId="7AB1CD35"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Additional Texts:</w:t>
      </w:r>
    </w:p>
    <w:p w14:paraId="121A74CD" w14:textId="77777777" w:rsidR="009541DC" w:rsidRDefault="00C82091">
      <w:pPr>
        <w:pStyle w:val="NormalWeb"/>
        <w:numPr>
          <w:ilvl w:val="0"/>
          <w:numId w:val="2"/>
        </w:numPr>
        <w:spacing w:line="360" w:lineRule="auto"/>
        <w:jc w:val="both"/>
        <w:rPr>
          <w:rFonts w:ascii="Arial" w:hAnsi="Arial" w:cs="Arial"/>
          <w:sz w:val="22"/>
          <w:szCs w:val="22"/>
          <w:lang w:val="en-GB"/>
        </w:rPr>
      </w:pPr>
      <w:proofErr w:type="spellStart"/>
      <w:r>
        <w:rPr>
          <w:rFonts w:ascii="Arial" w:hAnsi="Arial" w:cs="Arial"/>
          <w:sz w:val="22"/>
          <w:szCs w:val="22"/>
          <w:lang w:val="en-GB"/>
        </w:rPr>
        <w:t>Tirole</w:t>
      </w:r>
      <w:proofErr w:type="spellEnd"/>
      <w:r>
        <w:rPr>
          <w:rFonts w:ascii="Arial" w:hAnsi="Arial" w:cs="Arial"/>
          <w:sz w:val="22"/>
          <w:szCs w:val="22"/>
          <w:lang w:val="en-GB"/>
        </w:rPr>
        <w:t>, J., “The Theory of Corporate Finance,” Princeton University Press, 2006</w:t>
      </w:r>
    </w:p>
    <w:p w14:paraId="1BFF8A68" w14:textId="77777777" w:rsidR="009541DC" w:rsidRDefault="00C82091">
      <w:pPr>
        <w:pStyle w:val="NormalWeb"/>
        <w:spacing w:line="360" w:lineRule="auto"/>
        <w:ind w:left="720"/>
        <w:contextualSpacing/>
        <w:jc w:val="both"/>
        <w:rPr>
          <w:rFonts w:ascii="Arial" w:hAnsi="Arial" w:cs="Arial"/>
          <w:sz w:val="22"/>
          <w:szCs w:val="22"/>
          <w:lang w:val="en-GB"/>
        </w:rPr>
      </w:pPr>
      <w:r>
        <w:rPr>
          <w:rFonts w:ascii="Arial" w:hAnsi="Arial" w:cs="Arial"/>
          <w:sz w:val="22"/>
          <w:szCs w:val="22"/>
          <w:lang w:val="en-GB"/>
        </w:rPr>
        <w:t>Chapter 3 of this book is the basis for Topic 5. The rest of the book is not relevant for the course and often much more advanced. Chapter 3 will be made available electronically (freely accessible) through the UCL online reading-lists.</w:t>
      </w:r>
    </w:p>
    <w:p w14:paraId="356D7885" w14:textId="77777777" w:rsidR="009541DC" w:rsidRDefault="00C82091">
      <w:pPr>
        <w:pStyle w:val="NormalWeb"/>
        <w:numPr>
          <w:ilvl w:val="0"/>
          <w:numId w:val="2"/>
        </w:numPr>
        <w:spacing w:line="360" w:lineRule="auto"/>
        <w:jc w:val="both"/>
        <w:rPr>
          <w:rFonts w:ascii="Arial" w:hAnsi="Arial" w:cs="Arial"/>
          <w:sz w:val="22"/>
          <w:szCs w:val="22"/>
          <w:lang w:val="en-GB"/>
        </w:rPr>
      </w:pPr>
      <w:proofErr w:type="spellStart"/>
      <w:r>
        <w:rPr>
          <w:rFonts w:ascii="Arial" w:hAnsi="Arial" w:cs="Arial"/>
          <w:sz w:val="22"/>
          <w:szCs w:val="22"/>
          <w:lang w:val="en-GB"/>
        </w:rPr>
        <w:t>Salanie</w:t>
      </w:r>
      <w:proofErr w:type="spellEnd"/>
      <w:r>
        <w:rPr>
          <w:rFonts w:ascii="Arial" w:hAnsi="Arial" w:cs="Arial"/>
          <w:sz w:val="22"/>
          <w:szCs w:val="22"/>
          <w:lang w:val="en-GB"/>
        </w:rPr>
        <w:t>, B. “The Economics of Contracts” MIT Press, 2005, Second edition</w:t>
      </w:r>
    </w:p>
    <w:p w14:paraId="43B55DC2" w14:textId="77777777" w:rsidR="009541DC" w:rsidRDefault="00C82091">
      <w:pPr>
        <w:pStyle w:val="NormalWeb"/>
        <w:spacing w:line="360" w:lineRule="auto"/>
        <w:ind w:left="720"/>
        <w:contextualSpacing/>
        <w:jc w:val="both"/>
        <w:rPr>
          <w:rFonts w:ascii="Arial" w:hAnsi="Arial" w:cs="Arial"/>
          <w:sz w:val="22"/>
          <w:szCs w:val="22"/>
          <w:lang w:val="en-GB"/>
        </w:rPr>
      </w:pPr>
      <w:r>
        <w:rPr>
          <w:rFonts w:ascii="Arial" w:hAnsi="Arial" w:cs="Arial"/>
          <w:sz w:val="22"/>
          <w:szCs w:val="22"/>
          <w:lang w:val="en-GB"/>
        </w:rPr>
        <w:t>An introduction to many of the topics covered in this course on a higher technical level.</w:t>
      </w:r>
    </w:p>
    <w:p w14:paraId="1FDAB458" w14:textId="77777777" w:rsidR="009541DC" w:rsidRDefault="009541DC">
      <w:pPr>
        <w:pStyle w:val="NormalWeb"/>
        <w:spacing w:line="360" w:lineRule="auto"/>
        <w:contextualSpacing/>
        <w:jc w:val="both"/>
        <w:rPr>
          <w:rFonts w:ascii="Arial" w:hAnsi="Arial" w:cs="Arial"/>
          <w:sz w:val="22"/>
          <w:szCs w:val="22"/>
          <w:lang w:val="en-GB"/>
        </w:rPr>
      </w:pPr>
    </w:p>
    <w:p w14:paraId="244557C8" w14:textId="77777777" w:rsidR="009541DC" w:rsidRDefault="00C82091">
      <w:pPr>
        <w:pStyle w:val="NormalWeb"/>
        <w:spacing w:line="360" w:lineRule="auto"/>
        <w:contextualSpacing/>
        <w:rPr>
          <w:rFonts w:ascii="Arial" w:hAnsi="Arial" w:cs="Arial"/>
          <w:sz w:val="22"/>
          <w:szCs w:val="22"/>
          <w:lang w:val="en-GB"/>
        </w:rPr>
      </w:pPr>
      <w:r>
        <w:rPr>
          <w:rFonts w:ascii="Arial" w:hAnsi="Arial" w:cs="Arial"/>
          <w:sz w:val="22"/>
          <w:szCs w:val="22"/>
          <w:lang w:val="en-GB"/>
        </w:rPr>
        <w:lastRenderedPageBreak/>
        <w:t>Further readings will be announced during the term.</w:t>
      </w:r>
    </w:p>
    <w:p w14:paraId="134555E5" w14:textId="77777777" w:rsidR="009541DC" w:rsidRDefault="00C82091">
      <w:pPr>
        <w:pStyle w:val="Heading1"/>
        <w:rPr>
          <w:lang w:val="en-GB"/>
        </w:rPr>
      </w:pPr>
      <w:r>
        <w:rPr>
          <w:lang w:val="en-GB"/>
        </w:rPr>
        <w:t>Course Outline</w:t>
      </w:r>
    </w:p>
    <w:p w14:paraId="65FCFB8B" w14:textId="77777777" w:rsidR="009541DC" w:rsidRDefault="00C82091">
      <w:pPr>
        <w:pStyle w:val="NormalWeb"/>
        <w:spacing w:line="360" w:lineRule="auto"/>
        <w:contextualSpacing/>
        <w:rPr>
          <w:rFonts w:ascii="Arial" w:hAnsi="Arial" w:cs="Arial"/>
          <w:b/>
          <w:sz w:val="22"/>
          <w:szCs w:val="22"/>
          <w:lang w:val="en-GB"/>
        </w:rPr>
      </w:pPr>
      <w:r>
        <w:rPr>
          <w:rFonts w:ascii="Arial" w:hAnsi="Arial" w:cs="Arial"/>
          <w:b/>
          <w:sz w:val="22"/>
          <w:szCs w:val="22"/>
          <w:lang w:val="en-GB"/>
        </w:rPr>
        <w:t>Topic 1: Introduction to the Course, Introduction to Decisions under Uncertainty</w:t>
      </w:r>
    </w:p>
    <w:p w14:paraId="354AFD08"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I review the basic concept of expected utility and apply it to demand for insurance and to efficient risk-sharing. These are central tools for the first half of the course.</w:t>
      </w:r>
    </w:p>
    <w:p w14:paraId="18D9E736" w14:textId="77777777" w:rsidR="009541DC" w:rsidRDefault="00C82091">
      <w:pPr>
        <w:pStyle w:val="NormalWeb"/>
        <w:spacing w:line="360" w:lineRule="auto"/>
        <w:contextualSpacing/>
        <w:jc w:val="both"/>
      </w:pPr>
      <w:r>
        <w:rPr>
          <w:rFonts w:ascii="Arial" w:hAnsi="Arial" w:cs="Arial"/>
          <w:b/>
          <w:sz w:val="22"/>
          <w:szCs w:val="22"/>
          <w:lang w:val="en-GB"/>
        </w:rPr>
        <w:t>Reading:</w:t>
      </w:r>
      <w:r>
        <w:rPr>
          <w:rFonts w:ascii="Arial" w:hAnsi="Arial" w:cs="Arial"/>
          <w:sz w:val="22"/>
          <w:szCs w:val="22"/>
          <w:lang w:val="en-GB"/>
        </w:rPr>
        <w:t xml:space="preserve"> Chapter 8 in Frank Cowell, “Microeconomics: Principles and Analysis”, Oxford University Press, 2006.</w:t>
      </w:r>
    </w:p>
    <w:p w14:paraId="7A87CB25" w14:textId="77777777" w:rsidR="009541DC" w:rsidRDefault="009541DC">
      <w:pPr>
        <w:pStyle w:val="NormalWeb"/>
        <w:spacing w:line="360" w:lineRule="auto"/>
        <w:contextualSpacing/>
        <w:rPr>
          <w:rFonts w:ascii="Arial" w:hAnsi="Arial" w:cs="Arial"/>
          <w:b/>
          <w:sz w:val="22"/>
          <w:szCs w:val="22"/>
          <w:lang w:val="en-GB"/>
        </w:rPr>
      </w:pPr>
    </w:p>
    <w:p w14:paraId="4689440D"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 xml:space="preserve">Topic 2: The Basic </w:t>
      </w:r>
      <w:proofErr w:type="gramStart"/>
      <w:r>
        <w:rPr>
          <w:rFonts w:ascii="Arial" w:hAnsi="Arial" w:cs="Arial"/>
          <w:b/>
          <w:sz w:val="22"/>
          <w:szCs w:val="22"/>
          <w:lang w:val="en-GB"/>
        </w:rPr>
        <w:t>Principal</w:t>
      </w:r>
      <w:proofErr w:type="gramEnd"/>
      <w:r>
        <w:rPr>
          <w:rFonts w:ascii="Arial" w:hAnsi="Arial" w:cs="Arial"/>
          <w:b/>
          <w:sz w:val="22"/>
          <w:szCs w:val="22"/>
          <w:lang w:val="en-GB"/>
        </w:rPr>
        <w:t xml:space="preserve"> Agent Model</w:t>
      </w:r>
    </w:p>
    <w:p w14:paraId="1B047912"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 xml:space="preserve">I introduce the basic </w:t>
      </w:r>
      <w:proofErr w:type="gramStart"/>
      <w:r>
        <w:rPr>
          <w:rFonts w:ascii="Arial" w:hAnsi="Arial" w:cs="Arial"/>
          <w:sz w:val="22"/>
          <w:szCs w:val="22"/>
          <w:lang w:val="en-GB"/>
        </w:rPr>
        <w:t>Principal</w:t>
      </w:r>
      <w:proofErr w:type="gramEnd"/>
      <w:r>
        <w:rPr>
          <w:rFonts w:ascii="Arial" w:hAnsi="Arial" w:cs="Arial"/>
          <w:sz w:val="22"/>
          <w:szCs w:val="22"/>
          <w:lang w:val="en-GB"/>
        </w:rPr>
        <w:t>-Agent Model and analyse equilibrium outcomes in a monopoly and competitive markets when information is symmetric.</w:t>
      </w:r>
    </w:p>
    <w:p w14:paraId="15A572EB" w14:textId="77777777" w:rsidR="009541DC" w:rsidRDefault="00C82091">
      <w:pPr>
        <w:pStyle w:val="NormalWeb"/>
        <w:spacing w:line="360" w:lineRule="auto"/>
        <w:contextualSpacing/>
      </w:pPr>
      <w:r>
        <w:rPr>
          <w:rFonts w:ascii="Arial" w:hAnsi="Arial" w:cs="Arial"/>
          <w:b/>
          <w:sz w:val="22"/>
          <w:szCs w:val="22"/>
          <w:lang w:val="en-GB"/>
        </w:rPr>
        <w:t>Reading:</w:t>
      </w:r>
      <w:r>
        <w:rPr>
          <w:rFonts w:ascii="Arial" w:hAnsi="Arial" w:cs="Arial"/>
          <w:sz w:val="22"/>
          <w:szCs w:val="22"/>
          <w:lang w:val="en-GB"/>
        </w:rPr>
        <w:t xml:space="preserve"> MSPC, Chapter 2</w:t>
      </w:r>
    </w:p>
    <w:p w14:paraId="073670E0" w14:textId="77777777" w:rsidR="009541DC" w:rsidRDefault="009541DC">
      <w:pPr>
        <w:pStyle w:val="NormalWeb"/>
        <w:spacing w:line="360" w:lineRule="auto"/>
        <w:contextualSpacing/>
        <w:jc w:val="both"/>
        <w:rPr>
          <w:rFonts w:ascii="Arial" w:hAnsi="Arial" w:cs="Arial"/>
          <w:sz w:val="22"/>
          <w:szCs w:val="22"/>
          <w:lang w:val="en-GB"/>
        </w:rPr>
      </w:pPr>
    </w:p>
    <w:p w14:paraId="4E94EA23"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3: Moral Hazard I: Trade-off between Optimal Risk-Sharing and Incentives with an Application to Executive Compensation</w:t>
      </w:r>
    </w:p>
    <w:p w14:paraId="41E7135C"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 xml:space="preserve">I introduce asymmetric information in the basic </w:t>
      </w:r>
      <w:proofErr w:type="gramStart"/>
      <w:r>
        <w:rPr>
          <w:rFonts w:ascii="Arial" w:hAnsi="Arial" w:cs="Arial"/>
          <w:sz w:val="22"/>
          <w:szCs w:val="22"/>
          <w:lang w:val="en-GB"/>
        </w:rPr>
        <w:t>Principal</w:t>
      </w:r>
      <w:proofErr w:type="gramEnd"/>
      <w:r>
        <w:rPr>
          <w:rFonts w:ascii="Arial" w:hAnsi="Arial" w:cs="Arial"/>
          <w:sz w:val="22"/>
          <w:szCs w:val="22"/>
          <w:lang w:val="en-GB"/>
        </w:rPr>
        <w:t xml:space="preserve"> Agent Model and use this to derive properties of optimal incentive scheme when the actions of an employee are not verifiable. In an application I discuss features of executive compensation </w:t>
      </w:r>
      <w:proofErr w:type="gramStart"/>
      <w:r>
        <w:rPr>
          <w:rFonts w:ascii="Arial" w:hAnsi="Arial" w:cs="Arial"/>
          <w:sz w:val="22"/>
          <w:szCs w:val="22"/>
          <w:lang w:val="en-GB"/>
        </w:rPr>
        <w:t>in light of</w:t>
      </w:r>
      <w:proofErr w:type="gramEnd"/>
      <w:r>
        <w:rPr>
          <w:rFonts w:ascii="Arial" w:hAnsi="Arial" w:cs="Arial"/>
          <w:sz w:val="22"/>
          <w:szCs w:val="22"/>
          <w:lang w:val="en-GB"/>
        </w:rPr>
        <w:t xml:space="preserve"> the theoretical insights.</w:t>
      </w:r>
    </w:p>
    <w:p w14:paraId="58DE97AC" w14:textId="77777777" w:rsidR="009541DC" w:rsidRDefault="00C82091">
      <w:pPr>
        <w:pStyle w:val="NormalWeb"/>
        <w:spacing w:line="360" w:lineRule="auto"/>
        <w:contextualSpacing/>
        <w:jc w:val="both"/>
      </w:pPr>
      <w:r>
        <w:rPr>
          <w:rFonts w:ascii="Arial" w:hAnsi="Arial" w:cs="Arial"/>
          <w:b/>
          <w:sz w:val="22"/>
          <w:szCs w:val="22"/>
          <w:lang w:val="en-GB"/>
        </w:rPr>
        <w:t>Reading:</w:t>
      </w:r>
      <w:r>
        <w:rPr>
          <w:rFonts w:ascii="Arial" w:hAnsi="Arial" w:cs="Arial"/>
          <w:sz w:val="22"/>
          <w:szCs w:val="22"/>
          <w:lang w:val="en-GB"/>
        </w:rPr>
        <w:t xml:space="preserve"> MSPC Chapter 3</w:t>
      </w:r>
    </w:p>
    <w:p w14:paraId="6E6D86DC" w14:textId="77777777" w:rsidR="009541DC" w:rsidRDefault="00C82091">
      <w:pPr>
        <w:pStyle w:val="NormalWeb"/>
        <w:numPr>
          <w:ilvl w:val="0"/>
          <w:numId w:val="3"/>
        </w:numPr>
        <w:spacing w:after="0" w:line="360" w:lineRule="auto"/>
        <w:jc w:val="both"/>
      </w:pPr>
      <w:r>
        <w:rPr>
          <w:rFonts w:ascii="Arial" w:hAnsi="Arial" w:cs="Arial"/>
          <w:sz w:val="22"/>
          <w:szCs w:val="22"/>
          <w:lang w:val="en-GB"/>
        </w:rPr>
        <w:t xml:space="preserve">Background reading: Murphy, Kevin J., (1987), Executive Compensation: Where we are, and </w:t>
      </w:r>
      <w:proofErr w:type="gramStart"/>
      <w:r>
        <w:rPr>
          <w:rFonts w:ascii="Arial" w:hAnsi="Arial" w:cs="Arial"/>
          <w:sz w:val="22"/>
          <w:szCs w:val="22"/>
          <w:lang w:val="en-GB"/>
        </w:rPr>
        <w:t>How</w:t>
      </w:r>
      <w:proofErr w:type="gramEnd"/>
      <w:r>
        <w:rPr>
          <w:rFonts w:ascii="Arial" w:hAnsi="Arial" w:cs="Arial"/>
          <w:sz w:val="22"/>
          <w:szCs w:val="22"/>
          <w:lang w:val="en-GB"/>
        </w:rPr>
        <w:t xml:space="preserve"> we got there, Handbook of the Economics of Finance, Vol. 2, Chapter 4, pp. 221–356.</w:t>
      </w:r>
    </w:p>
    <w:p w14:paraId="7ADB9CE8" w14:textId="77777777" w:rsidR="009541DC" w:rsidRDefault="009541DC">
      <w:pPr>
        <w:pStyle w:val="NormalWeb"/>
        <w:spacing w:line="360" w:lineRule="auto"/>
        <w:contextualSpacing/>
        <w:jc w:val="both"/>
        <w:rPr>
          <w:rFonts w:ascii="Arial" w:hAnsi="Arial" w:cs="Arial"/>
          <w:sz w:val="22"/>
          <w:szCs w:val="22"/>
          <w:lang w:val="en-GB"/>
        </w:rPr>
      </w:pPr>
    </w:p>
    <w:p w14:paraId="561F5B34"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4: Moral Hazard II: The Value of Information with an Application to Relative Performance Evaluation</w:t>
      </w:r>
    </w:p>
    <w:p w14:paraId="0BFABB87"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I use the theoretical model to discuss the optimal use of information in employment contracts. The theoretical insights are then compared to empirical observations about executive compensation and retention decisions.</w:t>
      </w:r>
    </w:p>
    <w:p w14:paraId="2CF8D128" w14:textId="77777777" w:rsidR="009541DC" w:rsidRDefault="00C82091">
      <w:pPr>
        <w:pStyle w:val="NormalWeb"/>
        <w:spacing w:line="360" w:lineRule="auto"/>
        <w:contextualSpacing/>
        <w:jc w:val="both"/>
      </w:pPr>
      <w:r>
        <w:rPr>
          <w:rFonts w:ascii="Arial" w:hAnsi="Arial" w:cs="Arial"/>
          <w:b/>
          <w:sz w:val="22"/>
          <w:szCs w:val="22"/>
          <w:lang w:val="en-GB"/>
        </w:rPr>
        <w:t>Reading:</w:t>
      </w:r>
      <w:r>
        <w:rPr>
          <w:rFonts w:ascii="Arial" w:hAnsi="Arial" w:cs="Arial"/>
          <w:sz w:val="22"/>
          <w:szCs w:val="22"/>
          <w:lang w:val="en-GB"/>
        </w:rPr>
        <w:t xml:space="preserve"> MSPC Chapter 3</w:t>
      </w:r>
    </w:p>
    <w:p w14:paraId="607CBE53" w14:textId="77777777" w:rsidR="009541DC" w:rsidRDefault="00C82091">
      <w:pPr>
        <w:pStyle w:val="NormalWeb"/>
        <w:numPr>
          <w:ilvl w:val="0"/>
          <w:numId w:val="3"/>
        </w:numPr>
        <w:spacing w:after="0" w:line="360" w:lineRule="auto"/>
        <w:jc w:val="both"/>
      </w:pPr>
      <w:r>
        <w:rPr>
          <w:rFonts w:ascii="Arial" w:hAnsi="Arial" w:cs="Arial"/>
          <w:sz w:val="22"/>
          <w:szCs w:val="22"/>
          <w:lang w:val="en-GB"/>
        </w:rPr>
        <w:t>Bertrand, M. and Mullainathan, S., (2001), Are CEOs Rewarded for Luck? The Ones Without Principals Are, The Quarterly Journal of Economics, vol. 116(3), pp. 901–932.</w:t>
      </w:r>
    </w:p>
    <w:p w14:paraId="2C9E6B57"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5: Moral Hazard III: Providing Incentives for Agents with Limited Liability with an Application to Credit Rationing</w:t>
      </w:r>
    </w:p>
    <w:p w14:paraId="5488C5BE"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lastRenderedPageBreak/>
        <w:t xml:space="preserve">I develop a theoretical model that explains why the financing capacity of firms is limited when the actions of an entrepreneur are not fully observable to the investor. </w:t>
      </w:r>
    </w:p>
    <w:p w14:paraId="1E16DB66" w14:textId="77777777" w:rsidR="009541DC" w:rsidRDefault="00C82091">
      <w:pPr>
        <w:pStyle w:val="NormalWeb"/>
        <w:spacing w:line="360" w:lineRule="auto"/>
        <w:contextualSpacing/>
        <w:jc w:val="both"/>
      </w:pPr>
      <w:r>
        <w:rPr>
          <w:rFonts w:ascii="Arial" w:hAnsi="Arial" w:cs="Arial"/>
          <w:b/>
          <w:sz w:val="22"/>
          <w:szCs w:val="22"/>
          <w:lang w:val="en-GB"/>
        </w:rPr>
        <w:t>Reading:</w:t>
      </w:r>
      <w:r>
        <w:rPr>
          <w:rFonts w:ascii="Arial" w:hAnsi="Arial" w:cs="Arial"/>
          <w:sz w:val="22"/>
          <w:szCs w:val="22"/>
          <w:lang w:val="en-GB"/>
        </w:rPr>
        <w:t xml:space="preserve"> MSPC Chapter 3, </w:t>
      </w:r>
      <w:proofErr w:type="spellStart"/>
      <w:r>
        <w:rPr>
          <w:rFonts w:ascii="Arial" w:hAnsi="Arial" w:cs="Arial"/>
          <w:sz w:val="22"/>
          <w:szCs w:val="22"/>
          <w:lang w:val="en-GB"/>
        </w:rPr>
        <w:t>Tirole</w:t>
      </w:r>
      <w:proofErr w:type="spellEnd"/>
      <w:r>
        <w:rPr>
          <w:rFonts w:ascii="Arial" w:hAnsi="Arial" w:cs="Arial"/>
          <w:sz w:val="22"/>
          <w:szCs w:val="22"/>
          <w:lang w:val="en-GB"/>
        </w:rPr>
        <w:t>, Chapter 3.</w:t>
      </w:r>
    </w:p>
    <w:p w14:paraId="6DEB9591" w14:textId="77777777" w:rsidR="009541DC" w:rsidRDefault="009541DC">
      <w:pPr>
        <w:pStyle w:val="NormalWeb"/>
        <w:spacing w:line="360" w:lineRule="auto"/>
        <w:contextualSpacing/>
        <w:jc w:val="both"/>
        <w:rPr>
          <w:rFonts w:ascii="Arial" w:hAnsi="Arial" w:cs="Arial"/>
          <w:b/>
          <w:sz w:val="22"/>
          <w:szCs w:val="22"/>
          <w:lang w:val="en-GB"/>
        </w:rPr>
      </w:pPr>
    </w:p>
    <w:p w14:paraId="01D5E0C1"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6: Adverse Selection I: Monopolistic and Competitive Screening</w:t>
      </w:r>
    </w:p>
    <w:p w14:paraId="051BF002"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I analyse optimal contracts when there is asymmetric information about the preferences of customers or employees. The leading application is the design of differentiated product lines. We analyse both monopolistic firms and competitive markets.</w:t>
      </w:r>
    </w:p>
    <w:p w14:paraId="1BD3306F" w14:textId="77777777" w:rsidR="009541DC" w:rsidRDefault="00C82091">
      <w:pPr>
        <w:pStyle w:val="NormalWeb"/>
        <w:spacing w:line="360" w:lineRule="auto"/>
        <w:contextualSpacing/>
        <w:jc w:val="both"/>
      </w:pPr>
      <w:r>
        <w:rPr>
          <w:rFonts w:ascii="Arial" w:hAnsi="Arial" w:cs="Arial"/>
          <w:b/>
          <w:sz w:val="22"/>
          <w:szCs w:val="22"/>
          <w:lang w:val="en-GB"/>
        </w:rPr>
        <w:t>Reading:</w:t>
      </w:r>
      <w:r>
        <w:rPr>
          <w:rFonts w:ascii="Arial" w:hAnsi="Arial" w:cs="Arial"/>
          <w:sz w:val="22"/>
          <w:szCs w:val="22"/>
          <w:lang w:val="en-GB"/>
        </w:rPr>
        <w:t xml:space="preserve"> MPSC Chapter 4</w:t>
      </w:r>
    </w:p>
    <w:p w14:paraId="0FF5C32C" w14:textId="77777777" w:rsidR="009541DC" w:rsidRDefault="009541DC">
      <w:pPr>
        <w:pStyle w:val="NormalWeb"/>
        <w:spacing w:line="360" w:lineRule="auto"/>
        <w:contextualSpacing/>
        <w:jc w:val="both"/>
        <w:rPr>
          <w:rFonts w:ascii="Arial" w:hAnsi="Arial" w:cs="Arial"/>
          <w:b/>
          <w:sz w:val="22"/>
          <w:szCs w:val="22"/>
          <w:lang w:val="en-GB"/>
        </w:rPr>
      </w:pPr>
    </w:p>
    <w:p w14:paraId="624D23B2"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7: Adverse Selection II: Lemons Markets</w:t>
      </w:r>
    </w:p>
    <w:p w14:paraId="445F4868"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We study market outcomes in situations where one party has preferences over the characteristics of the counterparty in a transaction. Examples are, the quality of sold goods, the default probability of a financial assets, and the risk of a customer in insurance markets.</w:t>
      </w:r>
    </w:p>
    <w:p w14:paraId="16698CC2"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For such markets, we need a model of market equilibrium in which agents form rational expectations about the quality (or default probability, or risk of a customer) that they can expect in a transaction.</w:t>
      </w:r>
    </w:p>
    <w:p w14:paraId="6A49B32F"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We use this model to show market outcomes under Adverse Selection are generally inefficient and discuss the possible responses (by market participants and government) to this type of market failure.</w:t>
      </w:r>
    </w:p>
    <w:p w14:paraId="286C0192" w14:textId="77777777" w:rsidR="009541DC" w:rsidRDefault="00C82091">
      <w:pPr>
        <w:pStyle w:val="NormalWeb"/>
        <w:spacing w:line="360" w:lineRule="auto"/>
        <w:contextualSpacing/>
        <w:jc w:val="both"/>
      </w:pPr>
      <w:r>
        <w:rPr>
          <w:rFonts w:ascii="Arial" w:hAnsi="Arial" w:cs="Arial"/>
          <w:b/>
          <w:sz w:val="22"/>
          <w:szCs w:val="22"/>
          <w:lang w:val="en-GB"/>
        </w:rPr>
        <w:t>Reading:</w:t>
      </w:r>
      <w:r>
        <w:rPr>
          <w:rFonts w:ascii="Arial" w:hAnsi="Arial" w:cs="Arial"/>
          <w:sz w:val="22"/>
          <w:szCs w:val="22"/>
          <w:lang w:val="en-GB"/>
        </w:rPr>
        <w:t xml:space="preserve"> MPSC Chapter 4</w:t>
      </w:r>
    </w:p>
    <w:p w14:paraId="5284FC4E" w14:textId="77777777" w:rsidR="009541DC" w:rsidRDefault="009541DC">
      <w:pPr>
        <w:pStyle w:val="NormalWeb"/>
        <w:spacing w:line="360" w:lineRule="auto"/>
        <w:contextualSpacing/>
        <w:jc w:val="both"/>
        <w:rPr>
          <w:rFonts w:ascii="Arial" w:hAnsi="Arial" w:cs="Arial"/>
          <w:sz w:val="22"/>
          <w:szCs w:val="22"/>
          <w:lang w:val="en-GB"/>
        </w:rPr>
      </w:pPr>
    </w:p>
    <w:p w14:paraId="52D01400"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8 (time permitting): Signalling</w:t>
      </w:r>
    </w:p>
    <w:p w14:paraId="139C31C6"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In some contractual relationships it can be beneficial for one party to signal hidden characteristics to her counterparty. We study situations where one party can credibly signal their characteristic via certain actions before the contractual relationship begins.</w:t>
      </w:r>
    </w:p>
    <w:p w14:paraId="6A2E3060"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 xml:space="preserve">Reading: </w:t>
      </w:r>
      <w:r>
        <w:rPr>
          <w:rFonts w:ascii="Arial" w:hAnsi="Arial" w:cs="Arial"/>
          <w:sz w:val="22"/>
          <w:szCs w:val="22"/>
          <w:lang w:val="en-GB"/>
        </w:rPr>
        <w:t>MPSC Chapter 5</w:t>
      </w:r>
    </w:p>
    <w:p w14:paraId="0902BC9A" w14:textId="77777777" w:rsidR="009541DC" w:rsidRDefault="009541DC">
      <w:pPr>
        <w:pStyle w:val="NormalWeb"/>
        <w:spacing w:line="360" w:lineRule="auto"/>
        <w:contextualSpacing/>
        <w:jc w:val="both"/>
        <w:rPr>
          <w:rFonts w:ascii="Arial" w:hAnsi="Arial" w:cs="Arial"/>
          <w:b/>
          <w:sz w:val="22"/>
          <w:szCs w:val="22"/>
          <w:lang w:val="en-GB"/>
        </w:rPr>
      </w:pPr>
    </w:p>
    <w:p w14:paraId="490A1EBC"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Topic 9 (time permitting): Empirical Analysis of Insurance Markets, Distinguishing Moral Hazard and Adverse Selection</w:t>
      </w:r>
    </w:p>
    <w:p w14:paraId="2449F461" w14:textId="77777777" w:rsidR="009541DC" w:rsidRDefault="00C82091">
      <w:pPr>
        <w:pStyle w:val="NormalWeb"/>
        <w:spacing w:line="360" w:lineRule="auto"/>
        <w:contextualSpacing/>
        <w:jc w:val="both"/>
        <w:rPr>
          <w:rFonts w:ascii="Arial" w:hAnsi="Arial" w:cs="Arial"/>
          <w:sz w:val="22"/>
          <w:szCs w:val="22"/>
          <w:lang w:val="en-GB"/>
        </w:rPr>
      </w:pPr>
      <w:r>
        <w:rPr>
          <w:rFonts w:ascii="Arial" w:hAnsi="Arial" w:cs="Arial"/>
          <w:sz w:val="22"/>
          <w:szCs w:val="22"/>
          <w:lang w:val="en-GB"/>
        </w:rPr>
        <w:t>We review the implications of Adverse Selection and Moral Hazard for insurance markets and discuss empirical tests that can be used to identify these forms of asymmetric information in the data.</w:t>
      </w:r>
    </w:p>
    <w:p w14:paraId="4430FE29" w14:textId="77777777" w:rsidR="009541DC" w:rsidRDefault="00C82091">
      <w:pPr>
        <w:pStyle w:val="NormalWeb"/>
        <w:spacing w:line="360" w:lineRule="auto"/>
        <w:contextualSpacing/>
        <w:jc w:val="both"/>
        <w:rPr>
          <w:rFonts w:ascii="Arial" w:hAnsi="Arial" w:cs="Arial"/>
          <w:b/>
          <w:sz w:val="22"/>
          <w:szCs w:val="22"/>
          <w:lang w:val="en-GB"/>
        </w:rPr>
      </w:pPr>
      <w:r>
        <w:rPr>
          <w:rFonts w:ascii="Arial" w:hAnsi="Arial" w:cs="Arial"/>
          <w:b/>
          <w:sz w:val="22"/>
          <w:szCs w:val="22"/>
          <w:lang w:val="en-GB"/>
        </w:rPr>
        <w:t>Reading:</w:t>
      </w:r>
    </w:p>
    <w:p w14:paraId="26934B54" w14:textId="77777777" w:rsidR="009541DC" w:rsidRDefault="00C82091">
      <w:pPr>
        <w:pStyle w:val="NormalWeb"/>
        <w:numPr>
          <w:ilvl w:val="0"/>
          <w:numId w:val="3"/>
        </w:numPr>
        <w:spacing w:after="0" w:line="360" w:lineRule="auto"/>
        <w:rPr>
          <w:rFonts w:ascii="Arial" w:hAnsi="Arial" w:cs="Arial"/>
        </w:rPr>
      </w:pPr>
      <w:proofErr w:type="spellStart"/>
      <w:r>
        <w:rPr>
          <w:rFonts w:ascii="Arial" w:hAnsi="Arial" w:cs="Arial"/>
        </w:rPr>
        <w:lastRenderedPageBreak/>
        <w:t>Gardiol</w:t>
      </w:r>
      <w:proofErr w:type="spellEnd"/>
      <w:r>
        <w:rPr>
          <w:rFonts w:ascii="Arial" w:hAnsi="Arial" w:cs="Arial"/>
        </w:rPr>
        <w:t xml:space="preserve">, L., </w:t>
      </w:r>
      <w:proofErr w:type="spellStart"/>
      <w:r>
        <w:rPr>
          <w:rFonts w:ascii="Arial" w:hAnsi="Arial" w:cs="Arial"/>
        </w:rPr>
        <w:t>Geoffard</w:t>
      </w:r>
      <w:proofErr w:type="spellEnd"/>
      <w:r>
        <w:rPr>
          <w:rFonts w:ascii="Arial" w:hAnsi="Arial" w:cs="Arial"/>
        </w:rPr>
        <w:t xml:space="preserve">, P-Y, and </w:t>
      </w:r>
      <w:proofErr w:type="spellStart"/>
      <w:r>
        <w:rPr>
          <w:rFonts w:ascii="Arial" w:hAnsi="Arial" w:cs="Arial"/>
        </w:rPr>
        <w:t>Grandchamp</w:t>
      </w:r>
      <w:proofErr w:type="spellEnd"/>
      <w:r>
        <w:rPr>
          <w:rFonts w:ascii="Arial" w:hAnsi="Arial" w:cs="Arial"/>
        </w:rPr>
        <w:t xml:space="preserve"> </w:t>
      </w:r>
      <w:proofErr w:type="gramStart"/>
      <w:r>
        <w:rPr>
          <w:rFonts w:ascii="Arial" w:hAnsi="Arial" w:cs="Arial"/>
        </w:rPr>
        <w:t>C..</w:t>
      </w:r>
      <w:proofErr w:type="gramEnd"/>
      <w:r>
        <w:rPr>
          <w:rFonts w:ascii="Arial" w:hAnsi="Arial" w:cs="Arial"/>
        </w:rPr>
        <w:t xml:space="preserve"> </w:t>
      </w:r>
      <w:proofErr w:type="spellStart"/>
      <w:r>
        <w:rPr>
          <w:rFonts w:ascii="Arial" w:hAnsi="Arial" w:cs="Arial"/>
        </w:rPr>
        <w:t>Separating</w:t>
      </w:r>
      <w:proofErr w:type="spellEnd"/>
      <w:r>
        <w:rPr>
          <w:rFonts w:ascii="Arial" w:hAnsi="Arial" w:cs="Arial"/>
        </w:rPr>
        <w:t xml:space="preserve"> </w:t>
      </w:r>
      <w:proofErr w:type="spellStart"/>
      <w:r>
        <w:rPr>
          <w:rFonts w:ascii="Arial" w:hAnsi="Arial" w:cs="Arial"/>
        </w:rPr>
        <w:t>selection</w:t>
      </w:r>
      <w:proofErr w:type="spellEnd"/>
      <w:r>
        <w:rPr>
          <w:rFonts w:ascii="Arial" w:hAnsi="Arial" w:cs="Arial"/>
        </w:rPr>
        <w:t xml:space="preserve"> and incentive </w:t>
      </w:r>
      <w:proofErr w:type="spellStart"/>
      <w:r>
        <w:rPr>
          <w:rFonts w:ascii="Arial" w:hAnsi="Arial" w:cs="Arial"/>
        </w:rPr>
        <w:t>effects</w:t>
      </w:r>
      <w:proofErr w:type="spellEnd"/>
      <w:r>
        <w:rPr>
          <w:rFonts w:ascii="Arial" w:hAnsi="Arial" w:cs="Arial"/>
        </w:rPr>
        <w:t xml:space="preserve"> in </w:t>
      </w:r>
      <w:proofErr w:type="spellStart"/>
      <w:r>
        <w:rPr>
          <w:rFonts w:ascii="Arial" w:hAnsi="Arial" w:cs="Arial"/>
        </w:rPr>
        <w:t>health</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 xml:space="preserve">. PSE </w:t>
      </w:r>
      <w:proofErr w:type="spellStart"/>
      <w:r>
        <w:rPr>
          <w:rFonts w:ascii="Arial" w:hAnsi="Arial" w:cs="Arial"/>
        </w:rPr>
        <w:t>Working</w:t>
      </w:r>
      <w:proofErr w:type="spellEnd"/>
      <w:r>
        <w:rPr>
          <w:rFonts w:ascii="Arial" w:hAnsi="Arial" w:cs="Arial"/>
        </w:rPr>
        <w:t xml:space="preserve"> </w:t>
      </w:r>
      <w:proofErr w:type="spellStart"/>
      <w:r>
        <w:rPr>
          <w:rFonts w:ascii="Arial" w:hAnsi="Arial" w:cs="Arial"/>
        </w:rPr>
        <w:t>Papers</w:t>
      </w:r>
      <w:proofErr w:type="spellEnd"/>
      <w:r>
        <w:rPr>
          <w:rFonts w:ascii="Arial" w:hAnsi="Arial" w:cs="Arial"/>
        </w:rPr>
        <w:t xml:space="preserve"> n2005-38. 2005</w:t>
      </w:r>
    </w:p>
    <w:p w14:paraId="7BBDA696" w14:textId="77777777" w:rsidR="009541DC" w:rsidRDefault="00C82091">
      <w:pPr>
        <w:pStyle w:val="NormalWeb"/>
        <w:numPr>
          <w:ilvl w:val="0"/>
          <w:numId w:val="3"/>
        </w:numPr>
        <w:spacing w:after="0" w:line="360" w:lineRule="auto"/>
        <w:rPr>
          <w:rFonts w:ascii="Arial" w:hAnsi="Arial" w:cs="Arial"/>
        </w:rPr>
      </w:pPr>
      <w:r>
        <w:rPr>
          <w:rFonts w:ascii="Arial" w:hAnsi="Arial" w:cs="Arial"/>
        </w:rPr>
        <w:t xml:space="preserve">Manning, W.G., </w:t>
      </w:r>
      <w:proofErr w:type="spellStart"/>
      <w:r>
        <w:rPr>
          <w:rFonts w:ascii="Arial" w:hAnsi="Arial" w:cs="Arial"/>
        </w:rPr>
        <w:t>Newhouse</w:t>
      </w:r>
      <w:proofErr w:type="spellEnd"/>
      <w:r>
        <w:rPr>
          <w:rFonts w:ascii="Arial" w:hAnsi="Arial" w:cs="Arial"/>
        </w:rPr>
        <w:t xml:space="preserve">, J. P., </w:t>
      </w:r>
      <w:proofErr w:type="spellStart"/>
      <w:r>
        <w:rPr>
          <w:rFonts w:ascii="Arial" w:hAnsi="Arial" w:cs="Arial"/>
        </w:rPr>
        <w:t>Duan</w:t>
      </w:r>
      <w:proofErr w:type="spellEnd"/>
      <w:r>
        <w:rPr>
          <w:rFonts w:ascii="Arial" w:hAnsi="Arial" w:cs="Arial"/>
        </w:rPr>
        <w:t xml:space="preserve">, N., </w:t>
      </w:r>
      <w:proofErr w:type="spellStart"/>
      <w:r>
        <w:rPr>
          <w:rFonts w:ascii="Arial" w:hAnsi="Arial" w:cs="Arial"/>
        </w:rPr>
        <w:t>Keeler</w:t>
      </w:r>
      <w:proofErr w:type="spellEnd"/>
      <w:r>
        <w:rPr>
          <w:rFonts w:ascii="Arial" w:hAnsi="Arial" w:cs="Arial"/>
        </w:rPr>
        <w:t xml:space="preserve">, E.B. and </w:t>
      </w:r>
      <w:proofErr w:type="spellStart"/>
      <w:r>
        <w:rPr>
          <w:rFonts w:ascii="Arial" w:hAnsi="Arial" w:cs="Arial"/>
        </w:rPr>
        <w:t>Leibowitz</w:t>
      </w:r>
      <w:proofErr w:type="spellEnd"/>
      <w:r>
        <w:rPr>
          <w:rFonts w:ascii="Arial" w:hAnsi="Arial" w:cs="Arial"/>
        </w:rPr>
        <w:t xml:space="preserve">, A. (1987). </w:t>
      </w:r>
      <w:proofErr w:type="spellStart"/>
      <w:r>
        <w:rPr>
          <w:rFonts w:ascii="Arial" w:hAnsi="Arial" w:cs="Arial"/>
        </w:rPr>
        <w:t>Health</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 xml:space="preserve"> and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demand</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medical care: </w:t>
      </w:r>
      <w:proofErr w:type="spellStart"/>
      <w:r>
        <w:rPr>
          <w:rFonts w:ascii="Arial" w:hAnsi="Arial" w:cs="Arial"/>
        </w:rPr>
        <w:t>evidence</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a </w:t>
      </w:r>
      <w:proofErr w:type="spellStart"/>
      <w:r>
        <w:rPr>
          <w:rFonts w:ascii="Arial" w:hAnsi="Arial" w:cs="Arial"/>
        </w:rPr>
        <w:t>randomized</w:t>
      </w:r>
      <w:proofErr w:type="spellEnd"/>
      <w:r>
        <w:rPr>
          <w:rFonts w:ascii="Arial" w:hAnsi="Arial" w:cs="Arial"/>
        </w:rPr>
        <w:t xml:space="preserve"> </w:t>
      </w:r>
      <w:proofErr w:type="spellStart"/>
      <w:r>
        <w:rPr>
          <w:rFonts w:ascii="Arial" w:hAnsi="Arial" w:cs="Arial"/>
        </w:rPr>
        <w:t>experiment</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American </w:t>
      </w:r>
      <w:proofErr w:type="spellStart"/>
      <w:r>
        <w:rPr>
          <w:rFonts w:ascii="Arial" w:hAnsi="Arial" w:cs="Arial"/>
        </w:rPr>
        <w:t>Economic</w:t>
      </w:r>
      <w:proofErr w:type="spellEnd"/>
      <w:r>
        <w:rPr>
          <w:rFonts w:ascii="Arial" w:hAnsi="Arial" w:cs="Arial"/>
        </w:rPr>
        <w:t xml:space="preserve"> </w:t>
      </w:r>
      <w:proofErr w:type="spellStart"/>
      <w:r>
        <w:rPr>
          <w:rFonts w:ascii="Arial" w:hAnsi="Arial" w:cs="Arial"/>
        </w:rPr>
        <w:t>Review</w:t>
      </w:r>
      <w:proofErr w:type="spellEnd"/>
      <w:r>
        <w:rPr>
          <w:rFonts w:ascii="Arial" w:hAnsi="Arial" w:cs="Arial"/>
        </w:rPr>
        <w:t>, vol.77, pp. 251–77.</w:t>
      </w:r>
    </w:p>
    <w:p w14:paraId="35ACB6DD" w14:textId="77777777" w:rsidR="009541DC" w:rsidRDefault="00C82091">
      <w:pPr>
        <w:pStyle w:val="NormalWeb"/>
        <w:numPr>
          <w:ilvl w:val="0"/>
          <w:numId w:val="3"/>
        </w:numPr>
        <w:spacing w:before="0" w:line="360" w:lineRule="auto"/>
        <w:rPr>
          <w:rFonts w:ascii="Arial" w:hAnsi="Arial" w:cs="Arial"/>
        </w:rPr>
      </w:pPr>
      <w:r>
        <w:rPr>
          <w:rFonts w:ascii="Arial" w:hAnsi="Arial" w:cs="Arial"/>
        </w:rPr>
        <w:t>Olivella, Pau, and Marcos Vera-Hernández. 2013. “</w:t>
      </w:r>
      <w:proofErr w:type="spellStart"/>
      <w:r>
        <w:rPr>
          <w:rFonts w:ascii="Arial" w:hAnsi="Arial" w:cs="Arial"/>
        </w:rPr>
        <w:t>Testing</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Asymmetric</w:t>
      </w:r>
      <w:proofErr w:type="spellEnd"/>
      <w:r>
        <w:rPr>
          <w:rFonts w:ascii="Arial" w:hAnsi="Arial" w:cs="Arial"/>
        </w:rPr>
        <w:t xml:space="preserve"> </w:t>
      </w:r>
      <w:proofErr w:type="spellStart"/>
      <w:r>
        <w:rPr>
          <w:rFonts w:ascii="Arial" w:hAnsi="Arial" w:cs="Arial"/>
        </w:rPr>
        <w:t>Information</w:t>
      </w:r>
      <w:proofErr w:type="spellEnd"/>
      <w:r>
        <w:rPr>
          <w:rFonts w:ascii="Arial" w:hAnsi="Arial" w:cs="Arial"/>
        </w:rPr>
        <w:t xml:space="preserve"> in </w:t>
      </w:r>
      <w:proofErr w:type="spellStart"/>
      <w:r>
        <w:rPr>
          <w:rFonts w:ascii="Arial" w:hAnsi="Arial" w:cs="Arial"/>
        </w:rPr>
        <w:t>Private</w:t>
      </w:r>
      <w:proofErr w:type="spellEnd"/>
      <w:r>
        <w:rPr>
          <w:rFonts w:ascii="Arial" w:hAnsi="Arial" w:cs="Arial"/>
        </w:rPr>
        <w:t xml:space="preserve"> </w:t>
      </w:r>
      <w:proofErr w:type="spellStart"/>
      <w:r>
        <w:rPr>
          <w:rFonts w:ascii="Arial" w:hAnsi="Arial" w:cs="Arial"/>
        </w:rPr>
        <w:t>Health</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Economic</w:t>
      </w:r>
      <w:proofErr w:type="spellEnd"/>
      <w:r>
        <w:rPr>
          <w:rFonts w:ascii="Arial" w:hAnsi="Arial" w:cs="Arial"/>
        </w:rPr>
        <w:t xml:space="preserve"> </w:t>
      </w:r>
      <w:proofErr w:type="spellStart"/>
      <w:r>
        <w:rPr>
          <w:rFonts w:ascii="Arial" w:hAnsi="Arial" w:cs="Arial"/>
        </w:rPr>
        <w:t>Journal</w:t>
      </w:r>
      <w:proofErr w:type="spellEnd"/>
      <w:r>
        <w:rPr>
          <w:rFonts w:ascii="Arial" w:hAnsi="Arial" w:cs="Arial"/>
        </w:rPr>
        <w:t xml:space="preserve"> 123 (567).</w:t>
      </w:r>
    </w:p>
    <w:sectPr w:rsidR="009541DC">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166"/>
    <w:multiLevelType w:val="multilevel"/>
    <w:tmpl w:val="593CAED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45634"/>
    <w:multiLevelType w:val="multilevel"/>
    <w:tmpl w:val="B0F670F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6DA60D5"/>
    <w:multiLevelType w:val="multilevel"/>
    <w:tmpl w:val="0F5C8050"/>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6656139">
    <w:abstractNumId w:val="1"/>
  </w:num>
  <w:num w:numId="2" w16cid:durableId="1686902320">
    <w:abstractNumId w:val="2"/>
  </w:num>
  <w:num w:numId="3" w16cid:durableId="55620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DC"/>
    <w:rsid w:val="003A4E87"/>
    <w:rsid w:val="005D7D1B"/>
    <w:rsid w:val="007002F1"/>
    <w:rsid w:val="007779BC"/>
    <w:rsid w:val="0081799C"/>
    <w:rsid w:val="009541DC"/>
    <w:rsid w:val="00B771A9"/>
    <w:rsid w:val="00C82091"/>
    <w:rsid w:val="00E2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F886"/>
  <w15:docId w15:val="{D168688B-41AE-4F47-AD29-8AB39F1E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val="es-ES_tradnl" w:bidi="ar-SA"/>
    </w:rPr>
  </w:style>
  <w:style w:type="paragraph" w:styleId="Heading1">
    <w:name w:val="heading 1"/>
    <w:basedOn w:val="Normal"/>
    <w:next w:val="Normal"/>
    <w:uiPriority w:val="9"/>
    <w:qFormat/>
    <w:pPr>
      <w:keepNext/>
      <w:numPr>
        <w:numId w:val="1"/>
      </w:numPr>
      <w:spacing w:before="240" w:after="60"/>
      <w:outlineLvl w:val="0"/>
    </w:pPr>
    <w:rPr>
      <w:rFonts w:ascii="Calibri Light" w:hAnsi="Calibri Light"/>
      <w:b/>
      <w:bCs/>
      <w:kern w:val="2"/>
      <w:sz w:val="32"/>
      <w:szCs w:val="32"/>
    </w:rPr>
  </w:style>
  <w:style w:type="paragraph" w:styleId="Heading5">
    <w:name w:val="heading 5"/>
    <w:basedOn w:val="Normal"/>
    <w:next w:val="Normal"/>
    <w:link w:val="Heading5Char"/>
    <w:uiPriority w:val="9"/>
    <w:semiHidden/>
    <w:unhideWhenUsed/>
    <w:qFormat/>
    <w:rsid w:val="00B771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szCs w:val="22"/>
      <w:lang w:val="en-GB"/>
    </w:rPr>
  </w:style>
  <w:style w:type="character" w:customStyle="1" w:styleId="WW8Num3z0">
    <w:name w:val="WW8Num3z0"/>
    <w:qFormat/>
    <w:rPr>
      <w:rFonts w:ascii="Symbol" w:hAnsi="Symbol" w:cs="Symbol"/>
      <w:sz w:val="22"/>
      <w:szCs w:val="22"/>
      <w:lang w:val="en-G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7z0">
    <w:name w:val="WW8Num7z0"/>
    <w:qFormat/>
    <w:rPr>
      <w:rFonts w:ascii="Symbol" w:hAnsi="Symbol" w:cs="Symbol"/>
      <w:sz w:val="22"/>
      <w:szCs w:val="22"/>
      <w:lang w:val="en-G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1z0">
    <w:name w:val="WW8Num11z0"/>
    <w:qFormat/>
    <w:rPr>
      <w:rFonts w:ascii="Arial" w:eastAsia="Times New Roman" w:hAnsi="Arial" w:cs="Aria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styleId="Hyperlink">
    <w:name w:val="Hyperlink"/>
    <w:rPr>
      <w:color w:val="0000FF"/>
      <w:u w:val="single"/>
    </w:rPr>
  </w:style>
  <w:style w:type="character" w:customStyle="1" w:styleId="arialsmall1">
    <w:name w:val="arialsmall1"/>
    <w:qFormat/>
    <w:rPr>
      <w:rFonts w:ascii="Arial" w:hAnsi="Arial" w:cs="Arial"/>
      <w:b w:val="0"/>
      <w:bCs w:val="0"/>
      <w:i w:val="0"/>
      <w:iCs w:val="0"/>
      <w:caps w:val="0"/>
      <w:smallCaps w:val="0"/>
      <w:strike w:val="0"/>
      <w:dstrike w:val="0"/>
      <w:color w:val="173958"/>
      <w:sz w:val="18"/>
      <w:szCs w:val="18"/>
      <w:u w:val="none"/>
    </w:rPr>
  </w:style>
  <w:style w:type="character" w:customStyle="1" w:styleId="TitleChar">
    <w:name w:val="Title Char"/>
    <w:qFormat/>
    <w:rPr>
      <w:rFonts w:ascii="Calibri Light" w:eastAsia="Times New Roman" w:hAnsi="Calibri Light" w:cs="Times New Roman"/>
      <w:b/>
      <w:bCs/>
      <w:kern w:val="2"/>
      <w:sz w:val="32"/>
      <w:szCs w:val="32"/>
      <w:lang w:val="es-ES_tradnl"/>
    </w:rPr>
  </w:style>
  <w:style w:type="character" w:styleId="SubtleEmphasis">
    <w:name w:val="Subtle Emphasis"/>
    <w:qFormat/>
    <w:rPr>
      <w:i/>
      <w:iCs/>
      <w:color w:val="404040"/>
    </w:rPr>
  </w:style>
  <w:style w:type="character" w:customStyle="1" w:styleId="Heading1Char">
    <w:name w:val="Heading 1 Char"/>
    <w:qFormat/>
    <w:rPr>
      <w:rFonts w:ascii="Calibri Light" w:eastAsia="Times New Roman" w:hAnsi="Calibri Light" w:cs="Times New Roman"/>
      <w:b/>
      <w:bCs/>
      <w:kern w:val="2"/>
      <w:sz w:val="32"/>
      <w:szCs w:val="32"/>
      <w:lang w:val="es-ES_tradnl"/>
    </w:rPr>
  </w:style>
  <w:style w:type="character" w:customStyle="1" w:styleId="StrongEmphasis">
    <w:name w:val="Strong Emphasis"/>
    <w:qFormat/>
    <w:rPr>
      <w:b/>
      <w:bCs/>
    </w:rPr>
  </w:style>
  <w:style w:type="character" w:styleId="Emphasis">
    <w:name w:val="Emphasis"/>
    <w:qFormat/>
    <w:rPr>
      <w:i/>
      <w:iCs/>
    </w:rPr>
  </w:style>
  <w:style w:type="character" w:customStyle="1" w:styleId="BalloonTextChar">
    <w:name w:val="Balloon Text Char"/>
    <w:qFormat/>
    <w:rPr>
      <w:rFonts w:ascii="Segoe UI" w:hAnsi="Segoe UI" w:cs="Segoe UI"/>
      <w:sz w:val="18"/>
      <w:szCs w:val="18"/>
      <w:lang w:val="es-ES_tradnl"/>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Normal"/>
    <w:qFormat/>
    <w:pPr>
      <w:spacing w:before="240" w:after="60"/>
      <w:jc w:val="center"/>
    </w:pPr>
    <w:rPr>
      <w:rFonts w:ascii="Calibri Light" w:hAnsi="Calibri Light"/>
      <w:b/>
      <w:bCs/>
      <w:kern w:val="2"/>
      <w:sz w:val="32"/>
      <w:szCs w:val="32"/>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pPr>
      <w:spacing w:before="280" w:after="280"/>
    </w:pPr>
  </w:style>
  <w:style w:type="paragraph" w:styleId="BalloonText">
    <w:name w:val="Balloon Text"/>
    <w:basedOn w:val="Normal"/>
    <w:qFormat/>
    <w:rPr>
      <w:rFonts w:ascii="Segoe UI" w:hAnsi="Segoe UI" w:cs="Segoe UI"/>
      <w:sz w:val="18"/>
      <w:szCs w:val="18"/>
    </w:rPr>
  </w:style>
  <w:style w:type="paragraph" w:customStyle="1" w:styleId="ListContents">
    <w:name w:val="List Contents"/>
    <w:basedOn w:val="Normal"/>
    <w:qFormat/>
    <w:pPr>
      <w:ind w:left="567"/>
    </w:pPr>
  </w:style>
  <w:style w:type="paragraph" w:customStyle="1" w:styleId="ListHeading">
    <w:name w:val="List Heading"/>
    <w:basedOn w:val="Normal"/>
    <w:next w:val="ListContents"/>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Heading5Char">
    <w:name w:val="Heading 5 Char"/>
    <w:basedOn w:val="DefaultParagraphFont"/>
    <w:link w:val="Heading5"/>
    <w:uiPriority w:val="9"/>
    <w:semiHidden/>
    <w:rsid w:val="00B771A9"/>
    <w:rPr>
      <w:rFonts w:asciiTheme="majorHAnsi" w:eastAsiaTheme="majorEastAsia" w:hAnsiTheme="majorHAnsi" w:cstheme="majorBidi"/>
      <w:color w:val="2F5496" w:themeColor="accent1" w:themeShade="BF"/>
      <w:sz w:val="24"/>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C33: Economics of Information</dc:title>
  <dc:subject/>
  <dc:creator>avera</dc:creator>
  <dc:description/>
  <cp:lastModifiedBy>Omelianenko, Karina</cp:lastModifiedBy>
  <cp:revision>6</cp:revision>
  <cp:lastPrinted>1995-11-21T17:41:00Z</cp:lastPrinted>
  <dcterms:created xsi:type="dcterms:W3CDTF">2022-07-21T11:46:00Z</dcterms:created>
  <dcterms:modified xsi:type="dcterms:W3CDTF">2022-07-21T11:53:00Z</dcterms:modified>
  <dc:language>en-US</dc:language>
</cp:coreProperties>
</file>