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2822" w:right="2674" w:firstLine="0"/>
        <w:jc w:val="center"/>
      </w:pPr>
      <w:bookmarkStart w:name="UNIVERSITY COLLEGE LONDON" w:id="1"/>
      <w:bookmarkEnd w:id="1"/>
      <w:r>
        <w:rPr>
          <w:b w:val="0"/>
        </w:rPr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COLLEGE</w:t>
      </w:r>
      <w:r>
        <w:rPr>
          <w:spacing w:val="-14"/>
        </w:rPr>
        <w:t> </w:t>
      </w:r>
      <w:r>
        <w:rPr/>
        <w:t>LONDON</w:t>
      </w:r>
    </w:p>
    <w:p>
      <w:pPr>
        <w:pStyle w:val="Title"/>
      </w:pPr>
      <w:r>
        <w:rPr/>
        <w:t>ECON0011:</w:t>
      </w:r>
      <w:r>
        <w:rPr>
          <w:spacing w:val="-8"/>
        </w:rPr>
        <w:t> </w:t>
      </w:r>
      <w:r>
        <w:rPr/>
        <w:t>Basic</w:t>
      </w:r>
      <w:r>
        <w:rPr>
          <w:spacing w:val="-10"/>
        </w:rPr>
        <w:t> </w:t>
      </w:r>
      <w:r>
        <w:rPr/>
        <w:t>Microeconomic</w:t>
      </w:r>
      <w:r>
        <w:rPr>
          <w:spacing w:val="-9"/>
        </w:rPr>
        <w:t> </w:t>
      </w:r>
      <w:r>
        <w:rPr/>
        <w:t>Concepts</w:t>
      </w:r>
    </w:p>
    <w:p>
      <w:pPr>
        <w:pStyle w:val="BodyText"/>
        <w:spacing w:before="8"/>
        <w:rPr>
          <w:b/>
          <w:sz w:val="55"/>
        </w:rPr>
      </w:pPr>
    </w:p>
    <w:p>
      <w:pPr>
        <w:pStyle w:val="Heading1"/>
        <w:spacing w:line="327" w:lineRule="exact"/>
        <w:ind w:left="2830" w:right="2673" w:firstLine="0"/>
        <w:jc w:val="center"/>
      </w:pPr>
      <w:r>
        <w:rPr/>
        <w:t>Instructor</w:t>
      </w:r>
    </w:p>
    <w:p>
      <w:pPr>
        <w:spacing w:line="327" w:lineRule="exact" w:before="0"/>
        <w:ind w:left="4887" w:right="0" w:firstLine="0"/>
        <w:jc w:val="left"/>
        <w:rPr>
          <w:sz w:val="28"/>
        </w:rPr>
      </w:pPr>
      <w:r>
        <w:rPr>
          <w:sz w:val="28"/>
        </w:rPr>
        <w:t>Beatriz</w:t>
      </w:r>
      <w:r>
        <w:rPr>
          <w:spacing w:val="-13"/>
          <w:sz w:val="28"/>
        </w:rPr>
        <w:t> </w:t>
      </w:r>
      <w:r>
        <w:rPr>
          <w:sz w:val="28"/>
        </w:rPr>
        <w:t>Armendáriz</w:t>
      </w:r>
    </w:p>
    <w:p>
      <w:pPr>
        <w:pStyle w:val="BodyText"/>
        <w:rPr>
          <w:sz w:val="33"/>
        </w:rPr>
      </w:pPr>
    </w:p>
    <w:p>
      <w:pPr>
        <w:pStyle w:val="Heading1"/>
        <w:spacing w:line="327" w:lineRule="exact"/>
        <w:ind w:left="4757" w:firstLine="0"/>
      </w:pPr>
      <w:bookmarkStart w:name="Teaching Assistant" w:id="2"/>
      <w:bookmarkEnd w:id="2"/>
      <w:r>
        <w:rPr>
          <w:b w:val="0"/>
        </w:rPr>
      </w:r>
      <w:r>
        <w:rPr/>
        <w:t>Teaching</w:t>
      </w:r>
      <w:r>
        <w:rPr>
          <w:spacing w:val="-12"/>
        </w:rPr>
        <w:t> </w:t>
      </w:r>
      <w:r>
        <w:rPr/>
        <w:t>Assistant</w:t>
      </w:r>
    </w:p>
    <w:p>
      <w:pPr>
        <w:spacing w:line="327" w:lineRule="exact" w:before="0"/>
        <w:ind w:left="2830" w:right="2667" w:firstLine="0"/>
        <w:jc w:val="center"/>
        <w:rPr>
          <w:sz w:val="28"/>
        </w:rPr>
      </w:pPr>
      <w:r>
        <w:rPr>
          <w:sz w:val="28"/>
        </w:rPr>
        <w:t>TBA</w:t>
      </w:r>
    </w:p>
    <w:p>
      <w:pPr>
        <w:pStyle w:val="BodyText"/>
        <w:spacing w:before="10"/>
      </w:pPr>
    </w:p>
    <w:p>
      <w:pPr>
        <w:pStyle w:val="Heading1"/>
        <w:spacing w:before="1"/>
        <w:ind w:left="2830" w:right="2668" w:firstLine="0"/>
        <w:jc w:val="center"/>
      </w:pPr>
      <w:bookmarkStart w:name="Tutorials" w:id="3"/>
      <w:bookmarkEnd w:id="3"/>
      <w:r>
        <w:rPr>
          <w:b w:val="0"/>
        </w:rPr>
      </w:r>
      <w:r>
        <w:rPr/>
        <w:t>Tutorials</w:t>
      </w:r>
    </w:p>
    <w:p>
      <w:pPr>
        <w:spacing w:before="1"/>
        <w:ind w:left="2830" w:right="2666" w:firstLine="0"/>
        <w:jc w:val="center"/>
        <w:rPr>
          <w:sz w:val="28"/>
        </w:rPr>
      </w:pPr>
      <w:r>
        <w:rPr>
          <w:sz w:val="28"/>
        </w:rPr>
        <w:t>Eight</w:t>
      </w:r>
      <w:r>
        <w:rPr>
          <w:spacing w:val="-8"/>
          <w:sz w:val="28"/>
        </w:rPr>
        <w:t> </w:t>
      </w:r>
      <w:r>
        <w:rPr>
          <w:sz w:val="28"/>
        </w:rPr>
        <w:t>compulsory</w:t>
      </w:r>
      <w:r>
        <w:rPr>
          <w:spacing w:val="-8"/>
          <w:sz w:val="28"/>
        </w:rPr>
        <w:t> </w:t>
      </w:r>
      <w:r>
        <w:rPr>
          <w:sz w:val="28"/>
        </w:rPr>
        <w:t>Tutorials</w:t>
      </w:r>
    </w:p>
    <w:p>
      <w:pPr>
        <w:pStyle w:val="BodyText"/>
        <w:rPr>
          <w:sz w:val="44"/>
        </w:rPr>
      </w:pPr>
    </w:p>
    <w:p>
      <w:pPr>
        <w:pStyle w:val="BodyText"/>
        <w:ind w:left="560" w:right="210"/>
        <w:jc w:val="both"/>
      </w:pPr>
      <w:r>
        <w:rPr>
          <w:b/>
        </w:rPr>
        <w:t>Objective: </w:t>
      </w:r>
      <w:r>
        <w:rPr/>
        <w:t>The principal objective of this course is to equip students who have no prior background in</w:t>
      </w:r>
      <w:r>
        <w:rPr>
          <w:spacing w:val="1"/>
        </w:rPr>
        <w:t> </w:t>
      </w:r>
      <w:r>
        <w:rPr/>
        <w:t>economics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microeconomic</w:t>
      </w:r>
      <w:r>
        <w:rPr>
          <w:spacing w:val="1"/>
        </w:rPr>
        <w:t> </w:t>
      </w:r>
      <w:r>
        <w:rPr/>
        <w:t>principles. 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solid</w:t>
      </w:r>
      <w:r>
        <w:rPr>
          <w:spacing w:val="1"/>
        </w:rPr>
        <w:t> </w:t>
      </w:r>
      <w:r>
        <w:rPr/>
        <w:t>understanding of the behaviour of consumers and firms, a clear comprehension of the underpinnings of</w:t>
      </w:r>
      <w:r>
        <w:rPr>
          <w:spacing w:val="1"/>
        </w:rPr>
        <w:t> </w:t>
      </w:r>
      <w:r>
        <w:rPr/>
        <w:t>demand and supply, market structure, industrial policy, and ongoing economic debates. The use of graphs</w:t>
      </w:r>
      <w:r>
        <w:rPr>
          <w:spacing w:val="1"/>
        </w:rPr>
        <w:t> </w:t>
      </w:r>
      <w:r>
        <w:rPr/>
        <w:t>(and very basic mathematical formulae) will be used to better understand the material to be covered in the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asynchronous,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synchronous</w:t>
      </w:r>
      <w:r>
        <w:rPr>
          <w:spacing w:val="1"/>
        </w:rPr>
        <w:t> </w:t>
      </w:r>
      <w:r>
        <w:rPr/>
        <w:t>lectures,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eight</w:t>
      </w:r>
      <w:r>
        <w:rPr>
          <w:spacing w:val="1"/>
        </w:rPr>
        <w:t> </w:t>
      </w:r>
      <w:r>
        <w:rPr/>
        <w:t>asynchronous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synchronous</w:t>
      </w:r>
      <w:r>
        <w:rPr>
          <w:spacing w:val="1"/>
        </w:rPr>
        <w:t> </w:t>
      </w:r>
      <w:r>
        <w:rPr/>
        <w:t>tutorials.</w:t>
      </w:r>
      <w:r>
        <w:rPr>
          <w:spacing w:val="1"/>
        </w:rPr>
        <w:t> </w:t>
      </w:r>
      <w:r>
        <w:rPr/>
        <w:t>Illustrations</w:t>
      </w:r>
      <w:r>
        <w:rPr>
          <w:spacing w:val="-6"/>
        </w:rPr>
        <w:t> </w:t>
      </w:r>
      <w:r>
        <w:rPr/>
        <w:t>using</w:t>
      </w:r>
      <w:r>
        <w:rPr>
          <w:spacing w:val="3"/>
        </w:rPr>
        <w:t> </w:t>
      </w:r>
      <w:r>
        <w:rPr/>
        <w:t>real-world</w:t>
      </w:r>
      <w:r>
        <w:rPr>
          <w:spacing w:val="-2"/>
        </w:rPr>
        <w:t> </w:t>
      </w:r>
      <w:r>
        <w:rPr/>
        <w:t>examples</w:t>
      </w:r>
      <w:r>
        <w:rPr>
          <w:spacing w:val="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delivered</w:t>
      </w:r>
      <w:r>
        <w:rPr>
          <w:spacing w:val="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8"/>
      </w:pPr>
    </w:p>
    <w:p>
      <w:pPr>
        <w:pStyle w:val="BodyText"/>
        <w:ind w:left="560" w:right="388"/>
        <w:jc w:val="both"/>
        <w:rPr>
          <w:rFonts w:ascii="Times New Roman"/>
        </w:rPr>
      </w:pPr>
      <w:r>
        <w:rPr>
          <w:rFonts w:ascii="Times New Roman"/>
          <w:b/>
        </w:rPr>
        <w:t>Eligibility: </w:t>
      </w:r>
      <w:r>
        <w:rPr>
          <w:rFonts w:ascii="Times New Roman"/>
        </w:rPr>
        <w:t>This course is suitable for students from all UCL departments other than the Economics Department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and the combined-studies degrees in Economics and for all non-economist affiliates. The course is </w:t>
      </w:r>
      <w:r>
        <w:rPr>
          <w:rFonts w:ascii="Times New Roman"/>
          <w:b/>
        </w:rPr>
        <w:t>NOT </w:t>
      </w:r>
      <w:r>
        <w:rPr>
          <w:rFonts w:ascii="Times New Roman"/>
        </w:rPr>
        <w:t>offered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enrolled in:</w: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ind w:left="560" w:right="393"/>
        <w:jc w:val="both"/>
        <w:rPr>
          <w:rFonts w:ascii="Times New Roman"/>
        </w:rPr>
      </w:pP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BSc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(L100),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Geography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BSc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(LL17),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Statistics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BSc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(LG13),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Philosophy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(VL51),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Mathematics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BSc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(G1L1),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Mathematics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 MSci (G1LC), Economics and Finance BSc (GLN0), Statistics, Economics and a Language BSc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(GLR0).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560"/>
        <w:jc w:val="both"/>
        <w:rPr>
          <w:rFonts w:ascii="Times New Roman"/>
        </w:rPr>
      </w:pPr>
      <w:r>
        <w:rPr>
          <w:rFonts w:ascii="Times New Roman"/>
          <w:b/>
        </w:rPr>
        <w:t>Pre-requisites: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prerequisite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course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A-Level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Math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equivalent.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560"/>
        <w:jc w:val="both"/>
      </w:pPr>
      <w:r>
        <w:rPr>
          <w:b/>
        </w:rPr>
        <w:t>Tutorials:</w:t>
      </w:r>
      <w:r>
        <w:rPr>
          <w:b/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eight</w:t>
      </w:r>
      <w:r>
        <w:rPr>
          <w:spacing w:val="-7"/>
        </w:rPr>
        <w:t> </w:t>
      </w:r>
      <w:r>
        <w:rPr/>
        <w:t>compulsory</w:t>
      </w:r>
      <w:r>
        <w:rPr>
          <w:spacing w:val="-6"/>
        </w:rPr>
        <w:t> </w:t>
      </w:r>
      <w:r>
        <w:rPr/>
        <w:t>problem</w:t>
      </w:r>
      <w:r>
        <w:rPr>
          <w:spacing w:val="-1"/>
        </w:rPr>
        <w:t> </w:t>
      </w:r>
      <w:r>
        <w:rPr/>
        <w:t>sets and tutorials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89" w:top="640" w:bottom="1180" w:left="160" w:right="320"/>
          <w:pgNumType w:start="1"/>
        </w:sectPr>
      </w:pPr>
    </w:p>
    <w:p>
      <w:pPr>
        <w:spacing w:line="242" w:lineRule="auto" w:before="81"/>
        <w:ind w:left="560" w:right="3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Reading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Material: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set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text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course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Economics,</w:t>
      </w:r>
      <w:r>
        <w:rPr>
          <w:rFonts w:ascii="Times New Roman" w:hAnsi="Times New Roman"/>
          <w:b/>
          <w:i/>
          <w:spacing w:val="-1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11</w:t>
      </w:r>
      <w:r>
        <w:rPr>
          <w:rFonts w:ascii="Times New Roman" w:hAnsi="Times New Roman"/>
          <w:b/>
          <w:i/>
          <w:sz w:val="24"/>
          <w:vertAlign w:val="superscript"/>
        </w:rPr>
        <w:t>th</w:t>
      </w:r>
      <w:r>
        <w:rPr>
          <w:rFonts w:ascii="Times New Roman" w:hAnsi="Times New Roman"/>
          <w:b/>
          <w:i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i/>
          <w:sz w:val="24"/>
          <w:vertAlign w:val="baseline"/>
        </w:rPr>
        <w:t>Edition</w:t>
      </w:r>
      <w:r>
        <w:rPr>
          <w:rFonts w:ascii="Times New Roman" w:hAnsi="Times New Roman"/>
          <w:b/>
          <w:sz w:val="24"/>
          <w:vertAlign w:val="baseline"/>
        </w:rPr>
        <w:t>,</w:t>
      </w:r>
      <w:r>
        <w:rPr>
          <w:rFonts w:ascii="Times New Roman" w:hAnsi="Times New Roman"/>
          <w:b/>
          <w:spacing w:val="-1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by</w:t>
      </w:r>
      <w:r>
        <w:rPr>
          <w:rFonts w:ascii="Times New Roman" w:hAnsi="Times New Roman"/>
          <w:b/>
          <w:spacing w:val="-12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David</w:t>
      </w:r>
      <w:r>
        <w:rPr>
          <w:rFonts w:ascii="Times New Roman" w:hAnsi="Times New Roman"/>
          <w:b/>
          <w:spacing w:val="-10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Begg,</w:t>
      </w:r>
      <w:r>
        <w:rPr>
          <w:rFonts w:ascii="Times New Roman" w:hAnsi="Times New Roman"/>
          <w:b/>
          <w:spacing w:val="-8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Gianluigi</w:t>
      </w:r>
      <w:r>
        <w:rPr>
          <w:rFonts w:ascii="Times New Roman" w:hAnsi="Times New Roman"/>
          <w:b/>
          <w:spacing w:val="-12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Vernasca,</w:t>
      </w:r>
      <w:r>
        <w:rPr>
          <w:rFonts w:ascii="Times New Roman" w:hAnsi="Times New Roman"/>
          <w:b/>
          <w:spacing w:val="-58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Stanley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Fischer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and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Rudiger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Dornbusch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(henceforth: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BVFD),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UK: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b/>
          <w:sz w:val="24"/>
          <w:vertAlign w:val="baseline"/>
        </w:rPr>
        <w:t>McGraw-Hill.</w:t>
      </w:r>
      <w:r>
        <w:rPr>
          <w:rFonts w:ascii="Times New Roman" w:hAnsi="Times New Roman"/>
          <w:b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2014.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Students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are</w:t>
      </w:r>
      <w:r>
        <w:rPr>
          <w:rFonts w:ascii="Times New Roman" w:hAnsi="Times New Roman"/>
          <w:spacing w:val="-58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strongly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advised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to</w:t>
      </w:r>
      <w:r>
        <w:rPr>
          <w:rFonts w:ascii="Times New Roman" w:hAnsi="Times New Roman"/>
          <w:spacing w:val="3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consult</w:t>
      </w:r>
      <w:r>
        <w:rPr>
          <w:rFonts w:ascii="Times New Roman" w:hAnsi="Times New Roman"/>
          <w:spacing w:val="-6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regularly the</w:t>
      </w:r>
      <w:r>
        <w:rPr>
          <w:rFonts w:ascii="Times New Roman" w:hAnsi="Times New Roman"/>
          <w:spacing w:val="-8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online</w:t>
      </w:r>
      <w:r>
        <w:rPr>
          <w:rFonts w:ascii="Times New Roman" w:hAnsi="Times New Roman"/>
          <w:spacing w:val="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learning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“connect”,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which</w:t>
      </w:r>
      <w:r>
        <w:rPr>
          <w:rFonts w:ascii="Times New Roman" w:hAnsi="Times New Roman"/>
          <w:spacing w:val="-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comes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with</w:t>
      </w:r>
      <w:r>
        <w:rPr>
          <w:rFonts w:ascii="Times New Roman" w:hAnsi="Times New Roman"/>
          <w:spacing w:val="3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the</w:t>
      </w:r>
      <w:r>
        <w:rPr>
          <w:rFonts w:ascii="Times New Roman" w:hAnsi="Times New Roman"/>
          <w:spacing w:val="-6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book.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line="242" w:lineRule="auto" w:before="1"/>
        <w:ind w:left="560" w:right="392"/>
        <w:jc w:val="both"/>
        <w:rPr>
          <w:rFonts w:ascii="Times New Roman"/>
        </w:rPr>
      </w:pPr>
      <w:r>
        <w:rPr>
          <w:rFonts w:ascii="Times New Roman"/>
          <w:b/>
        </w:rPr>
        <w:t>Moodle:</w:t>
      </w:r>
      <w:r>
        <w:rPr>
          <w:rFonts w:ascii="Times New Roman"/>
          <w:b/>
          <w:spacing w:val="-9"/>
        </w:rPr>
        <w:t> </w:t>
      </w:r>
      <w:r>
        <w:rPr>
          <w:rFonts w:ascii="Times New Roman"/>
        </w:rPr>
        <w:t>Recorded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asynchronous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synchronous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lectures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slides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problem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sets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posted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Moodle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before each lecture and two weeks prior to each of the eight tutorials. Students are strongly advised to join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lectures prepared,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i.e.,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read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relevant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chapter as per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lecture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program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below.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tabs>
          <w:tab w:pos="9628" w:val="left" w:leader="none"/>
        </w:tabs>
        <w:ind w:left="560" w:firstLine="0"/>
        <w:rPr>
          <w:rFonts w:ascii="Times New Roman"/>
        </w:rPr>
      </w:pPr>
      <w:bookmarkStart w:name="Assessment: % Final Mark" w:id="4"/>
      <w:bookmarkEnd w:id="4"/>
      <w:r>
        <w:rPr>
          <w:b w:val="0"/>
        </w:rPr>
      </w:r>
      <w:r>
        <w:rPr>
          <w:rFonts w:ascii="Times New Roman"/>
        </w:rPr>
        <w:t>Assessment:</w:t>
        <w:tab/>
        <w:t>%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Mark</w:t>
      </w:r>
    </w:p>
    <w:p>
      <w:pPr>
        <w:pStyle w:val="BodyText"/>
        <w:spacing w:before="2"/>
        <w:rPr>
          <w:rFonts w:ascii="Times New Roman"/>
          <w:b/>
        </w:rPr>
      </w:pPr>
    </w:p>
    <w:p>
      <w:pPr>
        <w:tabs>
          <w:tab w:pos="10609" w:val="left" w:leader="dot"/>
        </w:tabs>
        <w:spacing w:before="0"/>
        <w:ind w:left="56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Coursework</w:t>
        <w:tab/>
        <w:t>30%</w:t>
      </w: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10754" w:val="left" w:leader="dot"/>
        </w:tabs>
        <w:spacing w:before="1"/>
        <w:ind w:left="56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Final examination</w:t>
        <w:tab/>
        <w:t>70%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203"/>
        <w:ind w:left="56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Lecture Program</w:t>
      </w:r>
    </w:p>
    <w:p>
      <w:pPr>
        <w:pStyle w:val="BodyText"/>
        <w:spacing w:before="5"/>
        <w:rPr>
          <w:rFonts w:ascii="Times New Roman"/>
          <w:b/>
          <w:sz w:val="20"/>
        </w:rPr>
      </w:pPr>
    </w:p>
    <w:p>
      <w:pPr>
        <w:spacing w:before="88"/>
        <w:ind w:left="56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Students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should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expect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z w:val="28"/>
        </w:rPr>
        <w:t>15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minutes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real case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study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followed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a quiz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at the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end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each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lecture.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Heading1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  <w:rPr>
          <w:rFonts w:ascii="Times New Roman" w:hAnsi="Times New Roman"/>
        </w:rPr>
      </w:pPr>
      <w:bookmarkStart w:name="- Introduction" w:id="5"/>
      <w:bookmarkEnd w:id="5"/>
      <w:r>
        <w:rPr>
          <w:b w:val="0"/>
        </w:rPr>
      </w:r>
      <w:bookmarkStart w:name="- Introduction" w:id="6"/>
      <w:bookmarkEnd w:id="6"/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ntroduction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pStyle w:val="BodyText"/>
        <w:spacing w:before="1"/>
        <w:ind w:left="2001"/>
        <w:rPr>
          <w:rFonts w:ascii="Times New Roman"/>
        </w:rPr>
      </w:pPr>
      <w:r>
        <w:rPr>
          <w:rFonts w:ascii="Times New Roman"/>
        </w:rPr>
        <w:t>BVFD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Chapters 1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2: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2721" w:right="6254"/>
        <w:rPr>
          <w:rFonts w:ascii="Times New Roman"/>
        </w:rPr>
      </w:pPr>
      <w:r>
        <w:rPr>
          <w:rFonts w:ascii="Times New Roman"/>
        </w:rPr>
        <w:t>Economics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Economy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Tools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Economic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analysis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</w:pPr>
      <w:bookmarkStart w:name="- Demand, Supply and the market" w:id="7"/>
      <w:bookmarkEnd w:id="7"/>
      <w:r>
        <w:rPr>
          <w:b w:val="0"/>
        </w:rPr>
      </w:r>
      <w:bookmarkStart w:name="- Demand, Supply and the market" w:id="8"/>
      <w:bookmarkEnd w:id="8"/>
      <w:r>
        <w:rPr/>
        <w:t>D</w:t>
      </w:r>
      <w:r>
        <w:rPr/>
        <w:t>emand,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market</w:t>
      </w:r>
    </w:p>
    <w:p>
      <w:pPr>
        <w:pStyle w:val="BodyText"/>
        <w:spacing w:before="274"/>
        <w:ind w:left="2001"/>
      </w:pPr>
      <w:r>
        <w:rPr/>
        <w:t>BVFD Chapter 3</w:t>
      </w:r>
    </w:p>
    <w:p>
      <w:pPr>
        <w:pStyle w:val="BodyText"/>
        <w:spacing w:before="3"/>
      </w:pPr>
    </w:p>
    <w:p>
      <w:pPr>
        <w:pStyle w:val="BodyText"/>
        <w:ind w:left="2721"/>
      </w:pPr>
      <w:r>
        <w:rPr/>
        <w:t>Demand, supply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280" w:val="left" w:leader="none"/>
        </w:tabs>
        <w:spacing w:before="243"/>
        <w:ind w:left="920" w:firstLine="0"/>
      </w:pPr>
      <w:bookmarkStart w:name="- Positive Microeconomics" w:id="9"/>
      <w:bookmarkEnd w:id="9"/>
      <w:r>
        <w:rPr>
          <w:b w:val="0"/>
        </w:rPr>
      </w:r>
      <w:r>
        <w:rPr>
          <w:sz w:val="24"/>
        </w:rPr>
        <w:t>-</w:t>
        <w:tab/>
      </w:r>
      <w:r>
        <w:rPr/>
        <w:t>Positive</w:t>
      </w:r>
      <w:r>
        <w:rPr>
          <w:spacing w:val="-13"/>
        </w:rPr>
        <w:t> </w:t>
      </w:r>
      <w:r>
        <w:rPr/>
        <w:t>Microeconomics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01"/>
        <w:ind w:left="100" w:right="0" w:firstLine="0"/>
        <w:jc w:val="left"/>
        <w:rPr>
          <w:sz w:val="20"/>
        </w:rPr>
      </w:pPr>
      <w:r>
        <w:rPr/>
        <w:pict>
          <v:rect style="position:absolute;margin-left:36.049999pt;margin-top:19.711954pt;width:144.050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989" w:top="640" w:bottom="1180" w:left="160" w:right="320"/>
        </w:sectPr>
      </w:pPr>
    </w:p>
    <w:p>
      <w:pPr>
        <w:pStyle w:val="BodyText"/>
        <w:spacing w:before="77"/>
        <w:ind w:left="2001"/>
        <w:jc w:val="both"/>
      </w:pPr>
      <w:r>
        <w:rPr/>
        <w:t>BVFD Chapters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2"/>
      </w:pPr>
    </w:p>
    <w:p>
      <w:pPr>
        <w:pStyle w:val="BodyText"/>
        <w:spacing w:before="1"/>
        <w:ind w:left="2721"/>
      </w:pPr>
      <w:r>
        <w:rPr/>
        <w:t>Elasticities</w:t>
      </w:r>
      <w:r>
        <w:rPr>
          <w:spacing w:val="1"/>
        </w:rPr>
        <w:t> </w:t>
      </w:r>
      <w:r>
        <w:rPr/>
        <w:t>of</w:t>
      </w:r>
      <w:r>
        <w:rPr>
          <w:spacing w:val="-9"/>
        </w:rPr>
        <w:t> </w:t>
      </w:r>
      <w:r>
        <w:rPr/>
        <w:t>Demand and</w:t>
      </w:r>
      <w:r>
        <w:rPr>
          <w:spacing w:val="-8"/>
        </w:rPr>
        <w:t> </w:t>
      </w:r>
      <w:r>
        <w:rPr/>
        <w:t>Supply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</w:pPr>
      <w:bookmarkStart w:name="- Consumer choice and demand decisions" w:id="10"/>
      <w:bookmarkEnd w:id="10"/>
      <w:r>
        <w:rPr>
          <w:b w:val="0"/>
        </w:rPr>
      </w:r>
      <w:bookmarkStart w:name="- Consumer choice and demand decisions" w:id="11"/>
      <w:bookmarkEnd w:id="11"/>
      <w:r>
        <w:rPr/>
        <w:t>Co</w:t>
      </w:r>
      <w:r>
        <w:rPr/>
        <w:t>nsumer</w:t>
      </w:r>
      <w:r>
        <w:rPr>
          <w:spacing w:val="-9"/>
        </w:rPr>
        <w:t> </w:t>
      </w:r>
      <w:r>
        <w:rPr/>
        <w:t>choice</w:t>
      </w:r>
      <w:r>
        <w:rPr>
          <w:spacing w:val="-4"/>
        </w:rPr>
        <w:t> </w:t>
      </w:r>
      <w:r>
        <w:rPr/>
        <w:t>and</w:t>
      </w:r>
      <w:r>
        <w:rPr>
          <w:spacing w:val="-13"/>
        </w:rPr>
        <w:t> </w:t>
      </w:r>
      <w:r>
        <w:rPr/>
        <w:t>demand</w:t>
      </w:r>
      <w:r>
        <w:rPr>
          <w:spacing w:val="-7"/>
        </w:rPr>
        <w:t> </w:t>
      </w:r>
      <w:r>
        <w:rPr/>
        <w:t>decisions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"/>
        <w:ind w:left="2721"/>
      </w:pPr>
      <w:r>
        <w:rPr/>
        <w:t>BVFD Chapter 5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38" w:after="0"/>
        <w:ind w:left="1280" w:right="0" w:hanging="361"/>
        <w:jc w:val="left"/>
      </w:pPr>
      <w:bookmarkStart w:name="- Introducing supply decisions" w:id="12"/>
      <w:bookmarkEnd w:id="12"/>
      <w:r>
        <w:rPr>
          <w:b w:val="0"/>
        </w:rPr>
      </w:r>
      <w:bookmarkStart w:name="- Introducing supply decisions" w:id="13"/>
      <w:bookmarkEnd w:id="13"/>
      <w:r>
        <w:rPr>
          <w:spacing w:val="-1"/>
        </w:rPr>
        <w:t>I</w:t>
      </w:r>
      <w:r>
        <w:rPr>
          <w:spacing w:val="-1"/>
        </w:rPr>
        <w:t>ntroducing</w:t>
      </w:r>
      <w:r>
        <w:rPr>
          <w:spacing w:val="-12"/>
        </w:rPr>
        <w:t> </w:t>
      </w:r>
      <w:r>
        <w:rPr/>
        <w:t>supply</w:t>
      </w:r>
      <w:r>
        <w:rPr>
          <w:spacing w:val="3"/>
        </w:rPr>
        <w:t> </w:t>
      </w:r>
      <w:r>
        <w:rPr/>
        <w:t>decisions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2721"/>
      </w:pPr>
      <w:r>
        <w:rPr/>
        <w:t>BVFD Chapters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38" w:after="0"/>
        <w:ind w:left="1280" w:right="0" w:hanging="361"/>
        <w:jc w:val="left"/>
      </w:pPr>
      <w:bookmarkStart w:name="- Costs and Supply" w:id="14"/>
      <w:bookmarkEnd w:id="14"/>
      <w:r>
        <w:rPr>
          <w:b w:val="0"/>
        </w:rPr>
      </w:r>
      <w:bookmarkStart w:name="- Costs and Supply" w:id="15"/>
      <w:bookmarkEnd w:id="15"/>
      <w:r>
        <w:rPr/>
        <w:t>Co</w:t>
      </w:r>
      <w:r>
        <w:rPr/>
        <w:t>sts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Supply</w:t>
      </w:r>
    </w:p>
    <w:p>
      <w:pPr>
        <w:pStyle w:val="BodyText"/>
        <w:spacing w:before="275"/>
        <w:ind w:left="2721"/>
      </w:pPr>
      <w:r>
        <w:rPr/>
        <w:t>BVFD</w:t>
      </w:r>
      <w:r>
        <w:rPr>
          <w:spacing w:val="2"/>
        </w:rPr>
        <w:t> </w:t>
      </w:r>
      <w:r>
        <w:rPr/>
        <w:t>Chapter</w:t>
      </w:r>
      <w:r>
        <w:rPr>
          <w:spacing w:val="-4"/>
        </w:rPr>
        <w:t> </w:t>
      </w:r>
      <w:r>
        <w:rPr/>
        <w:t>7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42" w:after="0"/>
        <w:ind w:left="1280" w:right="0" w:hanging="361"/>
        <w:jc w:val="left"/>
      </w:pPr>
      <w:bookmarkStart w:name="- Perfect competition and pure monopoly" w:id="16"/>
      <w:bookmarkEnd w:id="16"/>
      <w:r>
        <w:rPr>
          <w:b w:val="0"/>
        </w:rPr>
      </w:r>
      <w:bookmarkStart w:name="- Perfect competition and pure monopoly" w:id="17"/>
      <w:bookmarkEnd w:id="17"/>
      <w:r>
        <w:rPr/>
        <w:t>P</w:t>
      </w:r>
      <w:r>
        <w:rPr/>
        <w:t>erfect</w:t>
      </w:r>
      <w:r>
        <w:rPr>
          <w:spacing w:val="-12"/>
        </w:rPr>
        <w:t> </w:t>
      </w:r>
      <w:r>
        <w:rPr/>
        <w:t>competition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pure</w:t>
      </w:r>
      <w:r>
        <w:rPr>
          <w:spacing w:val="1"/>
        </w:rPr>
        <w:t> </w:t>
      </w:r>
      <w:r>
        <w:rPr/>
        <w:t>monopoly</w:t>
      </w:r>
    </w:p>
    <w:p>
      <w:pPr>
        <w:pStyle w:val="BodyText"/>
        <w:spacing w:before="275"/>
        <w:ind w:left="2721"/>
      </w:pPr>
      <w:r>
        <w:rPr/>
        <w:t>BVFD Chapter 8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38" w:after="0"/>
        <w:ind w:left="1280" w:right="0" w:hanging="361"/>
        <w:jc w:val="left"/>
      </w:pPr>
      <w:bookmarkStart w:name="- Market structure and imperfect competi" w:id="18"/>
      <w:bookmarkEnd w:id="18"/>
      <w:r>
        <w:rPr>
          <w:b w:val="0"/>
        </w:rPr>
      </w:r>
      <w:bookmarkStart w:name="- Market structure and imperfect competi" w:id="19"/>
      <w:bookmarkEnd w:id="19"/>
      <w:r>
        <w:rPr/>
        <w:t>M</w:t>
      </w:r>
      <w:r>
        <w:rPr/>
        <w:t>arket</w:t>
      </w:r>
      <w:r>
        <w:rPr>
          <w:spacing w:val="-1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imperfect</w:t>
      </w:r>
      <w:r>
        <w:rPr>
          <w:spacing w:val="-7"/>
        </w:rPr>
        <w:t> </w:t>
      </w:r>
      <w:r>
        <w:rPr/>
        <w:t>competition</w:t>
      </w:r>
    </w:p>
    <w:p>
      <w:pPr>
        <w:pStyle w:val="BodyText"/>
        <w:spacing w:before="280"/>
        <w:ind w:left="2721"/>
      </w:pPr>
      <w:r>
        <w:rPr/>
        <w:t>BVFD Chapter 9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37" w:after="0"/>
        <w:ind w:left="1280" w:right="0" w:hanging="361"/>
        <w:jc w:val="left"/>
      </w:pPr>
      <w:bookmarkStart w:name="- The labour market" w:id="20"/>
      <w:bookmarkEnd w:id="20"/>
      <w:r>
        <w:rPr>
          <w:b w:val="0"/>
        </w:rPr>
      </w:r>
      <w:bookmarkStart w:name="- The labour market" w:id="21"/>
      <w:bookmarkEnd w:id="21"/>
      <w:r>
        <w:rPr/>
        <w:t>T</w:t>
      </w:r>
      <w:r>
        <w:rPr/>
        <w:t>he</w:t>
      </w:r>
      <w:r>
        <w:rPr>
          <w:spacing w:val="-11"/>
        </w:rPr>
        <w:t> </w:t>
      </w:r>
      <w:r>
        <w:rPr/>
        <w:t>labour</w:t>
      </w:r>
      <w:r>
        <w:rPr>
          <w:spacing w:val="-7"/>
        </w:rPr>
        <w:t> </w:t>
      </w:r>
      <w:r>
        <w:rPr/>
        <w:t>market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2721"/>
      </w:pPr>
      <w:r>
        <w:rPr/>
        <w:t>BVFD</w:t>
      </w:r>
      <w:r>
        <w:rPr>
          <w:spacing w:val="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280" w:val="left" w:leader="none"/>
          <w:tab w:pos="1281" w:val="left" w:leader="none"/>
        </w:tabs>
        <w:spacing w:line="240" w:lineRule="auto" w:before="243" w:after="0"/>
        <w:ind w:left="1280" w:right="0" w:hanging="361"/>
        <w:jc w:val="left"/>
      </w:pPr>
      <w:bookmarkStart w:name="- Debates" w:id="22"/>
      <w:bookmarkEnd w:id="22"/>
      <w:r>
        <w:rPr>
          <w:b w:val="0"/>
        </w:rPr>
      </w:r>
      <w:bookmarkStart w:name="- Debates" w:id="23"/>
      <w:bookmarkEnd w:id="23"/>
      <w:r>
        <w:rPr/>
        <w:t>D</w:t>
      </w:r>
      <w:r>
        <w:rPr/>
        <w:t>ebates</w:t>
      </w:r>
    </w:p>
    <w:p>
      <w:pPr>
        <w:pStyle w:val="BodyText"/>
        <w:spacing w:before="280"/>
        <w:ind w:left="2001" w:right="111"/>
        <w:jc w:val="both"/>
      </w:pPr>
      <w:r>
        <w:rPr/>
        <w:t>Minimum</w:t>
      </w:r>
      <w:r>
        <w:rPr>
          <w:spacing w:val="1"/>
        </w:rPr>
        <w:t> </w:t>
      </w:r>
      <w:r>
        <w:rPr/>
        <w:t>wages,</w:t>
      </w:r>
      <w:r>
        <w:rPr>
          <w:spacing w:val="1"/>
        </w:rPr>
        <w:t> </w:t>
      </w:r>
      <w:r>
        <w:rPr/>
        <w:t>taxation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revenues,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trade,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transfers in cash and in kind, hostile takeovers, private equity and long-term investments,</w:t>
      </w:r>
      <w:r>
        <w:rPr>
          <w:spacing w:val="1"/>
        </w:rPr>
        <w:t> </w:t>
      </w:r>
      <w:r>
        <w:rPr/>
        <w:t>globalization and market power, regulation of natural monopolies, female participation inthe</w:t>
      </w:r>
      <w:r>
        <w:rPr>
          <w:spacing w:val="1"/>
        </w:rPr>
        <w:t> </w:t>
      </w:r>
      <w:r>
        <w:rPr/>
        <w:t>labour</w:t>
      </w:r>
      <w:r>
        <w:rPr>
          <w:spacing w:val="-4"/>
        </w:rPr>
        <w:t> </w:t>
      </w:r>
      <w:r>
        <w:rPr/>
        <w:t>force,</w:t>
      </w:r>
      <w:r>
        <w:rPr>
          <w:spacing w:val="-4"/>
        </w:rPr>
        <w:t> </w:t>
      </w:r>
      <w:r>
        <w:rPr/>
        <w:t>saving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consumption</w:t>
      </w:r>
      <w:r>
        <w:rPr>
          <w:spacing w:val="-2"/>
        </w:rPr>
        <w:t> </w:t>
      </w:r>
      <w:r>
        <w:rPr/>
        <w:t>trade-offs,</w:t>
      </w:r>
      <w:r>
        <w:rPr>
          <w:spacing w:val="-5"/>
        </w:rPr>
        <w:t> </w:t>
      </w:r>
      <w:r>
        <w:rPr/>
        <w:t>externalities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-7"/>
        </w:rPr>
        <w:t> </w:t>
      </w:r>
      <w:r>
        <w:rPr/>
        <w:t>environment.</w:t>
      </w:r>
    </w:p>
    <w:sectPr>
      <w:pgSz w:w="12240" w:h="15840"/>
      <w:pgMar w:header="0" w:footer="989" w:top="640" w:bottom="1180" w:left="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30005pt;margin-top:731.572632pt;width:12.65pt;height:16.1pt;mso-position-horizontal-relative:page;mso-position-vertical-relative:page;z-index:-15798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80" w:hanging="36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80" w:hanging="36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80" w:hanging="361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9"/>
      <w:ind w:left="2830" w:right="2674"/>
      <w:jc w:val="center"/>
    </w:pPr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ARMENDARIZ</dc:creator>
  <dcterms:created xsi:type="dcterms:W3CDTF">2022-08-30T12:47:10Z</dcterms:created>
  <dcterms:modified xsi:type="dcterms:W3CDTF">2022-08-30T12:47:10Z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2022-08-30T00:00:00Z</vt:filetime>
  </property>
</Properties>
</file>