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5088" w14:textId="73B1053D" w:rsidR="00281E0C" w:rsidRPr="00D6364F" w:rsidRDefault="00D6364F" w:rsidP="00477098">
      <w:pPr>
        <w:spacing w:before="450" w:after="150"/>
        <w:outlineLvl w:val="2"/>
        <w:rPr>
          <w:rFonts w:ascii="Trebuchet MS" w:eastAsia="Times New Roman" w:hAnsi="Trebuchet MS" w:cs="Times New Roman"/>
          <w:b/>
          <w:bCs/>
          <w:color w:val="000000" w:themeColor="text1"/>
          <w:sz w:val="22"/>
          <w:szCs w:val="22"/>
          <w:lang w:eastAsia="en-GB"/>
        </w:rPr>
      </w:pPr>
      <w:r>
        <w:rPr>
          <w:rFonts w:ascii="Trebuchet MS" w:eastAsia="Times New Roman" w:hAnsi="Trebuchet MS" w:cs="Times New Roman"/>
          <w:b/>
          <w:bCs/>
          <w:color w:val="000000" w:themeColor="text1"/>
          <w:sz w:val="22"/>
          <w:szCs w:val="22"/>
          <w:lang w:eastAsia="en-GB"/>
        </w:rPr>
        <w:t>Information and Guidelines</w:t>
      </w:r>
    </w:p>
    <w:p w14:paraId="4CBDE014" w14:textId="57B48D34" w:rsidR="00365B03" w:rsidRPr="00D6364F" w:rsidRDefault="008E758E" w:rsidP="00477098">
      <w:pPr>
        <w:spacing w:before="450" w:after="150"/>
        <w:outlineLvl w:val="2"/>
        <w:rPr>
          <w:rFonts w:ascii="Trebuchet MS" w:eastAsia="Times New Roman" w:hAnsi="Trebuchet MS" w:cs="Times New Roman"/>
          <w:color w:val="000000" w:themeColor="text1"/>
          <w:sz w:val="22"/>
          <w:szCs w:val="22"/>
          <w:lang w:eastAsia="en-GB"/>
        </w:rPr>
      </w:pPr>
      <w:r w:rsidRPr="00D6364F">
        <w:rPr>
          <w:rFonts w:ascii="Trebuchet MS" w:eastAsia="Times New Roman" w:hAnsi="Trebuchet MS" w:cs="Times New Roman"/>
          <w:b/>
          <w:bCs/>
          <w:color w:val="000000" w:themeColor="text1"/>
          <w:sz w:val="22"/>
          <w:szCs w:val="22"/>
          <w:lang w:eastAsia="en-GB"/>
        </w:rPr>
        <w:t>About the Crick’s</w:t>
      </w:r>
      <w:r w:rsidR="00365B03" w:rsidRPr="00D6364F">
        <w:rPr>
          <w:rFonts w:ascii="Trebuchet MS" w:eastAsia="Times New Roman" w:hAnsi="Trebuchet MS" w:cs="Times New Roman"/>
          <w:b/>
          <w:bCs/>
          <w:color w:val="000000" w:themeColor="text1"/>
          <w:sz w:val="22"/>
          <w:szCs w:val="22"/>
          <w:lang w:eastAsia="en-GB"/>
        </w:rPr>
        <w:t xml:space="preserve"> Interest Groups</w:t>
      </w:r>
      <w:r w:rsidR="00477098" w:rsidRPr="00D6364F">
        <w:rPr>
          <w:rFonts w:ascii="Trebuchet MS" w:hAnsi="Trebuchet MS" w:cs="Times New Roman"/>
          <w:color w:val="000000" w:themeColor="text1"/>
          <w:sz w:val="22"/>
          <w:szCs w:val="22"/>
        </w:rPr>
        <w:t xml:space="preserve"> </w:t>
      </w:r>
    </w:p>
    <w:p w14:paraId="2B4A4C96" w14:textId="77777777"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The Crick Interest Groups were developed to bring together scientists working on diverse biological systems, with many different complementary sets of expertise, to understand how these processes are regulated in health, and how their breakdown can result in diverse diseases. </w:t>
      </w:r>
    </w:p>
    <w:p w14:paraId="5C68F0DB" w14:textId="7BEF425D"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The aim of the Interest Groups is to enhance scientific discussion by strengthening existing interactions and promoting new links within and across the different Interest Groups. </w:t>
      </w:r>
    </w:p>
    <w:p w14:paraId="3B15CBB3" w14:textId="2A7842C0" w:rsidR="00D6364F" w:rsidRPr="00D6364F" w:rsidRDefault="00D6364F" w:rsidP="00D6364F">
      <w:pPr>
        <w:rPr>
          <w:rFonts w:ascii="Trebuchet MS" w:hAnsi="Trebuchet MS"/>
          <w:color w:val="000000" w:themeColor="text1"/>
          <w:sz w:val="22"/>
          <w:szCs w:val="22"/>
        </w:rPr>
      </w:pPr>
      <w:r w:rsidRPr="00D6364F">
        <w:rPr>
          <w:rFonts w:ascii="Trebuchet MS" w:hAnsi="Trebuchet MS"/>
          <w:color w:val="000000" w:themeColor="text1"/>
          <w:sz w:val="22"/>
          <w:szCs w:val="22"/>
        </w:rPr>
        <w:t xml:space="preserve">In 2018 we launched the </w:t>
      </w:r>
      <w:r w:rsidRPr="00D6364F">
        <w:rPr>
          <w:rFonts w:ascii="Trebuchet MS" w:hAnsi="Trebuchet MS"/>
          <w:b/>
          <w:bCs/>
          <w:color w:val="000000" w:themeColor="text1"/>
          <w:sz w:val="22"/>
          <w:szCs w:val="22"/>
        </w:rPr>
        <w:t xml:space="preserve">‘Associate Membership’ </w:t>
      </w:r>
      <w:r w:rsidRPr="00D6364F">
        <w:rPr>
          <w:rFonts w:ascii="Trebuchet MS" w:hAnsi="Trebuchet MS"/>
          <w:color w:val="000000" w:themeColor="text1"/>
          <w:sz w:val="22"/>
          <w:szCs w:val="22"/>
        </w:rPr>
        <w:t xml:space="preserve">of the Crick Interest Groups scheme in which we invited university partner researchers to join and take part in our internal Interest Group seminar programmes. We aimed to widen our research horizons, particularly by the facilitation of links to clinical medicine, physical sciences and branches of biology that were not well represented within the Crick itself. We hoped to gain new collaborative interactions and to increase our visibility at partner universities. For our partners and </w:t>
      </w:r>
      <w:proofErr w:type="gramStart"/>
      <w:r w:rsidRPr="00D6364F">
        <w:rPr>
          <w:rFonts w:ascii="Trebuchet MS" w:hAnsi="Trebuchet MS"/>
          <w:color w:val="000000" w:themeColor="text1"/>
          <w:sz w:val="22"/>
          <w:szCs w:val="22"/>
        </w:rPr>
        <w:t>funders</w:t>
      </w:r>
      <w:proofErr w:type="gramEnd"/>
      <w:r w:rsidRPr="00D6364F">
        <w:rPr>
          <w:rFonts w:ascii="Trebuchet MS" w:hAnsi="Trebuchet MS"/>
          <w:color w:val="000000" w:themeColor="text1"/>
          <w:sz w:val="22"/>
          <w:szCs w:val="22"/>
        </w:rPr>
        <w:t xml:space="preserve"> the scheme represents a tangible contribution to promoting their own science and part of reali</w:t>
      </w:r>
      <w:r w:rsidR="00B94C8F">
        <w:rPr>
          <w:rFonts w:ascii="Trebuchet MS" w:hAnsi="Trebuchet MS"/>
          <w:color w:val="000000" w:themeColor="text1"/>
          <w:sz w:val="22"/>
          <w:szCs w:val="22"/>
        </w:rPr>
        <w:t>s</w:t>
      </w:r>
      <w:r w:rsidRPr="00D6364F">
        <w:rPr>
          <w:rFonts w:ascii="Trebuchet MS" w:hAnsi="Trebuchet MS"/>
          <w:color w:val="000000" w:themeColor="text1"/>
          <w:sz w:val="22"/>
          <w:szCs w:val="22"/>
        </w:rPr>
        <w:t>ing the concept of the ‘Greater Crick’.</w:t>
      </w:r>
    </w:p>
    <w:p w14:paraId="40ECDDA5" w14:textId="4499E992"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 xml:space="preserve">Regular Interest Group internal and external seminars enrich scientific discourse across the institute, whilst also maximising the training of our PhD students, Postdocs and team members. </w:t>
      </w:r>
    </w:p>
    <w:p w14:paraId="59FFE5D8" w14:textId="5CF26D86" w:rsidR="00477098" w:rsidRPr="00D6364F" w:rsidRDefault="00477098"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 xml:space="preserve">There are currently </w:t>
      </w:r>
      <w:r w:rsidR="00D35CA0" w:rsidRPr="00D6364F">
        <w:rPr>
          <w:rFonts w:ascii="Trebuchet MS" w:hAnsi="Trebuchet MS" w:cs="Times New Roman"/>
          <w:color w:val="000000" w:themeColor="text1"/>
          <w:sz w:val="22"/>
          <w:szCs w:val="22"/>
          <w:lang w:eastAsia="en-GB"/>
        </w:rPr>
        <w:t>eight</w:t>
      </w:r>
      <w:r w:rsidRPr="00D6364F">
        <w:rPr>
          <w:rFonts w:ascii="Trebuchet MS" w:hAnsi="Trebuchet MS" w:cs="Times New Roman"/>
          <w:color w:val="000000" w:themeColor="text1"/>
          <w:sz w:val="22"/>
          <w:szCs w:val="22"/>
          <w:lang w:eastAsia="en-GB"/>
        </w:rPr>
        <w:t xml:space="preserve"> formal Interest Groups at the Crick:</w:t>
      </w:r>
    </w:p>
    <w:p w14:paraId="492186AE" w14:textId="232755DF"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Cancer</w:t>
      </w:r>
      <w:r w:rsidR="0051626F" w:rsidRPr="00D6364F">
        <w:rPr>
          <w:rFonts w:ascii="Trebuchet MS" w:hAnsi="Trebuchet MS"/>
          <w:color w:val="000000" w:themeColor="text1"/>
          <w:sz w:val="22"/>
          <w:szCs w:val="22"/>
        </w:rPr>
        <w:t xml:space="preserve"> </w:t>
      </w:r>
    </w:p>
    <w:p w14:paraId="26389AAD" w14:textId="622335C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 xml:space="preserve">Cell Biology </w:t>
      </w:r>
      <w:r w:rsidR="00395084" w:rsidRPr="00D6364F">
        <w:rPr>
          <w:rFonts w:ascii="Trebuchet MS" w:hAnsi="Trebuchet MS"/>
          <w:color w:val="000000" w:themeColor="text1"/>
          <w:sz w:val="22"/>
          <w:szCs w:val="22"/>
        </w:rPr>
        <w:t>&amp;</w:t>
      </w:r>
      <w:r w:rsidRPr="00D6364F">
        <w:rPr>
          <w:rFonts w:ascii="Trebuchet MS" w:hAnsi="Trebuchet MS"/>
          <w:color w:val="000000" w:themeColor="text1"/>
          <w:sz w:val="22"/>
          <w:szCs w:val="22"/>
        </w:rPr>
        <w:t xml:space="preserve"> Signalling</w:t>
      </w:r>
    </w:p>
    <w:p w14:paraId="6492B40A" w14:textId="7777777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Chromosome Biology</w:t>
      </w:r>
    </w:p>
    <w:p w14:paraId="25A3D9D8" w14:textId="7777777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Development and Stem Cells</w:t>
      </w:r>
    </w:p>
    <w:p w14:paraId="19E8EA8B" w14:textId="7777777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Immunology</w:t>
      </w:r>
    </w:p>
    <w:p w14:paraId="177A9D62" w14:textId="7777777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Infections</w:t>
      </w:r>
    </w:p>
    <w:p w14:paraId="55F465A2" w14:textId="77777777"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Neuroscience</w:t>
      </w:r>
    </w:p>
    <w:p w14:paraId="1BEBD810" w14:textId="3A8BA405" w:rsidR="00477098" w:rsidRPr="00D6364F" w:rsidRDefault="00477098" w:rsidP="008E758E">
      <w:pPr>
        <w:pStyle w:val="ListParagraph"/>
        <w:numPr>
          <w:ilvl w:val="0"/>
          <w:numId w:val="1"/>
        </w:numPr>
        <w:rPr>
          <w:rFonts w:ascii="Trebuchet MS" w:hAnsi="Trebuchet MS"/>
          <w:color w:val="000000" w:themeColor="text1"/>
          <w:sz w:val="22"/>
          <w:szCs w:val="22"/>
        </w:rPr>
      </w:pPr>
      <w:r w:rsidRPr="00D6364F">
        <w:rPr>
          <w:rFonts w:ascii="Trebuchet MS" w:hAnsi="Trebuchet MS"/>
          <w:color w:val="000000" w:themeColor="text1"/>
          <w:sz w:val="22"/>
          <w:szCs w:val="22"/>
        </w:rPr>
        <w:t>Structural</w:t>
      </w:r>
      <w:r w:rsidR="00395084" w:rsidRPr="00D6364F">
        <w:rPr>
          <w:rFonts w:ascii="Trebuchet MS" w:hAnsi="Trebuchet MS"/>
          <w:color w:val="000000" w:themeColor="text1"/>
          <w:sz w:val="22"/>
          <w:szCs w:val="22"/>
        </w:rPr>
        <w:t xml:space="preserve"> &amp; Chemical</w:t>
      </w:r>
      <w:r w:rsidRPr="00D6364F">
        <w:rPr>
          <w:rFonts w:ascii="Trebuchet MS" w:hAnsi="Trebuchet MS"/>
          <w:color w:val="000000" w:themeColor="text1"/>
          <w:sz w:val="22"/>
          <w:szCs w:val="22"/>
        </w:rPr>
        <w:t xml:space="preserve"> Biology</w:t>
      </w:r>
    </w:p>
    <w:p w14:paraId="41CC99FB" w14:textId="77777777" w:rsidR="00477098" w:rsidRPr="00D6364F" w:rsidRDefault="00477098"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Please find more information about these groups and their scientific membership on the Crick’s external website:</w:t>
      </w:r>
    </w:p>
    <w:p w14:paraId="6A41A9BE" w14:textId="3162064B" w:rsidR="008E758E" w:rsidRPr="00D6364F" w:rsidRDefault="00E21162" w:rsidP="008E758E">
      <w:pPr>
        <w:spacing w:before="120" w:after="120"/>
        <w:rPr>
          <w:rFonts w:ascii="Trebuchet MS" w:hAnsi="Trebuchet MS" w:cs="Times New Roman"/>
          <w:color w:val="000000" w:themeColor="text1"/>
          <w:sz w:val="22"/>
          <w:szCs w:val="22"/>
          <w:lang w:eastAsia="en-GB"/>
        </w:rPr>
      </w:pPr>
      <w:hyperlink r:id="rId7" w:history="1">
        <w:r w:rsidR="008E758E" w:rsidRPr="00D6364F">
          <w:rPr>
            <w:rStyle w:val="Hyperlink"/>
            <w:rFonts w:ascii="Trebuchet MS" w:hAnsi="Trebuchet MS" w:cs="Times New Roman"/>
            <w:color w:val="000000" w:themeColor="text1"/>
            <w:sz w:val="22"/>
            <w:szCs w:val="22"/>
            <w:lang w:eastAsia="en-GB"/>
          </w:rPr>
          <w:t>https://www.crick.ac.uk/research/seminars,-lectures-and-symposia/interest-group-seminars/</w:t>
        </w:r>
      </w:hyperlink>
    </w:p>
    <w:p w14:paraId="383409BD" w14:textId="77777777" w:rsidR="008E758E" w:rsidRPr="00D6364F" w:rsidRDefault="008E758E" w:rsidP="008E758E">
      <w:pPr>
        <w:spacing w:before="120" w:after="120"/>
        <w:rPr>
          <w:rFonts w:ascii="Trebuchet MS" w:hAnsi="Trebuchet MS" w:cs="Times New Roman"/>
          <w:color w:val="000000" w:themeColor="text1"/>
          <w:sz w:val="22"/>
          <w:szCs w:val="22"/>
          <w:lang w:eastAsia="en-GB"/>
        </w:rPr>
      </w:pPr>
    </w:p>
    <w:p w14:paraId="65ED48EA" w14:textId="7419D6E1" w:rsidR="00365B03" w:rsidRPr="00D6364F" w:rsidRDefault="00365B03" w:rsidP="008E758E">
      <w:pPr>
        <w:spacing w:before="120" w:after="120"/>
        <w:rPr>
          <w:rFonts w:ascii="Trebuchet MS" w:hAnsi="Trebuchet MS" w:cs="Times New Roman"/>
          <w:color w:val="000000" w:themeColor="text1"/>
          <w:sz w:val="22"/>
          <w:szCs w:val="22"/>
          <w:lang w:eastAsia="en-GB"/>
        </w:rPr>
      </w:pPr>
      <w:r w:rsidRPr="00D6364F">
        <w:rPr>
          <w:rFonts w:ascii="Trebuchet MS" w:eastAsia="Times New Roman" w:hAnsi="Trebuchet MS" w:cs="Times New Roman"/>
          <w:b/>
          <w:bCs/>
          <w:color w:val="000000" w:themeColor="text1"/>
          <w:sz w:val="22"/>
          <w:szCs w:val="22"/>
          <w:lang w:eastAsia="en-GB"/>
        </w:rPr>
        <w:t>Internal series, external series - what is the difference?</w:t>
      </w:r>
    </w:p>
    <w:p w14:paraId="5B131FA9" w14:textId="77777777"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There are two Interest Group series: internal and external.</w:t>
      </w:r>
    </w:p>
    <w:p w14:paraId="07B26A65" w14:textId="1F2B5CE8"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Internal seminar series are only advertised in-house and only open to Crick</w:t>
      </w:r>
      <w:r w:rsidR="00DD18AD" w:rsidRPr="00D6364F">
        <w:rPr>
          <w:rFonts w:ascii="Trebuchet MS" w:hAnsi="Trebuchet MS" w:cs="Times New Roman"/>
          <w:color w:val="000000" w:themeColor="text1"/>
          <w:sz w:val="22"/>
          <w:szCs w:val="22"/>
          <w:lang w:eastAsia="en-GB"/>
        </w:rPr>
        <w:t xml:space="preserve"> Interest Group</w:t>
      </w:r>
      <w:r w:rsidRPr="00D6364F">
        <w:rPr>
          <w:rFonts w:ascii="Trebuchet MS" w:hAnsi="Trebuchet MS" w:cs="Times New Roman"/>
          <w:color w:val="000000" w:themeColor="text1"/>
          <w:sz w:val="22"/>
          <w:szCs w:val="22"/>
          <w:lang w:eastAsia="en-GB"/>
        </w:rPr>
        <w:t xml:space="preserve"> </w:t>
      </w:r>
      <w:r w:rsidR="0086507F" w:rsidRPr="00D6364F">
        <w:rPr>
          <w:rFonts w:ascii="Trebuchet MS" w:hAnsi="Trebuchet MS" w:cs="Times New Roman"/>
          <w:color w:val="000000" w:themeColor="text1"/>
          <w:sz w:val="22"/>
          <w:szCs w:val="22"/>
          <w:lang w:eastAsia="en-GB"/>
        </w:rPr>
        <w:t xml:space="preserve">and Associate Interest Group </w:t>
      </w:r>
      <w:r w:rsidRPr="00D6364F">
        <w:rPr>
          <w:rFonts w:ascii="Trebuchet MS" w:hAnsi="Trebuchet MS" w:cs="Times New Roman"/>
          <w:color w:val="000000" w:themeColor="text1"/>
          <w:sz w:val="22"/>
          <w:szCs w:val="22"/>
          <w:lang w:eastAsia="en-GB"/>
        </w:rPr>
        <w:t>members. These seminars will involve the presentation of work in progress, where ideas and interpretation may not be fully formed, and where there i</w:t>
      </w:r>
      <w:r w:rsidR="00F051AD" w:rsidRPr="00D6364F">
        <w:rPr>
          <w:rFonts w:ascii="Trebuchet MS" w:hAnsi="Trebuchet MS" w:cs="Times New Roman"/>
          <w:color w:val="000000" w:themeColor="text1"/>
          <w:sz w:val="22"/>
          <w:szCs w:val="22"/>
          <w:lang w:eastAsia="en-GB"/>
        </w:rPr>
        <w:t>s a clear need for confidentialit</w:t>
      </w:r>
      <w:r w:rsidRPr="00D6364F">
        <w:rPr>
          <w:rFonts w:ascii="Trebuchet MS" w:hAnsi="Trebuchet MS" w:cs="Times New Roman"/>
          <w:color w:val="000000" w:themeColor="text1"/>
          <w:sz w:val="22"/>
          <w:szCs w:val="22"/>
          <w:lang w:eastAsia="en-GB"/>
        </w:rPr>
        <w:t>y amongst those attending. The Crick provides a unique and exciting opportunity for its researchers to share diverse knowledge and ideas at an early stage thereby promoting collaboration and accelerating discovery. Speakers in all the internal Interest Group series are PhD students, Postdocs and other lab members but not Group Leaders who speak in other series.</w:t>
      </w:r>
    </w:p>
    <w:p w14:paraId="62A8498E" w14:textId="77777777" w:rsidR="00365B03" w:rsidRPr="00D6364F" w:rsidRDefault="00365B03" w:rsidP="00365B03">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External seminars are open to a wider audience who will be able to see events on the external website or receive an update from the mailing lists. Speakers in the external Interest Group series are always external.</w:t>
      </w:r>
    </w:p>
    <w:p w14:paraId="7D9F4996" w14:textId="77777777" w:rsidR="00365B03" w:rsidRPr="00D6364F" w:rsidRDefault="00365B03" w:rsidP="00365B03">
      <w:pPr>
        <w:spacing w:before="450" w:after="150"/>
        <w:outlineLvl w:val="2"/>
        <w:rPr>
          <w:rFonts w:ascii="Trebuchet MS" w:eastAsia="Times New Roman" w:hAnsi="Trebuchet MS" w:cs="Times New Roman"/>
          <w:color w:val="000000" w:themeColor="text1"/>
          <w:sz w:val="22"/>
          <w:szCs w:val="22"/>
          <w:lang w:eastAsia="en-GB"/>
        </w:rPr>
      </w:pPr>
      <w:r w:rsidRPr="00D6364F">
        <w:rPr>
          <w:rFonts w:ascii="Trebuchet MS" w:eastAsia="Times New Roman" w:hAnsi="Trebuchet MS" w:cs="Times New Roman"/>
          <w:b/>
          <w:bCs/>
          <w:color w:val="000000" w:themeColor="text1"/>
          <w:sz w:val="22"/>
          <w:szCs w:val="22"/>
          <w:lang w:eastAsia="en-GB"/>
        </w:rPr>
        <w:lastRenderedPageBreak/>
        <w:t>Training benefits</w:t>
      </w:r>
    </w:p>
    <w:p w14:paraId="57834239" w14:textId="38663A0A" w:rsidR="00D6364F" w:rsidRDefault="00365B03" w:rsidP="00D6364F">
      <w:pPr>
        <w:spacing w:before="120" w:after="120"/>
        <w:rPr>
          <w:rFonts w:ascii="Trebuchet MS" w:hAnsi="Trebuchet MS" w:cs="Times New Roman"/>
          <w:color w:val="000000" w:themeColor="text1"/>
          <w:sz w:val="22"/>
          <w:szCs w:val="22"/>
          <w:lang w:eastAsia="en-GB"/>
        </w:rPr>
      </w:pPr>
      <w:r w:rsidRPr="00D6364F">
        <w:rPr>
          <w:rFonts w:ascii="Trebuchet MS" w:hAnsi="Trebuchet MS" w:cs="Times New Roman"/>
          <w:color w:val="000000" w:themeColor="text1"/>
          <w:sz w:val="22"/>
          <w:szCs w:val="22"/>
          <w:lang w:eastAsia="en-GB"/>
        </w:rPr>
        <w:t xml:space="preserve">A major purpose of the internal Interest Group talks is to provide training for PhD students and Postdocs, who should give talks in one of the series, as advised by their Group Leader. The minimum number of talks per PhD student is </w:t>
      </w:r>
      <w:r w:rsidR="00B94C8F">
        <w:rPr>
          <w:rFonts w:ascii="Trebuchet MS" w:hAnsi="Trebuchet MS" w:cs="Times New Roman"/>
          <w:color w:val="000000" w:themeColor="text1"/>
          <w:sz w:val="22"/>
          <w:szCs w:val="22"/>
          <w:lang w:eastAsia="en-GB"/>
        </w:rPr>
        <w:t>one</w:t>
      </w:r>
      <w:bookmarkStart w:id="0" w:name="_GoBack"/>
      <w:bookmarkEnd w:id="0"/>
      <w:r w:rsidRPr="00D6364F">
        <w:rPr>
          <w:rFonts w:ascii="Trebuchet MS" w:hAnsi="Trebuchet MS" w:cs="Times New Roman"/>
          <w:color w:val="000000" w:themeColor="text1"/>
          <w:sz w:val="22"/>
          <w:szCs w:val="22"/>
          <w:lang w:eastAsia="en-GB"/>
        </w:rPr>
        <w:t xml:space="preserve"> talk early in their 3rd year and their exit seminar, which coincides with their PhD viva. Postdocs are expected to present at least once every 2 years.</w:t>
      </w:r>
    </w:p>
    <w:p w14:paraId="67E27E60" w14:textId="77777777" w:rsidR="00D6364F" w:rsidRPr="00D6364F" w:rsidRDefault="00D6364F" w:rsidP="00D6364F">
      <w:pPr>
        <w:spacing w:before="120" w:after="120"/>
        <w:rPr>
          <w:rFonts w:ascii="Trebuchet MS" w:hAnsi="Trebuchet MS" w:cs="Times New Roman"/>
          <w:color w:val="000000" w:themeColor="text1"/>
          <w:sz w:val="22"/>
          <w:szCs w:val="22"/>
          <w:lang w:eastAsia="en-GB"/>
        </w:rPr>
      </w:pPr>
    </w:p>
    <w:p w14:paraId="6443EA88" w14:textId="3DE6BA3B" w:rsidR="00D6364F" w:rsidRPr="00D6364F" w:rsidRDefault="00D6364F" w:rsidP="00D6364F">
      <w:pPr>
        <w:spacing w:before="120" w:after="120"/>
        <w:rPr>
          <w:rFonts w:ascii="Trebuchet MS" w:hAnsi="Trebuchet MS" w:cs="Times New Roman"/>
          <w:b/>
          <w:bCs/>
          <w:color w:val="000000" w:themeColor="text1"/>
          <w:sz w:val="22"/>
          <w:szCs w:val="22"/>
          <w:lang w:eastAsia="en-GB"/>
        </w:rPr>
      </w:pPr>
      <w:r w:rsidRPr="00D6364F">
        <w:rPr>
          <w:rFonts w:ascii="Trebuchet MS" w:hAnsi="Trebuchet MS"/>
          <w:b/>
          <w:bCs/>
          <w:color w:val="000000" w:themeColor="text1"/>
          <w:sz w:val="22"/>
          <w:szCs w:val="22"/>
        </w:rPr>
        <w:t xml:space="preserve">Application Guidelines - </w:t>
      </w:r>
      <w:r w:rsidRPr="00EB66F7">
        <w:rPr>
          <w:rFonts w:ascii="Trebuchet MS" w:hAnsi="Trebuchet MS"/>
          <w:b/>
          <w:bCs/>
          <w:color w:val="000000" w:themeColor="text1"/>
          <w:sz w:val="22"/>
          <w:szCs w:val="22"/>
        </w:rPr>
        <w:t>Associate membership of Interest Groups 2020 scheme:</w:t>
      </w:r>
    </w:p>
    <w:p w14:paraId="1C895633" w14:textId="77777777" w:rsidR="00D6364F" w:rsidRPr="00D6364F" w:rsidRDefault="00D6364F" w:rsidP="00D6364F">
      <w:pPr>
        <w:rPr>
          <w:rFonts w:ascii="Trebuchet MS" w:hAnsi="Trebuchet MS"/>
          <w:color w:val="000000" w:themeColor="text1"/>
          <w:sz w:val="22"/>
          <w:szCs w:val="22"/>
        </w:rPr>
      </w:pPr>
    </w:p>
    <w:p w14:paraId="729BCE14" w14:textId="7BF4AD36" w:rsidR="00D6364F" w:rsidRPr="00D6364F" w:rsidRDefault="00D6364F" w:rsidP="00D6364F">
      <w:pPr>
        <w:pStyle w:val="ListParagraph"/>
        <w:numPr>
          <w:ilvl w:val="0"/>
          <w:numId w:val="2"/>
        </w:numPr>
        <w:autoSpaceDE w:val="0"/>
        <w:autoSpaceDN w:val="0"/>
        <w:adjustRightInd w:val="0"/>
        <w:rPr>
          <w:rFonts w:ascii="Trebuchet MS" w:eastAsia="Times New Roman" w:hAnsi="Trebuchet MS"/>
          <w:color w:val="000000" w:themeColor="text1"/>
          <w:sz w:val="22"/>
          <w:szCs w:val="22"/>
        </w:rPr>
      </w:pPr>
      <w:r w:rsidRPr="00D6364F">
        <w:rPr>
          <w:rFonts w:ascii="Trebuchet MS" w:hAnsi="Trebuchet MS" w:cs="Times New Roman"/>
          <w:color w:val="000000" w:themeColor="text1"/>
          <w:sz w:val="22"/>
          <w:szCs w:val="22"/>
        </w:rPr>
        <w:t xml:space="preserve">In applying for this </w:t>
      </w:r>
      <w:proofErr w:type="gramStart"/>
      <w:r w:rsidRPr="00D6364F">
        <w:rPr>
          <w:rFonts w:ascii="Trebuchet MS" w:hAnsi="Trebuchet MS" w:cs="Times New Roman"/>
          <w:color w:val="000000" w:themeColor="text1"/>
          <w:sz w:val="22"/>
          <w:szCs w:val="22"/>
        </w:rPr>
        <w:t>scheme</w:t>
      </w:r>
      <w:proofErr w:type="gramEnd"/>
      <w:r w:rsidRPr="00D6364F">
        <w:rPr>
          <w:rFonts w:ascii="Trebuchet MS" w:hAnsi="Trebuchet MS" w:cs="Times New Roman"/>
          <w:color w:val="000000" w:themeColor="text1"/>
          <w:sz w:val="22"/>
          <w:szCs w:val="22"/>
        </w:rPr>
        <w:t xml:space="preserve"> you are applying to become an</w:t>
      </w:r>
      <w:r w:rsidRPr="00D6364F">
        <w:rPr>
          <w:rFonts w:ascii="Trebuchet MS" w:eastAsia="Times New Roman" w:hAnsi="Trebuchet MS"/>
          <w:color w:val="000000" w:themeColor="text1"/>
          <w:sz w:val="22"/>
          <w:szCs w:val="22"/>
        </w:rPr>
        <w:t xml:space="preserve"> Associate Member </w:t>
      </w:r>
      <w:r>
        <w:rPr>
          <w:rFonts w:ascii="Trebuchet MS" w:eastAsia="Times New Roman" w:hAnsi="Trebuchet MS"/>
          <w:color w:val="000000" w:themeColor="text1"/>
          <w:sz w:val="22"/>
          <w:szCs w:val="22"/>
        </w:rPr>
        <w:t xml:space="preserve">of </w:t>
      </w:r>
      <w:r w:rsidRPr="00D6364F">
        <w:rPr>
          <w:rFonts w:ascii="Trebuchet MS" w:eastAsia="Times New Roman" w:hAnsi="Trebuchet MS"/>
          <w:b/>
          <w:bCs/>
          <w:color w:val="000000" w:themeColor="text1"/>
          <w:sz w:val="22"/>
          <w:szCs w:val="22"/>
        </w:rPr>
        <w:t>one</w:t>
      </w:r>
      <w:r>
        <w:rPr>
          <w:rFonts w:ascii="Trebuchet MS" w:eastAsia="Times New Roman" w:hAnsi="Trebuchet MS"/>
          <w:color w:val="000000" w:themeColor="text1"/>
          <w:sz w:val="22"/>
          <w:szCs w:val="22"/>
        </w:rPr>
        <w:t xml:space="preserve"> </w:t>
      </w:r>
      <w:r w:rsidRPr="00D6364F">
        <w:rPr>
          <w:rFonts w:ascii="Trebuchet MS" w:eastAsia="Times New Roman" w:hAnsi="Trebuchet MS"/>
          <w:color w:val="000000" w:themeColor="text1"/>
          <w:sz w:val="22"/>
          <w:szCs w:val="22"/>
        </w:rPr>
        <w:t xml:space="preserve">of the </w:t>
      </w:r>
      <w:r>
        <w:rPr>
          <w:rFonts w:ascii="Trebuchet MS" w:eastAsia="Times New Roman" w:hAnsi="Trebuchet MS"/>
          <w:color w:val="000000" w:themeColor="text1"/>
          <w:sz w:val="22"/>
          <w:szCs w:val="22"/>
        </w:rPr>
        <w:t xml:space="preserve">eight </w:t>
      </w:r>
      <w:r w:rsidRPr="00D6364F">
        <w:rPr>
          <w:rFonts w:ascii="Trebuchet MS" w:eastAsia="Times New Roman" w:hAnsi="Trebuchet MS"/>
          <w:color w:val="000000" w:themeColor="text1"/>
          <w:sz w:val="22"/>
          <w:szCs w:val="22"/>
        </w:rPr>
        <w:t>Crick Interest Group</w:t>
      </w:r>
      <w:r>
        <w:rPr>
          <w:rFonts w:ascii="Trebuchet MS" w:eastAsia="Times New Roman" w:hAnsi="Trebuchet MS"/>
          <w:color w:val="000000" w:themeColor="text1"/>
          <w:sz w:val="22"/>
          <w:szCs w:val="22"/>
        </w:rPr>
        <w:t>s (see above)</w:t>
      </w:r>
      <w:r w:rsidRPr="00D6364F">
        <w:rPr>
          <w:rFonts w:ascii="Trebuchet MS" w:eastAsia="Times New Roman" w:hAnsi="Trebuchet MS"/>
          <w:color w:val="000000" w:themeColor="text1"/>
          <w:sz w:val="22"/>
          <w:szCs w:val="22"/>
        </w:rPr>
        <w:t>. You will become an Interest Group member together with up to two members of your group (students or early-stage post-docs) whose work most closely aligns with those of the Crick researchers.</w:t>
      </w:r>
      <w:r>
        <w:rPr>
          <w:rFonts w:ascii="Trebuchet MS" w:eastAsia="Times New Roman" w:hAnsi="Trebuchet MS"/>
          <w:color w:val="000000" w:themeColor="text1"/>
          <w:sz w:val="22"/>
          <w:szCs w:val="22"/>
        </w:rPr>
        <w:t xml:space="preserve"> These lab members will be expected to present their research in the Interest Group Internal series.</w:t>
      </w:r>
    </w:p>
    <w:p w14:paraId="5E3DD40B" w14:textId="7C116E31" w:rsidR="00D6364F" w:rsidRPr="00D6364F" w:rsidRDefault="00D6364F" w:rsidP="00D6364F">
      <w:pPr>
        <w:pStyle w:val="ListParagraph"/>
        <w:numPr>
          <w:ilvl w:val="0"/>
          <w:numId w:val="2"/>
        </w:numPr>
        <w:autoSpaceDE w:val="0"/>
        <w:autoSpaceDN w:val="0"/>
        <w:adjustRightInd w:val="0"/>
        <w:rPr>
          <w:rFonts w:ascii="Trebuchet MS" w:eastAsia="Times New Roman" w:hAnsi="Trebuchet MS"/>
          <w:color w:val="000000" w:themeColor="text1"/>
          <w:sz w:val="22"/>
          <w:szCs w:val="22"/>
        </w:rPr>
      </w:pPr>
      <w:r w:rsidRPr="00D6364F">
        <w:rPr>
          <w:rFonts w:ascii="Trebuchet MS" w:eastAsia="Times New Roman" w:hAnsi="Trebuchet MS"/>
          <w:color w:val="000000" w:themeColor="text1"/>
          <w:sz w:val="22"/>
          <w:szCs w:val="22"/>
        </w:rPr>
        <w:t xml:space="preserve">Full participation is necessary so if neither you </w:t>
      </w:r>
      <w:proofErr w:type="gramStart"/>
      <w:r w:rsidRPr="00D6364F">
        <w:rPr>
          <w:rFonts w:ascii="Trebuchet MS" w:eastAsia="Times New Roman" w:hAnsi="Trebuchet MS"/>
          <w:color w:val="000000" w:themeColor="text1"/>
          <w:sz w:val="22"/>
          <w:szCs w:val="22"/>
        </w:rPr>
        <w:t>or</w:t>
      </w:r>
      <w:proofErr w:type="gramEnd"/>
      <w:r w:rsidRPr="00D6364F">
        <w:rPr>
          <w:rFonts w:ascii="Trebuchet MS" w:eastAsia="Times New Roman" w:hAnsi="Trebuchet MS"/>
          <w:color w:val="000000" w:themeColor="text1"/>
          <w:sz w:val="22"/>
          <w:szCs w:val="22"/>
        </w:rPr>
        <w:t xml:space="preserve"> your lab members attend the seminars your Membership would lapse. </w:t>
      </w:r>
    </w:p>
    <w:p w14:paraId="04FC90BA" w14:textId="77777777" w:rsidR="00D6364F" w:rsidRPr="00D6364F" w:rsidRDefault="00D6364F" w:rsidP="00D6364F">
      <w:pPr>
        <w:pStyle w:val="ListParagraph"/>
        <w:numPr>
          <w:ilvl w:val="0"/>
          <w:numId w:val="2"/>
        </w:numPr>
        <w:spacing w:after="120"/>
        <w:jc w:val="both"/>
        <w:rPr>
          <w:rFonts w:ascii="Trebuchet MS" w:eastAsia="Times New Roman" w:hAnsi="Trebuchet MS"/>
          <w:color w:val="000000" w:themeColor="text1"/>
          <w:sz w:val="22"/>
          <w:szCs w:val="22"/>
        </w:rPr>
      </w:pPr>
      <w:r w:rsidRPr="00D6364F">
        <w:rPr>
          <w:rFonts w:ascii="Trebuchet MS" w:eastAsia="Times New Roman" w:hAnsi="Trebuchet MS"/>
          <w:color w:val="000000" w:themeColor="text1"/>
          <w:sz w:val="22"/>
          <w:szCs w:val="22"/>
        </w:rPr>
        <w:t xml:space="preserve">The initiative is open to Crick Partner Universities and may be extended to some members from other Institutions who have made a scientific commitment to work with the Crick. </w:t>
      </w:r>
    </w:p>
    <w:p w14:paraId="2E696051" w14:textId="4E4D1B2B" w:rsidR="00925987" w:rsidRDefault="00D6364F" w:rsidP="00D6364F">
      <w:pPr>
        <w:pStyle w:val="ListParagraph"/>
        <w:numPr>
          <w:ilvl w:val="0"/>
          <w:numId w:val="2"/>
        </w:numPr>
        <w:spacing w:after="120"/>
        <w:jc w:val="both"/>
        <w:rPr>
          <w:rFonts w:ascii="Trebuchet MS" w:eastAsia="Times New Roman" w:hAnsi="Trebuchet MS"/>
          <w:color w:val="000000" w:themeColor="text1"/>
          <w:sz w:val="22"/>
          <w:szCs w:val="22"/>
        </w:rPr>
      </w:pPr>
      <w:r>
        <w:rPr>
          <w:rFonts w:ascii="Trebuchet MS" w:eastAsia="Times New Roman" w:hAnsi="Trebuchet MS"/>
          <w:color w:val="000000" w:themeColor="text1"/>
          <w:sz w:val="22"/>
          <w:szCs w:val="22"/>
        </w:rPr>
        <w:t>Applications from</w:t>
      </w:r>
      <w:r w:rsidRPr="00D6364F">
        <w:rPr>
          <w:rFonts w:ascii="Trebuchet MS" w:eastAsia="Times New Roman" w:hAnsi="Trebuchet MS"/>
          <w:color w:val="000000" w:themeColor="text1"/>
          <w:sz w:val="22"/>
          <w:szCs w:val="22"/>
        </w:rPr>
        <w:t xml:space="preserve"> Partner University </w:t>
      </w:r>
      <w:r>
        <w:rPr>
          <w:rFonts w:ascii="Trebuchet MS" w:eastAsia="Times New Roman" w:hAnsi="Trebuchet MS"/>
          <w:color w:val="000000" w:themeColor="text1"/>
          <w:sz w:val="22"/>
          <w:szCs w:val="22"/>
        </w:rPr>
        <w:t xml:space="preserve">PIs </w:t>
      </w:r>
      <w:r w:rsidRPr="00D6364F">
        <w:rPr>
          <w:rFonts w:ascii="Trebuchet MS" w:eastAsia="Times New Roman" w:hAnsi="Trebuchet MS"/>
          <w:color w:val="000000" w:themeColor="text1"/>
          <w:sz w:val="22"/>
          <w:szCs w:val="22"/>
        </w:rPr>
        <w:t xml:space="preserve">should be seconded by a </w:t>
      </w:r>
      <w:r>
        <w:rPr>
          <w:rFonts w:ascii="Trebuchet MS" w:eastAsia="Times New Roman" w:hAnsi="Trebuchet MS"/>
          <w:color w:val="000000" w:themeColor="text1"/>
          <w:sz w:val="22"/>
          <w:szCs w:val="22"/>
        </w:rPr>
        <w:t xml:space="preserve">Crick </w:t>
      </w:r>
      <w:r w:rsidRPr="00D6364F">
        <w:rPr>
          <w:rFonts w:ascii="Trebuchet MS" w:eastAsia="Times New Roman" w:hAnsi="Trebuchet MS"/>
          <w:color w:val="000000" w:themeColor="text1"/>
          <w:sz w:val="22"/>
          <w:szCs w:val="22"/>
        </w:rPr>
        <w:t xml:space="preserve">Group Leader and supported by a short a statement (approx. 200 words) indicating the </w:t>
      </w:r>
      <w:r>
        <w:rPr>
          <w:rFonts w:ascii="Trebuchet MS" w:eastAsia="Times New Roman" w:hAnsi="Trebuchet MS"/>
          <w:color w:val="000000" w:themeColor="text1"/>
          <w:sz w:val="22"/>
          <w:szCs w:val="22"/>
        </w:rPr>
        <w:t>applicant</w:t>
      </w:r>
      <w:r w:rsidRPr="00D6364F">
        <w:rPr>
          <w:rFonts w:ascii="Trebuchet MS" w:eastAsia="Times New Roman" w:hAnsi="Trebuchet MS"/>
          <w:color w:val="000000" w:themeColor="text1"/>
          <w:sz w:val="22"/>
          <w:szCs w:val="22"/>
        </w:rPr>
        <w:t xml:space="preserve">’s interest and what they would bring to the Interest Group(s) that they wish to join </w:t>
      </w:r>
      <w:r w:rsidR="00925987">
        <w:rPr>
          <w:rFonts w:ascii="Trebuchet MS" w:eastAsia="Times New Roman" w:hAnsi="Trebuchet MS"/>
          <w:color w:val="000000" w:themeColor="text1"/>
          <w:sz w:val="22"/>
          <w:szCs w:val="22"/>
        </w:rPr>
        <w:t xml:space="preserve">and three exemplar publications (see application form). </w:t>
      </w:r>
    </w:p>
    <w:p w14:paraId="6848E42B" w14:textId="1BA0DD6B" w:rsidR="00D6364F" w:rsidRPr="00D6364F" w:rsidRDefault="00D6364F" w:rsidP="00D6364F">
      <w:pPr>
        <w:pStyle w:val="ListParagraph"/>
        <w:numPr>
          <w:ilvl w:val="0"/>
          <w:numId w:val="2"/>
        </w:numPr>
        <w:spacing w:after="120"/>
        <w:jc w:val="both"/>
        <w:rPr>
          <w:rFonts w:ascii="Trebuchet MS" w:eastAsia="Times New Roman" w:hAnsi="Trebuchet MS"/>
          <w:color w:val="000000" w:themeColor="text1"/>
          <w:sz w:val="22"/>
          <w:szCs w:val="22"/>
        </w:rPr>
      </w:pPr>
      <w:r w:rsidRPr="00D6364F">
        <w:rPr>
          <w:rFonts w:ascii="Trebuchet MS" w:eastAsia="Times New Roman" w:hAnsi="Trebuchet MS"/>
          <w:color w:val="000000" w:themeColor="text1"/>
          <w:sz w:val="22"/>
          <w:szCs w:val="22"/>
        </w:rPr>
        <w:t>Upon acceptance, this material will be used to inform the Interest Group of the new members’ interests.</w:t>
      </w:r>
    </w:p>
    <w:p w14:paraId="4F663317" w14:textId="38434D9F" w:rsidR="00D6364F" w:rsidRPr="00D6364F" w:rsidRDefault="00D6364F" w:rsidP="00D6364F">
      <w:pPr>
        <w:pStyle w:val="ListParagraph"/>
        <w:numPr>
          <w:ilvl w:val="0"/>
          <w:numId w:val="2"/>
        </w:numPr>
        <w:spacing w:after="120"/>
        <w:jc w:val="both"/>
        <w:rPr>
          <w:rFonts w:ascii="Trebuchet MS" w:eastAsia="Times New Roman" w:hAnsi="Trebuchet MS"/>
          <w:color w:val="000000" w:themeColor="text1"/>
          <w:sz w:val="22"/>
          <w:szCs w:val="22"/>
        </w:rPr>
      </w:pPr>
      <w:r w:rsidRPr="00D6364F">
        <w:rPr>
          <w:rFonts w:ascii="Trebuchet MS" w:eastAsia="Times New Roman" w:hAnsi="Trebuchet MS"/>
          <w:color w:val="000000" w:themeColor="text1"/>
          <w:sz w:val="22"/>
          <w:szCs w:val="22"/>
        </w:rPr>
        <w:t>In the event that applications are oversubscribed or any other potential conflict arises that cannot be resolved between the Interest Group Leader and the Partnership Manager, then a small committee (Andreas Schaefer, Malcolm Irving, Peter Ratcliffe, the Partnership Manager and the Interest Group Leader) will meet to define the best way to proceed.</w:t>
      </w:r>
    </w:p>
    <w:p w14:paraId="1EC2E1A8" w14:textId="5360F54D" w:rsidR="00D6364F" w:rsidRDefault="00D6364F" w:rsidP="00D6364F">
      <w:pPr>
        <w:pStyle w:val="ListParagraph"/>
        <w:numPr>
          <w:ilvl w:val="0"/>
          <w:numId w:val="2"/>
        </w:numPr>
        <w:spacing w:after="120"/>
        <w:jc w:val="both"/>
        <w:rPr>
          <w:rFonts w:ascii="Trebuchet MS" w:eastAsia="Times New Roman" w:hAnsi="Trebuchet MS"/>
          <w:color w:val="000000" w:themeColor="text1"/>
          <w:sz w:val="22"/>
          <w:szCs w:val="22"/>
        </w:rPr>
      </w:pPr>
      <w:r w:rsidRPr="00D6364F">
        <w:rPr>
          <w:rFonts w:ascii="Trebuchet MS" w:eastAsia="Times New Roman" w:hAnsi="Trebuchet MS"/>
          <w:color w:val="000000" w:themeColor="text1"/>
          <w:sz w:val="22"/>
          <w:szCs w:val="22"/>
        </w:rPr>
        <w:t>Since Interest Group Membership necessarily entails the privilege and responsib</w:t>
      </w:r>
      <w:r>
        <w:rPr>
          <w:rFonts w:ascii="Trebuchet MS" w:eastAsia="Times New Roman" w:hAnsi="Trebuchet MS"/>
          <w:color w:val="000000" w:themeColor="text1"/>
          <w:sz w:val="22"/>
          <w:szCs w:val="22"/>
        </w:rPr>
        <w:t xml:space="preserve">ility </w:t>
      </w:r>
      <w:r w:rsidRPr="00D6364F">
        <w:rPr>
          <w:rFonts w:ascii="Trebuchet MS" w:eastAsia="Times New Roman" w:hAnsi="Trebuchet MS"/>
          <w:color w:val="000000" w:themeColor="text1"/>
          <w:sz w:val="22"/>
          <w:szCs w:val="22"/>
        </w:rPr>
        <w:t xml:space="preserve">of hearing unpublished work in </w:t>
      </w:r>
      <w:proofErr w:type="gramStart"/>
      <w:r w:rsidRPr="00D6364F">
        <w:rPr>
          <w:rFonts w:ascii="Trebuchet MS" w:eastAsia="Times New Roman" w:hAnsi="Trebuchet MS"/>
          <w:color w:val="000000" w:themeColor="text1"/>
          <w:sz w:val="22"/>
          <w:szCs w:val="22"/>
        </w:rPr>
        <w:t>progress</w:t>
      </w:r>
      <w:proofErr w:type="gramEnd"/>
      <w:r w:rsidRPr="00D6364F">
        <w:rPr>
          <w:rFonts w:ascii="Trebuchet MS" w:eastAsia="Times New Roman" w:hAnsi="Trebuchet MS"/>
          <w:color w:val="000000" w:themeColor="text1"/>
          <w:sz w:val="22"/>
          <w:szCs w:val="22"/>
        </w:rPr>
        <w:t xml:space="preserve"> we consider it equitable that the Interest Group </w:t>
      </w:r>
      <w:r>
        <w:rPr>
          <w:rFonts w:ascii="Trebuchet MS" w:eastAsia="Times New Roman" w:hAnsi="Trebuchet MS"/>
          <w:color w:val="000000" w:themeColor="text1"/>
          <w:sz w:val="22"/>
          <w:szCs w:val="22"/>
        </w:rPr>
        <w:t xml:space="preserve">co-organiser </w:t>
      </w:r>
      <w:r w:rsidRPr="00D6364F">
        <w:rPr>
          <w:rFonts w:ascii="Trebuchet MS" w:eastAsia="Times New Roman" w:hAnsi="Trebuchet MS"/>
          <w:color w:val="000000" w:themeColor="text1"/>
          <w:sz w:val="22"/>
          <w:szCs w:val="22"/>
        </w:rPr>
        <w:t xml:space="preserve">should maintain </w:t>
      </w:r>
      <w:r>
        <w:rPr>
          <w:rFonts w:ascii="Trebuchet MS" w:eastAsia="Times New Roman" w:hAnsi="Trebuchet MS"/>
          <w:color w:val="000000" w:themeColor="text1"/>
          <w:sz w:val="22"/>
          <w:szCs w:val="22"/>
        </w:rPr>
        <w:t>the</w:t>
      </w:r>
      <w:r w:rsidRPr="00D6364F">
        <w:rPr>
          <w:rFonts w:ascii="Trebuchet MS" w:eastAsia="Times New Roman" w:hAnsi="Trebuchet MS"/>
          <w:color w:val="000000" w:themeColor="text1"/>
          <w:sz w:val="22"/>
          <w:szCs w:val="22"/>
        </w:rPr>
        <w:t xml:space="preserve"> right </w:t>
      </w:r>
      <w:r>
        <w:rPr>
          <w:rFonts w:ascii="Trebuchet MS" w:eastAsia="Times New Roman" w:hAnsi="Trebuchet MS"/>
          <w:color w:val="000000" w:themeColor="text1"/>
          <w:sz w:val="22"/>
          <w:szCs w:val="22"/>
        </w:rPr>
        <w:t>to not</w:t>
      </w:r>
      <w:r w:rsidRPr="00D6364F">
        <w:rPr>
          <w:rFonts w:ascii="Trebuchet MS" w:eastAsia="Times New Roman" w:hAnsi="Trebuchet MS"/>
          <w:color w:val="000000" w:themeColor="text1"/>
          <w:sz w:val="22"/>
          <w:szCs w:val="22"/>
        </w:rPr>
        <w:t xml:space="preserve"> accept </w:t>
      </w:r>
      <w:r>
        <w:rPr>
          <w:rFonts w:ascii="Trebuchet MS" w:eastAsia="Times New Roman" w:hAnsi="Trebuchet MS"/>
          <w:color w:val="000000" w:themeColor="text1"/>
          <w:sz w:val="22"/>
          <w:szCs w:val="22"/>
        </w:rPr>
        <w:t xml:space="preserve">a </w:t>
      </w:r>
      <w:r w:rsidRPr="00D6364F">
        <w:rPr>
          <w:rFonts w:ascii="Trebuchet MS" w:eastAsia="Times New Roman" w:hAnsi="Trebuchet MS"/>
          <w:color w:val="000000" w:themeColor="text1"/>
          <w:sz w:val="22"/>
          <w:szCs w:val="22"/>
        </w:rPr>
        <w:t>m</w:t>
      </w:r>
      <w:r>
        <w:rPr>
          <w:rFonts w:ascii="Trebuchet MS" w:eastAsia="Times New Roman" w:hAnsi="Trebuchet MS"/>
          <w:color w:val="000000" w:themeColor="text1"/>
          <w:sz w:val="22"/>
          <w:szCs w:val="22"/>
        </w:rPr>
        <w:t xml:space="preserve">embership application for reasons of conflict of interest. </w:t>
      </w:r>
    </w:p>
    <w:p w14:paraId="6016C301" w14:textId="77777777" w:rsidR="00D6364F" w:rsidRPr="00D6364F" w:rsidRDefault="00D6364F" w:rsidP="008E758E">
      <w:pPr>
        <w:spacing w:before="120" w:after="120"/>
        <w:rPr>
          <w:rFonts w:ascii="Trebuchet MS" w:hAnsi="Trebuchet MS" w:cs="Times New Roman"/>
          <w:color w:val="000000" w:themeColor="text1"/>
          <w:sz w:val="22"/>
          <w:szCs w:val="22"/>
          <w:lang w:eastAsia="en-GB"/>
        </w:rPr>
      </w:pPr>
    </w:p>
    <w:p w14:paraId="02D83D56" w14:textId="73B8332F" w:rsidR="00DA6A58" w:rsidRPr="00D6364F" w:rsidRDefault="00DA6A58" w:rsidP="00D35CA0">
      <w:pPr>
        <w:rPr>
          <w:rFonts w:ascii="Trebuchet MS" w:hAnsi="Trebuchet MS" w:cs="Times New Roman"/>
          <w:color w:val="000000" w:themeColor="text1"/>
          <w:sz w:val="22"/>
          <w:szCs w:val="22"/>
          <w:lang w:eastAsia="en-GB"/>
        </w:rPr>
      </w:pPr>
    </w:p>
    <w:sectPr w:rsidR="00DA6A58" w:rsidRPr="00D6364F" w:rsidSect="00D6364F">
      <w:headerReference w:type="default" r:id="rId8"/>
      <w:pgSz w:w="11900" w:h="16840"/>
      <w:pgMar w:top="2392" w:right="1080" w:bottom="78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AC40" w14:textId="77777777" w:rsidR="00E21162" w:rsidRDefault="00E21162" w:rsidP="008E758E">
      <w:r>
        <w:separator/>
      </w:r>
    </w:p>
  </w:endnote>
  <w:endnote w:type="continuationSeparator" w:id="0">
    <w:p w14:paraId="184D4C4F" w14:textId="77777777" w:rsidR="00E21162" w:rsidRDefault="00E21162" w:rsidP="008E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BF1F" w14:textId="77777777" w:rsidR="00E21162" w:rsidRDefault="00E21162" w:rsidP="008E758E">
      <w:r>
        <w:separator/>
      </w:r>
    </w:p>
  </w:footnote>
  <w:footnote w:type="continuationSeparator" w:id="0">
    <w:p w14:paraId="0DEB3ED8" w14:textId="77777777" w:rsidR="00E21162" w:rsidRDefault="00E21162" w:rsidP="008E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0959" w14:textId="6ABE3724" w:rsidR="008E758E" w:rsidRDefault="008E758E" w:rsidP="008E758E">
    <w:pPr>
      <w:pStyle w:val="Header"/>
      <w:jc w:val="right"/>
    </w:pPr>
    <w:r>
      <w:rPr>
        <w:rFonts w:cs="Times New Roman"/>
        <w:noProof/>
        <w:lang w:eastAsia="en-GB"/>
      </w:rPr>
      <w:drawing>
        <wp:anchor distT="0" distB="0" distL="114300" distR="114300" simplePos="0" relativeHeight="251658240" behindDoc="1" locked="0" layoutInCell="1" allowOverlap="1" wp14:anchorId="27B5E178" wp14:editId="42CC2C27">
          <wp:simplePos x="0" y="0"/>
          <wp:positionH relativeFrom="column">
            <wp:posOffset>4510405</wp:posOffset>
          </wp:positionH>
          <wp:positionV relativeFrom="paragraph">
            <wp:posOffset>-220980</wp:posOffset>
          </wp:positionV>
          <wp:extent cx="1435100" cy="1371600"/>
          <wp:effectExtent l="0" t="0" r="12700" b="0"/>
          <wp:wrapNone/>
          <wp:docPr id="1" name="Picture 1" descr="escription: Description: Description: Letterhead_F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iption: Description: Description: Letterhead_FCI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414"/>
    <w:multiLevelType w:val="hybridMultilevel"/>
    <w:tmpl w:val="F85C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52167"/>
    <w:multiLevelType w:val="hybridMultilevel"/>
    <w:tmpl w:val="42F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03"/>
    <w:rsid w:val="00017E9D"/>
    <w:rsid w:val="00036AA4"/>
    <w:rsid w:val="000A51B8"/>
    <w:rsid w:val="00112B0D"/>
    <w:rsid w:val="00121167"/>
    <w:rsid w:val="001903EA"/>
    <w:rsid w:val="00195F0F"/>
    <w:rsid w:val="001E2C7D"/>
    <w:rsid w:val="001F367B"/>
    <w:rsid w:val="00227FAB"/>
    <w:rsid w:val="00253B49"/>
    <w:rsid w:val="00281E0C"/>
    <w:rsid w:val="002E4D24"/>
    <w:rsid w:val="00365B03"/>
    <w:rsid w:val="00395084"/>
    <w:rsid w:val="004210E1"/>
    <w:rsid w:val="00477098"/>
    <w:rsid w:val="004E3F94"/>
    <w:rsid w:val="005056DD"/>
    <w:rsid w:val="0051626F"/>
    <w:rsid w:val="00534C4C"/>
    <w:rsid w:val="005A666A"/>
    <w:rsid w:val="00607253"/>
    <w:rsid w:val="00620B69"/>
    <w:rsid w:val="00630CE8"/>
    <w:rsid w:val="006805AB"/>
    <w:rsid w:val="00686D49"/>
    <w:rsid w:val="006C5C3B"/>
    <w:rsid w:val="007157D9"/>
    <w:rsid w:val="007210BD"/>
    <w:rsid w:val="007F2AE2"/>
    <w:rsid w:val="008173F7"/>
    <w:rsid w:val="008262BD"/>
    <w:rsid w:val="008415F9"/>
    <w:rsid w:val="0086507F"/>
    <w:rsid w:val="008A747F"/>
    <w:rsid w:val="008C1C66"/>
    <w:rsid w:val="008E34FE"/>
    <w:rsid w:val="008E44DE"/>
    <w:rsid w:val="008E758E"/>
    <w:rsid w:val="00925987"/>
    <w:rsid w:val="00927E0B"/>
    <w:rsid w:val="00960376"/>
    <w:rsid w:val="00A0505D"/>
    <w:rsid w:val="00A7295C"/>
    <w:rsid w:val="00AA4102"/>
    <w:rsid w:val="00AC259C"/>
    <w:rsid w:val="00AD30A5"/>
    <w:rsid w:val="00AD6052"/>
    <w:rsid w:val="00B54D69"/>
    <w:rsid w:val="00B64F84"/>
    <w:rsid w:val="00B8516B"/>
    <w:rsid w:val="00B94C8F"/>
    <w:rsid w:val="00CC4EF0"/>
    <w:rsid w:val="00D35CA0"/>
    <w:rsid w:val="00D6364F"/>
    <w:rsid w:val="00D800DA"/>
    <w:rsid w:val="00DA6A58"/>
    <w:rsid w:val="00DD18AD"/>
    <w:rsid w:val="00E21162"/>
    <w:rsid w:val="00ED6B9B"/>
    <w:rsid w:val="00F051AD"/>
    <w:rsid w:val="00F24E7A"/>
    <w:rsid w:val="00F31102"/>
    <w:rsid w:val="00F37791"/>
    <w:rsid w:val="00F8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5B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65B0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B03"/>
    <w:rPr>
      <w:rFonts w:ascii="Times New Roman" w:hAnsi="Times New Roman"/>
      <w:b/>
      <w:bCs/>
      <w:sz w:val="27"/>
      <w:szCs w:val="27"/>
      <w:lang w:eastAsia="en-GB"/>
    </w:rPr>
  </w:style>
  <w:style w:type="character" w:styleId="Strong">
    <w:name w:val="Strong"/>
    <w:basedOn w:val="DefaultParagraphFont"/>
    <w:uiPriority w:val="22"/>
    <w:qFormat/>
    <w:rsid w:val="00365B03"/>
    <w:rPr>
      <w:b/>
      <w:bCs/>
    </w:rPr>
  </w:style>
  <w:style w:type="paragraph" w:styleId="NormalWeb">
    <w:name w:val="Normal (Web)"/>
    <w:basedOn w:val="Normal"/>
    <w:uiPriority w:val="99"/>
    <w:semiHidden/>
    <w:unhideWhenUsed/>
    <w:rsid w:val="00365B0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8E758E"/>
    <w:pPr>
      <w:tabs>
        <w:tab w:val="center" w:pos="4513"/>
        <w:tab w:val="right" w:pos="9026"/>
      </w:tabs>
    </w:pPr>
  </w:style>
  <w:style w:type="character" w:customStyle="1" w:styleId="HeaderChar">
    <w:name w:val="Header Char"/>
    <w:basedOn w:val="DefaultParagraphFont"/>
    <w:link w:val="Header"/>
    <w:uiPriority w:val="99"/>
    <w:rsid w:val="008E758E"/>
  </w:style>
  <w:style w:type="paragraph" w:styleId="Footer">
    <w:name w:val="footer"/>
    <w:basedOn w:val="Normal"/>
    <w:link w:val="FooterChar"/>
    <w:uiPriority w:val="99"/>
    <w:unhideWhenUsed/>
    <w:rsid w:val="008E758E"/>
    <w:pPr>
      <w:tabs>
        <w:tab w:val="center" w:pos="4513"/>
        <w:tab w:val="right" w:pos="9026"/>
      </w:tabs>
    </w:pPr>
  </w:style>
  <w:style w:type="character" w:customStyle="1" w:styleId="FooterChar">
    <w:name w:val="Footer Char"/>
    <w:basedOn w:val="DefaultParagraphFont"/>
    <w:link w:val="Footer"/>
    <w:uiPriority w:val="99"/>
    <w:rsid w:val="008E758E"/>
  </w:style>
  <w:style w:type="paragraph" w:styleId="ListParagraph">
    <w:name w:val="List Paragraph"/>
    <w:basedOn w:val="Normal"/>
    <w:uiPriority w:val="34"/>
    <w:qFormat/>
    <w:rsid w:val="008E758E"/>
    <w:pPr>
      <w:ind w:left="720"/>
      <w:contextualSpacing/>
    </w:pPr>
  </w:style>
  <w:style w:type="character" w:styleId="Hyperlink">
    <w:name w:val="Hyperlink"/>
    <w:basedOn w:val="DefaultParagraphFont"/>
    <w:uiPriority w:val="99"/>
    <w:unhideWhenUsed/>
    <w:rsid w:val="008E758E"/>
    <w:rPr>
      <w:color w:val="0563C1" w:themeColor="hyperlink"/>
      <w:u w:val="single"/>
    </w:rPr>
  </w:style>
  <w:style w:type="table" w:styleId="TableGrid">
    <w:name w:val="Table Grid"/>
    <w:basedOn w:val="TableNormal"/>
    <w:uiPriority w:val="39"/>
    <w:rsid w:val="00CC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5CA0"/>
    <w:rPr>
      <w:color w:val="954F72" w:themeColor="followedHyperlink"/>
      <w:u w:val="single"/>
    </w:rPr>
  </w:style>
  <w:style w:type="character" w:styleId="CommentReference">
    <w:name w:val="annotation reference"/>
    <w:basedOn w:val="DefaultParagraphFont"/>
    <w:uiPriority w:val="99"/>
    <w:semiHidden/>
    <w:unhideWhenUsed/>
    <w:rsid w:val="00AD30A5"/>
    <w:rPr>
      <w:sz w:val="16"/>
      <w:szCs w:val="16"/>
    </w:rPr>
  </w:style>
  <w:style w:type="paragraph" w:styleId="CommentText">
    <w:name w:val="annotation text"/>
    <w:basedOn w:val="Normal"/>
    <w:link w:val="CommentTextChar"/>
    <w:uiPriority w:val="99"/>
    <w:semiHidden/>
    <w:unhideWhenUsed/>
    <w:rsid w:val="00AD30A5"/>
    <w:rPr>
      <w:sz w:val="20"/>
      <w:szCs w:val="20"/>
    </w:rPr>
  </w:style>
  <w:style w:type="character" w:customStyle="1" w:styleId="CommentTextChar">
    <w:name w:val="Comment Text Char"/>
    <w:basedOn w:val="DefaultParagraphFont"/>
    <w:link w:val="CommentText"/>
    <w:uiPriority w:val="99"/>
    <w:semiHidden/>
    <w:rsid w:val="00AD30A5"/>
    <w:rPr>
      <w:sz w:val="20"/>
      <w:szCs w:val="20"/>
    </w:rPr>
  </w:style>
  <w:style w:type="paragraph" w:styleId="CommentSubject">
    <w:name w:val="annotation subject"/>
    <w:basedOn w:val="CommentText"/>
    <w:next w:val="CommentText"/>
    <w:link w:val="CommentSubjectChar"/>
    <w:uiPriority w:val="99"/>
    <w:semiHidden/>
    <w:unhideWhenUsed/>
    <w:rsid w:val="00AD30A5"/>
    <w:rPr>
      <w:b/>
      <w:bCs/>
    </w:rPr>
  </w:style>
  <w:style w:type="character" w:customStyle="1" w:styleId="CommentSubjectChar">
    <w:name w:val="Comment Subject Char"/>
    <w:basedOn w:val="CommentTextChar"/>
    <w:link w:val="CommentSubject"/>
    <w:uiPriority w:val="99"/>
    <w:semiHidden/>
    <w:rsid w:val="00AD30A5"/>
    <w:rPr>
      <w:b/>
      <w:bCs/>
      <w:sz w:val="20"/>
      <w:szCs w:val="20"/>
    </w:rPr>
  </w:style>
  <w:style w:type="paragraph" w:styleId="BalloonText">
    <w:name w:val="Balloon Text"/>
    <w:basedOn w:val="Normal"/>
    <w:link w:val="BalloonTextChar"/>
    <w:uiPriority w:val="99"/>
    <w:semiHidden/>
    <w:unhideWhenUsed/>
    <w:rsid w:val="00AD3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9618">
      <w:bodyDiv w:val="1"/>
      <w:marLeft w:val="0"/>
      <w:marRight w:val="0"/>
      <w:marTop w:val="0"/>
      <w:marBottom w:val="0"/>
      <w:divBdr>
        <w:top w:val="none" w:sz="0" w:space="0" w:color="auto"/>
        <w:left w:val="none" w:sz="0" w:space="0" w:color="auto"/>
        <w:bottom w:val="none" w:sz="0" w:space="0" w:color="auto"/>
        <w:right w:val="none" w:sz="0" w:space="0" w:color="auto"/>
      </w:divBdr>
    </w:div>
    <w:div w:id="1165124702">
      <w:bodyDiv w:val="1"/>
      <w:marLeft w:val="0"/>
      <w:marRight w:val="0"/>
      <w:marTop w:val="0"/>
      <w:marBottom w:val="0"/>
      <w:divBdr>
        <w:top w:val="none" w:sz="0" w:space="0" w:color="auto"/>
        <w:left w:val="none" w:sz="0" w:space="0" w:color="auto"/>
        <w:bottom w:val="none" w:sz="0" w:space="0" w:color="auto"/>
        <w:right w:val="none" w:sz="0" w:space="0" w:color="auto"/>
      </w:divBdr>
    </w:div>
    <w:div w:id="214434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ick.ac.uk/research/seminars,-lectures-and-symposia/interest-group-sem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C4BD.71584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Taylor</dc:creator>
  <cp:keywords/>
  <dc:description/>
  <cp:lastModifiedBy>Harriet Taylor</cp:lastModifiedBy>
  <cp:revision>4</cp:revision>
  <cp:lastPrinted>2020-03-10T15:01:00Z</cp:lastPrinted>
  <dcterms:created xsi:type="dcterms:W3CDTF">2020-03-10T14:51:00Z</dcterms:created>
  <dcterms:modified xsi:type="dcterms:W3CDTF">2020-03-11T10:43:00Z</dcterms:modified>
</cp:coreProperties>
</file>