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5" w:rsidRDefault="00500275" w:rsidP="00500275">
      <w:pPr>
        <w:rPr>
          <w:sz w:val="28"/>
          <w:szCs w:val="28"/>
        </w:rPr>
      </w:pPr>
      <w:r w:rsidRPr="00C952B1">
        <w:rPr>
          <w:b/>
          <w:sz w:val="28"/>
          <w:szCs w:val="28"/>
        </w:rPr>
        <w:t>Title:</w:t>
      </w:r>
      <w:r>
        <w:rPr>
          <w:sz w:val="28"/>
          <w:szCs w:val="28"/>
        </w:rPr>
        <w:t xml:space="preserve"> National implementation of a mental health service model: a survey of Crisis Resolution Teams in England</w:t>
      </w:r>
    </w:p>
    <w:p w:rsidR="00500275" w:rsidRPr="0065070D" w:rsidRDefault="00500275" w:rsidP="00500275">
      <w:pPr>
        <w:rPr>
          <w:sz w:val="28"/>
          <w:szCs w:val="28"/>
        </w:rPr>
      </w:pPr>
      <w:r>
        <w:rPr>
          <w:b/>
          <w:sz w:val="28"/>
          <w:szCs w:val="28"/>
        </w:rPr>
        <w:t xml:space="preserve">Manuscript Category: </w:t>
      </w:r>
      <w:r>
        <w:rPr>
          <w:sz w:val="28"/>
          <w:szCs w:val="28"/>
        </w:rPr>
        <w:t>Original article</w:t>
      </w:r>
    </w:p>
    <w:p w:rsidR="00500275" w:rsidRPr="00C952B1" w:rsidRDefault="00500275" w:rsidP="00500275">
      <w:pPr>
        <w:rPr>
          <w:sz w:val="28"/>
          <w:szCs w:val="28"/>
        </w:rPr>
      </w:pPr>
      <w:r>
        <w:rPr>
          <w:b/>
          <w:sz w:val="28"/>
          <w:szCs w:val="28"/>
        </w:rPr>
        <w:t xml:space="preserve">Short title: </w:t>
      </w:r>
      <w:r>
        <w:rPr>
          <w:sz w:val="28"/>
          <w:szCs w:val="28"/>
        </w:rPr>
        <w:t>Crisis Resolution Teams: UK national survey</w:t>
      </w:r>
    </w:p>
    <w:p w:rsidR="00500275" w:rsidRDefault="00500275" w:rsidP="00500275">
      <w:pPr>
        <w:rPr>
          <w:sz w:val="28"/>
          <w:szCs w:val="28"/>
        </w:rPr>
      </w:pPr>
    </w:p>
    <w:p w:rsidR="00500275" w:rsidRPr="006A2E8A" w:rsidRDefault="00500275" w:rsidP="00500275">
      <w:pPr>
        <w:rPr>
          <w:sz w:val="28"/>
          <w:szCs w:val="28"/>
          <w:vertAlign w:val="superscript"/>
        </w:rPr>
      </w:pPr>
      <w:r>
        <w:rPr>
          <w:sz w:val="28"/>
          <w:szCs w:val="28"/>
        </w:rPr>
        <w:t>Brynmor Lloyd-Evans</w:t>
      </w:r>
      <w:r>
        <w:rPr>
          <w:sz w:val="28"/>
          <w:szCs w:val="28"/>
          <w:vertAlign w:val="superscript"/>
        </w:rPr>
        <w:t>1</w:t>
      </w:r>
      <w:r>
        <w:rPr>
          <w:sz w:val="28"/>
          <w:szCs w:val="28"/>
        </w:rPr>
        <w:t>, Bethan Paterson</w:t>
      </w:r>
      <w:r>
        <w:rPr>
          <w:sz w:val="28"/>
          <w:szCs w:val="28"/>
          <w:vertAlign w:val="superscript"/>
        </w:rPr>
        <w:t>1</w:t>
      </w:r>
      <w:r>
        <w:rPr>
          <w:sz w:val="28"/>
          <w:szCs w:val="28"/>
        </w:rPr>
        <w:t>, Steve Onyett</w:t>
      </w:r>
      <w:r>
        <w:rPr>
          <w:sz w:val="28"/>
          <w:szCs w:val="28"/>
          <w:vertAlign w:val="superscript"/>
        </w:rPr>
        <w:t>2*</w:t>
      </w:r>
      <w:r>
        <w:rPr>
          <w:sz w:val="28"/>
          <w:szCs w:val="28"/>
        </w:rPr>
        <w:t>, Ellie Brown</w:t>
      </w:r>
      <w:r>
        <w:rPr>
          <w:sz w:val="28"/>
          <w:szCs w:val="28"/>
          <w:vertAlign w:val="superscript"/>
        </w:rPr>
        <w:t>3</w:t>
      </w:r>
      <w:r>
        <w:rPr>
          <w:sz w:val="28"/>
          <w:szCs w:val="28"/>
        </w:rPr>
        <w:t>, Hannah Istead</w:t>
      </w:r>
      <w:r>
        <w:rPr>
          <w:sz w:val="28"/>
          <w:szCs w:val="28"/>
          <w:vertAlign w:val="superscript"/>
        </w:rPr>
        <w:t>1</w:t>
      </w:r>
      <w:r>
        <w:rPr>
          <w:sz w:val="28"/>
          <w:szCs w:val="28"/>
        </w:rPr>
        <w:t>, Richard Gray</w:t>
      </w:r>
      <w:r>
        <w:rPr>
          <w:sz w:val="28"/>
          <w:szCs w:val="28"/>
          <w:vertAlign w:val="superscript"/>
        </w:rPr>
        <w:t>3</w:t>
      </w:r>
      <w:r>
        <w:rPr>
          <w:sz w:val="28"/>
          <w:szCs w:val="28"/>
        </w:rPr>
        <w:t>, Claire Henderson</w:t>
      </w:r>
      <w:r>
        <w:rPr>
          <w:sz w:val="28"/>
          <w:szCs w:val="28"/>
          <w:vertAlign w:val="superscript"/>
        </w:rPr>
        <w:t>4</w:t>
      </w:r>
      <w:r>
        <w:rPr>
          <w:sz w:val="28"/>
          <w:szCs w:val="28"/>
        </w:rPr>
        <w:t>, Sonia Johnson</w:t>
      </w:r>
      <w:r>
        <w:rPr>
          <w:sz w:val="28"/>
          <w:szCs w:val="28"/>
          <w:vertAlign w:val="superscript"/>
        </w:rPr>
        <w:t>1</w:t>
      </w:r>
    </w:p>
    <w:p w:rsidR="00500275" w:rsidRDefault="00500275" w:rsidP="00500275">
      <w:pPr>
        <w:rPr>
          <w:sz w:val="28"/>
          <w:szCs w:val="28"/>
          <w:vertAlign w:val="superscript"/>
        </w:rPr>
      </w:pPr>
    </w:p>
    <w:p w:rsidR="00500275" w:rsidRDefault="00500275" w:rsidP="00500275">
      <w:r>
        <w:t>1. Division of Psychiatry, University College London,  Maple House, 149 Tottenham Court Road, London W1T 7NF</w:t>
      </w:r>
    </w:p>
    <w:p w:rsidR="00500275" w:rsidRDefault="00500275" w:rsidP="00500275">
      <w:r>
        <w:t xml:space="preserve">2. Onyett Entero Ltd / Department of Psychology, University of Exeter, Washington Singer Building, Perry Road, Exeter, EX4 4QG </w:t>
      </w:r>
    </w:p>
    <w:p w:rsidR="00500275" w:rsidRDefault="00500275" w:rsidP="00500275">
      <w:r>
        <w:t xml:space="preserve">3. University of the West of England, Glenside </w:t>
      </w:r>
      <w:r w:rsidRPr="00523143">
        <w:t>Campus, Blackberry Hill, Bristol BS16 1DD, UK.</w:t>
      </w:r>
    </w:p>
    <w:p w:rsidR="00500275" w:rsidRDefault="00500275" w:rsidP="00500275">
      <w:r>
        <w:t>4. Institute of Psychiatry, Kings College London, DeCrespigny Park, London SE5 8AF</w:t>
      </w:r>
    </w:p>
    <w:p w:rsidR="00500275" w:rsidRDefault="00500275" w:rsidP="00500275">
      <w:r>
        <w:t>*Steve Onyett died in September 2015</w:t>
      </w:r>
    </w:p>
    <w:p w:rsidR="00500275" w:rsidRDefault="00500275" w:rsidP="00500275"/>
    <w:p w:rsidR="00500275" w:rsidRPr="00CD043B" w:rsidRDefault="00500275" w:rsidP="00500275">
      <w:pPr>
        <w:rPr>
          <w:b/>
          <w:sz w:val="28"/>
          <w:szCs w:val="28"/>
        </w:rPr>
      </w:pPr>
      <w:r w:rsidRPr="00CD043B">
        <w:rPr>
          <w:b/>
          <w:sz w:val="28"/>
          <w:szCs w:val="28"/>
        </w:rPr>
        <w:t xml:space="preserve">Corresponding author: </w:t>
      </w:r>
    </w:p>
    <w:p w:rsidR="00500275" w:rsidRPr="00CD043B" w:rsidRDefault="00500275" w:rsidP="00500275">
      <w:pPr>
        <w:rPr>
          <w:sz w:val="28"/>
          <w:szCs w:val="28"/>
        </w:rPr>
      </w:pPr>
      <w:r w:rsidRPr="00CD043B">
        <w:rPr>
          <w:sz w:val="28"/>
          <w:szCs w:val="28"/>
        </w:rPr>
        <w:t xml:space="preserve">Brynmor Lloyd-Evans </w:t>
      </w:r>
      <w:hyperlink r:id="rId8" w:history="1">
        <w:r w:rsidRPr="00CD043B">
          <w:rPr>
            <w:rStyle w:val="Hyperlink"/>
            <w:sz w:val="28"/>
            <w:szCs w:val="28"/>
          </w:rPr>
          <w:t>b.lloyd-evans@ucl.ac.uk</w:t>
        </w:r>
      </w:hyperlink>
      <w:r w:rsidRPr="00CD043B">
        <w:rPr>
          <w:sz w:val="28"/>
          <w:szCs w:val="28"/>
        </w:rPr>
        <w:t xml:space="preserve"> tel: 00 44 (0)20 76799428 </w:t>
      </w:r>
    </w:p>
    <w:p w:rsidR="00500275" w:rsidRDefault="00500275" w:rsidP="00500275"/>
    <w:p w:rsidR="00500275" w:rsidRPr="0065070D" w:rsidRDefault="00500275" w:rsidP="00500275">
      <w:pPr>
        <w:rPr>
          <w:b/>
          <w:sz w:val="28"/>
          <w:szCs w:val="28"/>
        </w:rPr>
      </w:pPr>
      <w:r w:rsidRPr="0065070D">
        <w:rPr>
          <w:b/>
          <w:sz w:val="28"/>
          <w:szCs w:val="28"/>
        </w:rPr>
        <w:t>Authorship declarations:</w:t>
      </w:r>
    </w:p>
    <w:p w:rsidR="00500275" w:rsidRDefault="00500275" w:rsidP="00500275">
      <w:pPr>
        <w:rPr>
          <w:sz w:val="28"/>
          <w:szCs w:val="28"/>
        </w:rPr>
      </w:pPr>
      <w:r>
        <w:rPr>
          <w:sz w:val="28"/>
          <w:szCs w:val="28"/>
        </w:rPr>
        <w:t>SJ led the CORE research programme in which context this survey was conducted.</w:t>
      </w:r>
    </w:p>
    <w:p w:rsidR="00500275" w:rsidRDefault="00500275" w:rsidP="00500275">
      <w:pPr>
        <w:rPr>
          <w:sz w:val="28"/>
          <w:szCs w:val="28"/>
        </w:rPr>
      </w:pPr>
      <w:r>
        <w:rPr>
          <w:sz w:val="28"/>
          <w:szCs w:val="28"/>
        </w:rPr>
        <w:t xml:space="preserve">SJ, BLE, SO, RG and CH contributed to the design of the research. </w:t>
      </w:r>
    </w:p>
    <w:p w:rsidR="00500275" w:rsidRDefault="00500275" w:rsidP="00500275">
      <w:pPr>
        <w:rPr>
          <w:sz w:val="28"/>
          <w:szCs w:val="28"/>
        </w:rPr>
      </w:pPr>
      <w:r>
        <w:rPr>
          <w:sz w:val="28"/>
          <w:szCs w:val="28"/>
        </w:rPr>
        <w:t>SJ, BLE and HI contributed to developing the questionnaire.</w:t>
      </w:r>
    </w:p>
    <w:p w:rsidR="00500275" w:rsidRDefault="00500275" w:rsidP="00500275">
      <w:pPr>
        <w:rPr>
          <w:sz w:val="28"/>
          <w:szCs w:val="28"/>
        </w:rPr>
      </w:pPr>
      <w:r>
        <w:rPr>
          <w:sz w:val="28"/>
          <w:szCs w:val="28"/>
        </w:rPr>
        <w:t>BP, HI and EB collected the survey data.</w:t>
      </w:r>
    </w:p>
    <w:p w:rsidR="00500275" w:rsidRDefault="00500275" w:rsidP="00500275">
      <w:pPr>
        <w:rPr>
          <w:sz w:val="28"/>
          <w:szCs w:val="28"/>
        </w:rPr>
      </w:pPr>
      <w:r>
        <w:rPr>
          <w:sz w:val="28"/>
          <w:szCs w:val="28"/>
        </w:rPr>
        <w:t>BLE, BP and RG contributed to data analysis.</w:t>
      </w:r>
    </w:p>
    <w:p w:rsidR="00500275" w:rsidRPr="0065070D" w:rsidRDefault="00500275" w:rsidP="00500275">
      <w:pPr>
        <w:spacing w:line="480" w:lineRule="auto"/>
        <w:rPr>
          <w:sz w:val="28"/>
          <w:szCs w:val="28"/>
        </w:rPr>
      </w:pPr>
      <w:r>
        <w:rPr>
          <w:sz w:val="28"/>
          <w:szCs w:val="28"/>
        </w:rPr>
        <w:t>BLE led, and all authors contributed to, writing this paper.</w:t>
      </w:r>
    </w:p>
    <w:p w:rsidR="00500275" w:rsidRDefault="00500275" w:rsidP="00500275">
      <w:pPr>
        <w:spacing w:line="480" w:lineRule="auto"/>
        <w:rPr>
          <w:sz w:val="28"/>
          <w:szCs w:val="28"/>
        </w:rPr>
      </w:pPr>
      <w:r w:rsidRPr="00CD043B">
        <w:rPr>
          <w:sz w:val="28"/>
          <w:szCs w:val="28"/>
        </w:rPr>
        <w:t>All authors listed meet the authorship criteria according to the latest guidelines of the International Committee of Medical Journal Editors, and all authors are in agreement with the manuscript</w:t>
      </w:r>
      <w:r>
        <w:rPr>
          <w:sz w:val="28"/>
          <w:szCs w:val="28"/>
        </w:rPr>
        <w:t>.</w:t>
      </w:r>
    </w:p>
    <w:p w:rsidR="00500275" w:rsidRPr="00CD043B" w:rsidRDefault="00500275" w:rsidP="00500275">
      <w:pPr>
        <w:rPr>
          <w:sz w:val="28"/>
          <w:szCs w:val="28"/>
        </w:rPr>
      </w:pPr>
    </w:p>
    <w:p w:rsidR="00500275" w:rsidRPr="00CD043B" w:rsidRDefault="00500275" w:rsidP="00500275">
      <w:pPr>
        <w:spacing w:line="480" w:lineRule="auto"/>
        <w:jc w:val="both"/>
        <w:rPr>
          <w:sz w:val="28"/>
          <w:szCs w:val="28"/>
        </w:rPr>
      </w:pPr>
      <w:r w:rsidRPr="00CD043B">
        <w:rPr>
          <w:b/>
          <w:sz w:val="28"/>
          <w:szCs w:val="28"/>
        </w:rPr>
        <w:t xml:space="preserve">Acknowledgements: </w:t>
      </w:r>
      <w:r w:rsidRPr="00CD043B">
        <w:rPr>
          <w:sz w:val="28"/>
          <w:szCs w:val="28"/>
        </w:rPr>
        <w:t>We are grateful for the assistance of the CRT managers from all NHS Trusts who participated in this survey.</w:t>
      </w:r>
    </w:p>
    <w:p w:rsidR="00500275" w:rsidRPr="00CD043B" w:rsidRDefault="00500275" w:rsidP="00500275">
      <w:pPr>
        <w:pStyle w:val="CommentText"/>
        <w:spacing w:line="480" w:lineRule="auto"/>
        <w:rPr>
          <w:bCs/>
          <w:sz w:val="28"/>
          <w:szCs w:val="28"/>
          <w:lang w:val="en"/>
        </w:rPr>
      </w:pPr>
      <w:r w:rsidRPr="00CD043B">
        <w:rPr>
          <w:bCs/>
          <w:sz w:val="28"/>
          <w:szCs w:val="28"/>
          <w:lang w:val="en"/>
        </w:rPr>
        <w:t>Our colleague, Steve Onyett, died suddenly in September 2015. Steve contributed to the design of this survey of CRT managers and analysis of the data from it. His contribution to the study and his warmth and generosity as a colleague are greatly missed.</w:t>
      </w:r>
    </w:p>
    <w:p w:rsidR="00500275" w:rsidRPr="00CD043B" w:rsidRDefault="00500275" w:rsidP="00500275">
      <w:pPr>
        <w:spacing w:line="480" w:lineRule="auto"/>
        <w:jc w:val="both"/>
        <w:rPr>
          <w:sz w:val="28"/>
          <w:szCs w:val="28"/>
        </w:rPr>
      </w:pPr>
      <w:r w:rsidRPr="00CD043B">
        <w:rPr>
          <w:b/>
          <w:sz w:val="28"/>
          <w:szCs w:val="28"/>
        </w:rPr>
        <w:t xml:space="preserve">Financial support: </w:t>
      </w:r>
      <w:r w:rsidRPr="00CD043B">
        <w:rPr>
          <w:sz w:val="28"/>
          <w:szCs w:val="28"/>
        </w:rPr>
        <w:t>This study was undertaken as part of the CORE programme, which is funded by the UK Department of Health National Institute for Health Research</w:t>
      </w:r>
      <w:r w:rsidRPr="00CD043B">
        <w:rPr>
          <w:iCs/>
          <w:sz w:val="28"/>
          <w:szCs w:val="28"/>
        </w:rPr>
        <w:t xml:space="preserve"> (NIHR) under its Programme Grants for Applied Research programme (Reference Number: RP-PG-0109-10078). The views expressed in this paper are those of the authors and not necessarily those of the NHS, the NIHR or the Department of Health.</w:t>
      </w:r>
    </w:p>
    <w:p w:rsidR="00500275" w:rsidRDefault="00500275" w:rsidP="00500275">
      <w:pPr>
        <w:spacing w:line="480" w:lineRule="auto"/>
        <w:jc w:val="both"/>
        <w:rPr>
          <w:sz w:val="28"/>
          <w:szCs w:val="28"/>
        </w:rPr>
      </w:pPr>
      <w:r w:rsidRPr="00CD043B">
        <w:rPr>
          <w:b/>
          <w:sz w:val="28"/>
          <w:szCs w:val="28"/>
        </w:rPr>
        <w:t xml:space="preserve">Disclosure: </w:t>
      </w:r>
      <w:r w:rsidRPr="00CD043B">
        <w:rPr>
          <w:sz w:val="28"/>
          <w:szCs w:val="28"/>
        </w:rPr>
        <w:t>No authors have any conflicts of interest to report</w:t>
      </w:r>
    </w:p>
    <w:p w:rsidR="00500275" w:rsidRPr="00CD043B" w:rsidRDefault="00500275" w:rsidP="00500275">
      <w:pPr>
        <w:spacing w:line="480" w:lineRule="auto"/>
        <w:jc w:val="both"/>
        <w:rPr>
          <w:b/>
          <w:sz w:val="28"/>
          <w:szCs w:val="28"/>
        </w:rPr>
      </w:pPr>
    </w:p>
    <w:p w:rsidR="002B5185" w:rsidRPr="00EE7E8C" w:rsidRDefault="003A7690" w:rsidP="00EE7E8C">
      <w:bookmarkStart w:id="0" w:name="_GoBack"/>
      <w:bookmarkEnd w:id="0"/>
      <w:r>
        <w:t xml:space="preserve">  </w:t>
      </w:r>
      <w:r w:rsidR="00523143">
        <w:rPr>
          <w:b/>
        </w:rPr>
        <w:t>Abstract</w:t>
      </w:r>
    </w:p>
    <w:p w:rsidR="0018698D" w:rsidRDefault="0058074E" w:rsidP="0018698D">
      <w:pPr>
        <w:spacing w:line="480" w:lineRule="auto"/>
      </w:pPr>
      <w:r>
        <w:t xml:space="preserve">In response to pressures on mental health inpatient beds and a perceived “crisis in acute care”, </w:t>
      </w:r>
      <w:r w:rsidR="0018698D">
        <w:t xml:space="preserve">Crisis Resolution Teams (CRTs), acute home treatment services, were </w:t>
      </w:r>
      <w:r w:rsidR="006241FD">
        <w:t xml:space="preserve">implemented </w:t>
      </w:r>
      <w:r w:rsidR="00DE659D">
        <w:t xml:space="preserve">nationally </w:t>
      </w:r>
      <w:r w:rsidR="0018698D">
        <w:t>in England</w:t>
      </w:r>
      <w:r w:rsidR="006241FD">
        <w:t xml:space="preserve"> following </w:t>
      </w:r>
      <w:r w:rsidR="00DE659D">
        <w:t xml:space="preserve">the NHS Plan in the year 2000: </w:t>
      </w:r>
      <w:r w:rsidR="006241FD">
        <w:t>an unprecedentedly prescriptive policy mandate</w:t>
      </w:r>
      <w:r w:rsidR="00DE659D">
        <w:t xml:space="preserve"> for three new types of functional community mental health team</w:t>
      </w:r>
      <w:r w:rsidR="0018698D">
        <w:t xml:space="preserve">. We </w:t>
      </w:r>
      <w:r w:rsidR="006241FD">
        <w:t xml:space="preserve">examined the effects of this mandate on implementation of the CRT service model. </w:t>
      </w:r>
      <w:r>
        <w:t xml:space="preserve">Two hundred and eighteen CRTs were mapped in England, including services in all 65 mental health administrative regions. </w:t>
      </w:r>
      <w:r w:rsidR="00711B8D">
        <w:t xml:space="preserve">Eighty eight percent (n=192) </w:t>
      </w:r>
      <w:r w:rsidR="006241FD">
        <w:t xml:space="preserve">of CRT managers in England </w:t>
      </w:r>
      <w:r w:rsidR="0018698D">
        <w:t>participated</w:t>
      </w:r>
      <w:r w:rsidR="006241FD">
        <w:t xml:space="preserve"> in an online survey</w:t>
      </w:r>
      <w:r w:rsidR="0018698D">
        <w:t xml:space="preserve">. </w:t>
      </w:r>
      <w:r w:rsidR="00470DF5">
        <w:t>CRT s</w:t>
      </w:r>
      <w:r w:rsidR="0018698D">
        <w:t xml:space="preserve">ervice organisation and delivery was highly variable. </w:t>
      </w:r>
      <w:r w:rsidR="00EE7E8C">
        <w:t xml:space="preserve">Nurses were the only professional group employed in all CRT staff teams. </w:t>
      </w:r>
      <w:r w:rsidR="0018698D">
        <w:t xml:space="preserve">Almost no teams adhered </w:t>
      </w:r>
      <w:r w:rsidR="00470DF5">
        <w:t xml:space="preserve">fully </w:t>
      </w:r>
      <w:r w:rsidR="00FF7510">
        <w:t xml:space="preserve">to </w:t>
      </w:r>
      <w:r w:rsidR="0018698D">
        <w:t xml:space="preserve">government </w:t>
      </w:r>
      <w:r w:rsidR="006241FD">
        <w:t xml:space="preserve">implementation </w:t>
      </w:r>
      <w:r w:rsidR="00470DF5">
        <w:t>guidance</w:t>
      </w:r>
      <w:r w:rsidR="0018698D">
        <w:t xml:space="preserve">. </w:t>
      </w:r>
      <w:r w:rsidR="00BA3D49">
        <w:t xml:space="preserve">CRT managers identified several aspects of CRT service delivery as desirable but not routinely provided. </w:t>
      </w:r>
      <w:r w:rsidR="0018698D">
        <w:t xml:space="preserve">A national policy mandate and government guidance and standards have proved insufficient to ensure CRT implementation as planned. Development and testing of resources to support implementation </w:t>
      </w:r>
      <w:r w:rsidR="006241FD">
        <w:t xml:space="preserve">and monitoring </w:t>
      </w:r>
      <w:r w:rsidR="0018698D">
        <w:t xml:space="preserve">of a complex mental health intervention is required. </w:t>
      </w:r>
    </w:p>
    <w:p w:rsidR="00C952B1" w:rsidRDefault="00C952B1" w:rsidP="00C840C9">
      <w:pPr>
        <w:spacing w:line="480" w:lineRule="auto"/>
      </w:pPr>
    </w:p>
    <w:p w:rsidR="001559BC" w:rsidRPr="00C952B1" w:rsidRDefault="00C952B1" w:rsidP="00C840C9">
      <w:pPr>
        <w:spacing w:line="480" w:lineRule="auto"/>
        <w:rPr>
          <w:b/>
        </w:rPr>
      </w:pPr>
      <w:r w:rsidRPr="00C952B1">
        <w:rPr>
          <w:b/>
        </w:rPr>
        <w:t xml:space="preserve">Keywords: </w:t>
      </w:r>
      <w:r>
        <w:rPr>
          <w:b/>
        </w:rPr>
        <w:t xml:space="preserve"> Crisis Resolution, </w:t>
      </w:r>
      <w:r w:rsidR="00122F92">
        <w:rPr>
          <w:b/>
        </w:rPr>
        <w:t xml:space="preserve">mental health services, </w:t>
      </w:r>
      <w:r>
        <w:rPr>
          <w:b/>
        </w:rPr>
        <w:t xml:space="preserve">acute care, home treatment, </w:t>
      </w:r>
      <w:r w:rsidR="00122F92">
        <w:rPr>
          <w:b/>
        </w:rPr>
        <w:t>implementation</w:t>
      </w:r>
      <w:r w:rsidR="001559BC" w:rsidRPr="00C952B1">
        <w:rPr>
          <w:b/>
        </w:rPr>
        <w:br w:type="page"/>
      </w:r>
    </w:p>
    <w:p w:rsidR="001559BC" w:rsidRPr="001559BC" w:rsidRDefault="00086393" w:rsidP="00C840C9">
      <w:pPr>
        <w:spacing w:line="480" w:lineRule="auto"/>
        <w:jc w:val="both"/>
        <w:rPr>
          <w:b/>
          <w:sz w:val="24"/>
          <w:szCs w:val="24"/>
        </w:rPr>
      </w:pPr>
      <w:r>
        <w:rPr>
          <w:b/>
          <w:sz w:val="24"/>
          <w:szCs w:val="24"/>
        </w:rPr>
        <w:lastRenderedPageBreak/>
        <w:t>Introduction</w:t>
      </w:r>
    </w:p>
    <w:p w:rsidR="00295A31" w:rsidRDefault="001559BC" w:rsidP="00295A31">
      <w:pPr>
        <w:spacing w:line="480" w:lineRule="auto"/>
        <w:jc w:val="both"/>
        <w:rPr>
          <w:sz w:val="24"/>
          <w:szCs w:val="24"/>
        </w:rPr>
      </w:pPr>
      <w:r>
        <w:rPr>
          <w:sz w:val="24"/>
          <w:szCs w:val="24"/>
        </w:rPr>
        <w:t xml:space="preserve">Crisis Resolution Teams (CRTs) </w:t>
      </w:r>
      <w:r w:rsidR="00617485">
        <w:rPr>
          <w:sz w:val="24"/>
          <w:szCs w:val="24"/>
        </w:rPr>
        <w:t xml:space="preserve">have been advocated as a means of reducing pressure on inpatient beds, reducing health service costs and increasing the acceptability of acute care to </w:t>
      </w:r>
      <w:r w:rsidR="001A6601">
        <w:rPr>
          <w:sz w:val="24"/>
          <w:szCs w:val="24"/>
        </w:rPr>
        <w:t xml:space="preserve">mental health </w:t>
      </w:r>
      <w:r w:rsidR="00617485">
        <w:rPr>
          <w:sz w:val="24"/>
          <w:szCs w:val="24"/>
        </w:rPr>
        <w:t xml:space="preserve">service users </w:t>
      </w:r>
      <w:r w:rsidR="00381402">
        <w:rPr>
          <w:sz w:val="24"/>
          <w:szCs w:val="24"/>
        </w:rPr>
        <w:t>(Mind 2011, JCPNH 2013)</w:t>
      </w:r>
      <w:r w:rsidR="00203AFE">
        <w:rPr>
          <w:sz w:val="24"/>
          <w:szCs w:val="24"/>
        </w:rPr>
        <w:t xml:space="preserve">. </w:t>
      </w:r>
      <w:r w:rsidR="00617485">
        <w:rPr>
          <w:sz w:val="24"/>
          <w:szCs w:val="24"/>
        </w:rPr>
        <w:t xml:space="preserve">CRTs </w:t>
      </w:r>
      <w:r>
        <w:rPr>
          <w:sz w:val="24"/>
          <w:szCs w:val="24"/>
        </w:rPr>
        <w:t xml:space="preserve">provide short-term, intensive home treatment to people experiencing a mental health crisis, with the aim of averting hospital admission wherever possible, or supporting people to return home as promptly as </w:t>
      </w:r>
      <w:r w:rsidR="006F76EB">
        <w:rPr>
          <w:sz w:val="24"/>
          <w:szCs w:val="24"/>
        </w:rPr>
        <w:t>possible following</w:t>
      </w:r>
      <w:r>
        <w:rPr>
          <w:sz w:val="24"/>
          <w:szCs w:val="24"/>
        </w:rPr>
        <w:t xml:space="preserve"> an acute admission</w:t>
      </w:r>
      <w:r w:rsidR="003D31C2">
        <w:rPr>
          <w:sz w:val="24"/>
          <w:szCs w:val="24"/>
        </w:rPr>
        <w:t xml:space="preserve"> </w:t>
      </w:r>
      <w:r w:rsidR="00381402">
        <w:rPr>
          <w:sz w:val="24"/>
          <w:szCs w:val="24"/>
        </w:rPr>
        <w:t>(Johnson and Thornicroft 2008)</w:t>
      </w:r>
      <w:r>
        <w:rPr>
          <w:sz w:val="24"/>
          <w:szCs w:val="24"/>
        </w:rPr>
        <w:t xml:space="preserve">. </w:t>
      </w:r>
      <w:r w:rsidR="00823D49">
        <w:rPr>
          <w:sz w:val="24"/>
          <w:szCs w:val="24"/>
        </w:rPr>
        <w:t>By providing treatment in someone’s home en</w:t>
      </w:r>
      <w:r w:rsidR="00381402">
        <w:rPr>
          <w:sz w:val="24"/>
          <w:szCs w:val="24"/>
        </w:rPr>
        <w:t>vironment during a crisis, CRTs</w:t>
      </w:r>
      <w:r w:rsidR="00823D49">
        <w:rPr>
          <w:sz w:val="24"/>
          <w:szCs w:val="24"/>
        </w:rPr>
        <w:t xml:space="preserve"> may also have the advantages of helping people to develop sustainable coping strategies, increasing the feasibility of addressing family and social precipitants of a crisis, and promoting the support and involvement from family and service us</w:t>
      </w:r>
      <w:r w:rsidR="00203AFE">
        <w:rPr>
          <w:sz w:val="24"/>
          <w:szCs w:val="24"/>
        </w:rPr>
        <w:t>er</w:t>
      </w:r>
      <w:r w:rsidR="00381402">
        <w:rPr>
          <w:sz w:val="24"/>
          <w:szCs w:val="24"/>
        </w:rPr>
        <w:t>s’ existing support networks (Bridgett and Polak 2003)</w:t>
      </w:r>
      <w:r w:rsidR="00823D49">
        <w:rPr>
          <w:sz w:val="24"/>
          <w:szCs w:val="24"/>
        </w:rPr>
        <w:t xml:space="preserve">. </w:t>
      </w:r>
    </w:p>
    <w:p w:rsidR="00A36790" w:rsidRDefault="00111FB3" w:rsidP="00295A31">
      <w:pPr>
        <w:spacing w:line="480" w:lineRule="auto"/>
        <w:jc w:val="both"/>
        <w:rPr>
          <w:sz w:val="24"/>
          <w:szCs w:val="24"/>
        </w:rPr>
      </w:pPr>
      <w:r>
        <w:rPr>
          <w:sz w:val="24"/>
          <w:szCs w:val="24"/>
        </w:rPr>
        <w:t>Forerunners of t</w:t>
      </w:r>
      <w:r w:rsidR="00564344">
        <w:rPr>
          <w:sz w:val="24"/>
          <w:szCs w:val="24"/>
        </w:rPr>
        <w:t xml:space="preserve">he CRT model </w:t>
      </w:r>
      <w:r>
        <w:rPr>
          <w:sz w:val="24"/>
          <w:szCs w:val="24"/>
        </w:rPr>
        <w:t xml:space="preserve">include </w:t>
      </w:r>
      <w:r w:rsidR="00564344">
        <w:rPr>
          <w:sz w:val="24"/>
          <w:szCs w:val="24"/>
        </w:rPr>
        <w:t xml:space="preserve">the Training in Community Living </w:t>
      </w:r>
      <w:r w:rsidR="00106453">
        <w:rPr>
          <w:sz w:val="24"/>
          <w:szCs w:val="24"/>
        </w:rPr>
        <w:t xml:space="preserve">(TCL) </w:t>
      </w:r>
      <w:r w:rsidR="00564344">
        <w:rPr>
          <w:sz w:val="24"/>
          <w:szCs w:val="24"/>
        </w:rPr>
        <w:t xml:space="preserve">Programme developed in Wisconsin USA in the 1970s, which combined brief intensive </w:t>
      </w:r>
      <w:r w:rsidR="00106453">
        <w:rPr>
          <w:sz w:val="24"/>
          <w:szCs w:val="24"/>
        </w:rPr>
        <w:t xml:space="preserve">CRT-type </w:t>
      </w:r>
      <w:r w:rsidR="00564344">
        <w:rPr>
          <w:sz w:val="24"/>
          <w:szCs w:val="24"/>
        </w:rPr>
        <w:t xml:space="preserve">crisis care with longer term </w:t>
      </w:r>
      <w:r w:rsidR="00106453">
        <w:rPr>
          <w:sz w:val="24"/>
          <w:szCs w:val="24"/>
        </w:rPr>
        <w:t xml:space="preserve">assertive </w:t>
      </w:r>
      <w:r w:rsidR="00564344">
        <w:rPr>
          <w:sz w:val="24"/>
          <w:szCs w:val="24"/>
        </w:rPr>
        <w:t>community treatment</w:t>
      </w:r>
      <w:r w:rsidR="00106453">
        <w:rPr>
          <w:sz w:val="24"/>
          <w:szCs w:val="24"/>
        </w:rPr>
        <w:t xml:space="preserve"> when required</w:t>
      </w:r>
      <w:r w:rsidR="00564344">
        <w:rPr>
          <w:sz w:val="24"/>
          <w:szCs w:val="24"/>
        </w:rPr>
        <w:t xml:space="preserve"> (Stein and Test 1980). The first distinct</w:t>
      </w:r>
      <w:r w:rsidR="003A2AF3">
        <w:rPr>
          <w:sz w:val="24"/>
          <w:szCs w:val="24"/>
        </w:rPr>
        <w:t>, recognisable</w:t>
      </w:r>
      <w:r w:rsidR="00564344">
        <w:rPr>
          <w:sz w:val="24"/>
          <w:szCs w:val="24"/>
        </w:rPr>
        <w:t xml:space="preserve"> CRT services</w:t>
      </w:r>
      <w:r w:rsidR="00295A31">
        <w:rPr>
          <w:sz w:val="24"/>
          <w:szCs w:val="24"/>
        </w:rPr>
        <w:t xml:space="preserve"> were</w:t>
      </w:r>
      <w:r w:rsidR="00564344">
        <w:rPr>
          <w:sz w:val="24"/>
          <w:szCs w:val="24"/>
        </w:rPr>
        <w:t xml:space="preserve"> </w:t>
      </w:r>
      <w:r w:rsidR="00295A31">
        <w:rPr>
          <w:sz w:val="24"/>
          <w:szCs w:val="24"/>
        </w:rPr>
        <w:t>developed in the 1980s in the USA</w:t>
      </w:r>
      <w:r w:rsidR="00564344">
        <w:rPr>
          <w:sz w:val="24"/>
          <w:szCs w:val="24"/>
        </w:rPr>
        <w:t xml:space="preserve"> (Stein 1991) and Australia (Reynolds et al. 1990)</w:t>
      </w:r>
      <w:r w:rsidR="00BC7DEC">
        <w:rPr>
          <w:sz w:val="24"/>
          <w:szCs w:val="24"/>
        </w:rPr>
        <w:t xml:space="preserve">, and the model has endured in both countries, without ever being adopted nationally in either (Johnson and Thornicroft 2008). </w:t>
      </w:r>
      <w:r w:rsidR="003A2AF3">
        <w:rPr>
          <w:sz w:val="24"/>
          <w:szCs w:val="24"/>
        </w:rPr>
        <w:t xml:space="preserve">A number of trials from the 1970s-‘90s in the USA and Australia (Murphy 2015) provided promising evidence regarding the impact of CRT services on admissions and patient satisfaction. </w:t>
      </w:r>
      <w:r w:rsidR="00A36790">
        <w:rPr>
          <w:sz w:val="24"/>
          <w:szCs w:val="24"/>
        </w:rPr>
        <w:t>The positive Australian experience of CRTs in particular influenced</w:t>
      </w:r>
      <w:r w:rsidR="00106453">
        <w:rPr>
          <w:sz w:val="24"/>
          <w:szCs w:val="24"/>
        </w:rPr>
        <w:t xml:space="preserve"> service development in England:</w:t>
      </w:r>
      <w:r w:rsidR="00A36790">
        <w:rPr>
          <w:sz w:val="24"/>
          <w:szCs w:val="24"/>
        </w:rPr>
        <w:t xml:space="preserve"> </w:t>
      </w:r>
      <w:r w:rsidR="003A2AF3">
        <w:rPr>
          <w:sz w:val="24"/>
          <w:szCs w:val="24"/>
        </w:rPr>
        <w:t>pioneering CRT psych</w:t>
      </w:r>
      <w:r w:rsidR="00106453">
        <w:rPr>
          <w:sz w:val="24"/>
          <w:szCs w:val="24"/>
        </w:rPr>
        <w:t>iatrist and academic John Hoult</w:t>
      </w:r>
      <w:r w:rsidR="003A2AF3">
        <w:rPr>
          <w:sz w:val="24"/>
          <w:szCs w:val="24"/>
        </w:rPr>
        <w:t xml:space="preserve"> helped </w:t>
      </w:r>
      <w:r w:rsidR="00A36790">
        <w:rPr>
          <w:sz w:val="24"/>
          <w:szCs w:val="24"/>
        </w:rPr>
        <w:t xml:space="preserve">establish </w:t>
      </w:r>
      <w:r w:rsidR="003A2AF3">
        <w:rPr>
          <w:sz w:val="24"/>
          <w:szCs w:val="24"/>
        </w:rPr>
        <w:t xml:space="preserve">new CRT </w:t>
      </w:r>
      <w:r w:rsidR="003A2AF3">
        <w:rPr>
          <w:sz w:val="24"/>
          <w:szCs w:val="24"/>
        </w:rPr>
        <w:lastRenderedPageBreak/>
        <w:t>services in North Birmingham and</w:t>
      </w:r>
      <w:r w:rsidR="00A36790">
        <w:rPr>
          <w:sz w:val="24"/>
          <w:szCs w:val="24"/>
        </w:rPr>
        <w:t xml:space="preserve"> Islington, London in the 1990s, which demonstrated </w:t>
      </w:r>
      <w:r w:rsidR="003A2AF3">
        <w:rPr>
          <w:sz w:val="24"/>
          <w:szCs w:val="24"/>
        </w:rPr>
        <w:t>the fea</w:t>
      </w:r>
      <w:r w:rsidR="00FF7510">
        <w:rPr>
          <w:sz w:val="24"/>
          <w:szCs w:val="24"/>
        </w:rPr>
        <w:t>sibility of the CRT model in an English</w:t>
      </w:r>
      <w:r w:rsidR="003A2AF3">
        <w:rPr>
          <w:sz w:val="24"/>
          <w:szCs w:val="24"/>
        </w:rPr>
        <w:t xml:space="preserve"> context</w:t>
      </w:r>
      <w:r w:rsidR="00A36790">
        <w:rPr>
          <w:sz w:val="24"/>
          <w:szCs w:val="24"/>
        </w:rPr>
        <w:t xml:space="preserve"> </w:t>
      </w:r>
      <w:r w:rsidR="003A2AF3">
        <w:rPr>
          <w:sz w:val="24"/>
          <w:szCs w:val="24"/>
        </w:rPr>
        <w:t>(Glover and Johnson 2008)</w:t>
      </w:r>
      <w:r w:rsidR="00A36790">
        <w:rPr>
          <w:sz w:val="24"/>
          <w:szCs w:val="24"/>
        </w:rPr>
        <w:t xml:space="preserve">. </w:t>
      </w:r>
    </w:p>
    <w:p w:rsidR="003A0C7F" w:rsidRDefault="00106453" w:rsidP="00295A31">
      <w:pPr>
        <w:spacing w:line="480" w:lineRule="auto"/>
        <w:jc w:val="both"/>
        <w:rPr>
          <w:sz w:val="24"/>
          <w:szCs w:val="24"/>
        </w:rPr>
      </w:pPr>
      <w:r>
        <w:rPr>
          <w:sz w:val="24"/>
          <w:szCs w:val="24"/>
        </w:rPr>
        <w:t>Following these developments of the CRT model, t</w:t>
      </w:r>
      <w:r w:rsidR="00A36790">
        <w:rPr>
          <w:sz w:val="24"/>
          <w:szCs w:val="24"/>
        </w:rPr>
        <w:t>he NHS Plan in 2000 (DH 2000) mandated the national implementation of three new types of functional mental health team in England, including Crisis Resolution Teams (CRTs). This represented a bold attempt to find a nationwide solution to a perceived “crisis in acute care” (Appleby 2003), characterised by very high rates of inpatient bed occupancy and widespread dissatisfaction with acute care. It sought to achieve consistent, national implementation of the CRT service model, despite reservations at the time from some clinicians and academics about the applicability of the model to the range of different geographical and socio-demographic contexts across England (Pelosi and Jackson 2000). Government guidance (DH 2001) recommended</w:t>
      </w:r>
      <w:r w:rsidR="003A0C7F">
        <w:rPr>
          <w:sz w:val="24"/>
          <w:szCs w:val="24"/>
        </w:rPr>
        <w:t>, consistent with the developed model of CRTs in Australia (Hoult 1991)</w:t>
      </w:r>
      <w:r w:rsidR="00494AF7">
        <w:rPr>
          <w:sz w:val="24"/>
          <w:szCs w:val="24"/>
        </w:rPr>
        <w:t>,</w:t>
      </w:r>
      <w:r w:rsidR="00A36790">
        <w:rPr>
          <w:sz w:val="24"/>
          <w:szCs w:val="24"/>
        </w:rPr>
        <w:t xml:space="preserve"> that CRTs should provide an easy access, rapid response, 24 hour service; should be multi-disciplinary and able to provide medical, psychological and social interventions; and should help facilitate early discharge from acute wards. A key part of this guidance was that CRTs should fulfil a “gatekeeping” function of assessing all patients before admission to acute wards and considering home treatment as an alternative to admission wherever possible. </w:t>
      </w:r>
      <w:r w:rsidR="003A0C7F">
        <w:rPr>
          <w:sz w:val="24"/>
          <w:szCs w:val="24"/>
        </w:rPr>
        <w:t>Co</w:t>
      </w:r>
      <w:r w:rsidR="00494AF7">
        <w:rPr>
          <w:sz w:val="24"/>
          <w:szCs w:val="24"/>
        </w:rPr>
        <w:t>nfirmation</w:t>
      </w:r>
      <w:r w:rsidR="003A0C7F">
        <w:rPr>
          <w:sz w:val="24"/>
          <w:szCs w:val="24"/>
        </w:rPr>
        <w:t xml:space="preserve"> of </w:t>
      </w:r>
      <w:r w:rsidR="00494AF7">
        <w:rPr>
          <w:sz w:val="24"/>
          <w:szCs w:val="24"/>
        </w:rPr>
        <w:t>the potential effectiveness</w:t>
      </w:r>
      <w:r w:rsidR="003A0C7F">
        <w:rPr>
          <w:sz w:val="24"/>
          <w:szCs w:val="24"/>
        </w:rPr>
        <w:t xml:space="preserve"> of the CRT model in an English context was provided in 2005, with positive results from a trial </w:t>
      </w:r>
      <w:r w:rsidR="00FF7510">
        <w:rPr>
          <w:sz w:val="24"/>
          <w:szCs w:val="24"/>
        </w:rPr>
        <w:t>of an English</w:t>
      </w:r>
      <w:r w:rsidR="003A0C7F">
        <w:rPr>
          <w:sz w:val="24"/>
          <w:szCs w:val="24"/>
        </w:rPr>
        <w:t xml:space="preserve"> CRT (Joh</w:t>
      </w:r>
      <w:r w:rsidR="00494AF7">
        <w:rPr>
          <w:sz w:val="24"/>
          <w:szCs w:val="24"/>
        </w:rPr>
        <w:t xml:space="preserve">nson et al. 2005). This trial </w:t>
      </w:r>
      <w:r w:rsidR="003A0C7F">
        <w:rPr>
          <w:sz w:val="24"/>
          <w:szCs w:val="24"/>
        </w:rPr>
        <w:t xml:space="preserve">found that a CRT </w:t>
      </w:r>
      <w:r w:rsidR="00AC0B24">
        <w:rPr>
          <w:sz w:val="24"/>
          <w:szCs w:val="24"/>
        </w:rPr>
        <w:t xml:space="preserve">(developed with input from CRT pioneer John Hoult and working to the specifications of English policy implementation guidance (DH 2001)) </w:t>
      </w:r>
      <w:r w:rsidR="003A0C7F">
        <w:rPr>
          <w:sz w:val="24"/>
          <w:szCs w:val="24"/>
        </w:rPr>
        <w:t xml:space="preserve">reduced hospital admissions and inpatient bed use, and increased service users’ satisfaction with acute care.  </w:t>
      </w:r>
      <w:r w:rsidR="00494AF7">
        <w:rPr>
          <w:sz w:val="24"/>
          <w:szCs w:val="24"/>
        </w:rPr>
        <w:t xml:space="preserve">It </w:t>
      </w:r>
      <w:r w:rsidR="003A0C7F">
        <w:rPr>
          <w:sz w:val="24"/>
          <w:szCs w:val="24"/>
        </w:rPr>
        <w:t>remains the only trial of a CRT in an English context: it is included in a</w:t>
      </w:r>
      <w:r w:rsidR="001448F5">
        <w:rPr>
          <w:sz w:val="24"/>
          <w:szCs w:val="24"/>
        </w:rPr>
        <w:t xml:space="preserve"> recent systematic review from the </w:t>
      </w:r>
      <w:r w:rsidR="006F76EB">
        <w:rPr>
          <w:sz w:val="24"/>
          <w:szCs w:val="24"/>
        </w:rPr>
        <w:lastRenderedPageBreak/>
        <w:t>Cochrane</w:t>
      </w:r>
      <w:r w:rsidR="001448F5">
        <w:rPr>
          <w:sz w:val="24"/>
          <w:szCs w:val="24"/>
        </w:rPr>
        <w:t xml:space="preserve"> Collaboration</w:t>
      </w:r>
      <w:r w:rsidR="003A0C7F">
        <w:rPr>
          <w:sz w:val="24"/>
          <w:szCs w:val="24"/>
        </w:rPr>
        <w:t>, which concludes</w:t>
      </w:r>
      <w:r w:rsidR="00BC7DEC">
        <w:rPr>
          <w:sz w:val="24"/>
          <w:szCs w:val="24"/>
        </w:rPr>
        <w:t xml:space="preserve"> </w:t>
      </w:r>
      <w:r w:rsidR="001448F5">
        <w:rPr>
          <w:sz w:val="24"/>
          <w:szCs w:val="24"/>
        </w:rPr>
        <w:t>that home-based crisis intervention can be an effective al</w:t>
      </w:r>
      <w:r w:rsidR="00A568D9">
        <w:rPr>
          <w:sz w:val="24"/>
          <w:szCs w:val="24"/>
        </w:rPr>
        <w:t>ternative to hospital admission (Murphy et al. 201</w:t>
      </w:r>
      <w:r w:rsidR="00BC7DEC">
        <w:rPr>
          <w:sz w:val="24"/>
          <w:szCs w:val="24"/>
        </w:rPr>
        <w:t>5</w:t>
      </w:r>
      <w:r w:rsidR="00A568D9">
        <w:rPr>
          <w:sz w:val="24"/>
          <w:szCs w:val="24"/>
        </w:rPr>
        <w:t>)</w:t>
      </w:r>
      <w:r w:rsidR="001448F5">
        <w:rPr>
          <w:sz w:val="24"/>
          <w:szCs w:val="24"/>
        </w:rPr>
        <w:t xml:space="preserve">. </w:t>
      </w:r>
      <w:r w:rsidR="003A0C7F">
        <w:rPr>
          <w:sz w:val="24"/>
          <w:szCs w:val="24"/>
        </w:rPr>
        <w:t>There is little empirical evidence about the critical ingredients of CRTs (Wheeler et al. 2015), although there is some support for longer opening hours (Glover et al. 2006) and home-based treatment (Hasselberg et al. 2011).</w:t>
      </w:r>
    </w:p>
    <w:p w:rsidR="00D105E4" w:rsidRDefault="003A0C7F" w:rsidP="00C840C9">
      <w:pPr>
        <w:spacing w:line="480" w:lineRule="auto"/>
        <w:jc w:val="both"/>
        <w:rPr>
          <w:sz w:val="24"/>
          <w:szCs w:val="24"/>
        </w:rPr>
      </w:pPr>
      <w:r>
        <w:rPr>
          <w:sz w:val="24"/>
          <w:szCs w:val="24"/>
        </w:rPr>
        <w:t>Unlike the other service models mandated in England by the NHS Plan in 2000 (Assertive Community Treatment T</w:t>
      </w:r>
      <w:r w:rsidR="00833B5D">
        <w:rPr>
          <w:sz w:val="24"/>
          <w:szCs w:val="24"/>
        </w:rPr>
        <w:t>eams an</w:t>
      </w:r>
      <w:r>
        <w:rPr>
          <w:sz w:val="24"/>
          <w:szCs w:val="24"/>
        </w:rPr>
        <w:t xml:space="preserve">d Early Intervention Services for psychosis), and despite </w:t>
      </w:r>
      <w:r w:rsidR="00833B5D">
        <w:rPr>
          <w:sz w:val="24"/>
          <w:szCs w:val="24"/>
        </w:rPr>
        <w:t xml:space="preserve">the </w:t>
      </w:r>
      <w:r w:rsidR="001A6601">
        <w:rPr>
          <w:sz w:val="24"/>
          <w:szCs w:val="24"/>
        </w:rPr>
        <w:t xml:space="preserve">trial </w:t>
      </w:r>
      <w:r w:rsidR="00833B5D">
        <w:rPr>
          <w:sz w:val="24"/>
          <w:szCs w:val="24"/>
        </w:rPr>
        <w:t xml:space="preserve">evidence for the effectiveness of the CRT model, CRT implementation has not been widespread </w:t>
      </w:r>
      <w:r w:rsidR="00494AF7">
        <w:rPr>
          <w:sz w:val="24"/>
          <w:szCs w:val="24"/>
        </w:rPr>
        <w:t xml:space="preserve">elsewhere in the UK or </w:t>
      </w:r>
      <w:r w:rsidR="00833B5D">
        <w:rPr>
          <w:sz w:val="24"/>
          <w:szCs w:val="24"/>
        </w:rPr>
        <w:t>internationally</w:t>
      </w:r>
      <w:r w:rsidR="00494AF7">
        <w:rPr>
          <w:sz w:val="24"/>
          <w:szCs w:val="24"/>
        </w:rPr>
        <w:t xml:space="preserve"> </w:t>
      </w:r>
      <w:r w:rsidR="00833B5D">
        <w:rPr>
          <w:sz w:val="24"/>
          <w:szCs w:val="24"/>
        </w:rPr>
        <w:t>(Johnson 2013). Other than in England, CRTs have been implemented nationally only in Norway (Hasselberg et al. 2011). In England, CRTs ceased to be</w:t>
      </w:r>
      <w:r w:rsidR="00254B65">
        <w:rPr>
          <w:sz w:val="24"/>
          <w:szCs w:val="24"/>
        </w:rPr>
        <w:t xml:space="preserve"> </w:t>
      </w:r>
      <w:r w:rsidR="00833B5D">
        <w:rPr>
          <w:sz w:val="24"/>
          <w:szCs w:val="24"/>
        </w:rPr>
        <w:t xml:space="preserve">mandated </w:t>
      </w:r>
      <w:r w:rsidR="003E7D4F">
        <w:rPr>
          <w:sz w:val="24"/>
          <w:szCs w:val="24"/>
        </w:rPr>
        <w:t>with the</w:t>
      </w:r>
      <w:r w:rsidR="00833B5D">
        <w:rPr>
          <w:sz w:val="24"/>
          <w:szCs w:val="24"/>
        </w:rPr>
        <w:t xml:space="preserve"> change of UK government in 2010, but provision of CRTs with 24-hour, seven day a week access continues to be recommended in contemporary government guidance (DH 2014). </w:t>
      </w:r>
      <w:r w:rsidR="00295A31">
        <w:rPr>
          <w:sz w:val="24"/>
          <w:szCs w:val="24"/>
        </w:rPr>
        <w:t xml:space="preserve"> </w:t>
      </w:r>
    </w:p>
    <w:p w:rsidR="00A10148" w:rsidRDefault="001A6601" w:rsidP="00C840C9">
      <w:pPr>
        <w:spacing w:line="480" w:lineRule="auto"/>
        <w:jc w:val="both"/>
        <w:rPr>
          <w:sz w:val="24"/>
          <w:szCs w:val="24"/>
        </w:rPr>
      </w:pPr>
      <w:r>
        <w:rPr>
          <w:sz w:val="24"/>
          <w:szCs w:val="24"/>
        </w:rPr>
        <w:t xml:space="preserve">“Scaling up” innovative services to the level of a whole population has been identified as especially challenging when an intervention is complex, and thus hard to standardise (WHO 2008). The extent to which CRT implementation in England has been achieved is therefore of high interest for mental health service policy and </w:t>
      </w:r>
      <w:r w:rsidR="003E7D4F">
        <w:rPr>
          <w:sz w:val="24"/>
          <w:szCs w:val="24"/>
        </w:rPr>
        <w:t>planning generally</w:t>
      </w:r>
      <w:r>
        <w:rPr>
          <w:sz w:val="24"/>
          <w:szCs w:val="24"/>
        </w:rPr>
        <w:t xml:space="preserve">. </w:t>
      </w:r>
      <w:r w:rsidR="0039469F">
        <w:rPr>
          <w:sz w:val="24"/>
          <w:szCs w:val="24"/>
        </w:rPr>
        <w:t>A national survey of CRT implementatio</w:t>
      </w:r>
      <w:r w:rsidR="00A568D9">
        <w:rPr>
          <w:sz w:val="24"/>
          <w:szCs w:val="24"/>
        </w:rPr>
        <w:t>n in 2005/6 (Onyett et al. 2008)</w:t>
      </w:r>
      <w:r w:rsidR="0039469F">
        <w:rPr>
          <w:sz w:val="24"/>
          <w:szCs w:val="24"/>
        </w:rPr>
        <w:t xml:space="preserve"> found wide variation in CRTs’ organisation and service delivery, </w:t>
      </w:r>
      <w:r w:rsidR="00A778FF">
        <w:rPr>
          <w:sz w:val="24"/>
          <w:szCs w:val="24"/>
        </w:rPr>
        <w:t xml:space="preserve">in mainly </w:t>
      </w:r>
      <w:r w:rsidR="0039469F">
        <w:rPr>
          <w:sz w:val="24"/>
          <w:szCs w:val="24"/>
        </w:rPr>
        <w:t>newly implemented</w:t>
      </w:r>
      <w:r w:rsidR="00A778FF">
        <w:rPr>
          <w:sz w:val="24"/>
          <w:szCs w:val="24"/>
        </w:rPr>
        <w:t xml:space="preserve"> teams</w:t>
      </w:r>
      <w:r w:rsidR="0039469F">
        <w:rPr>
          <w:sz w:val="24"/>
          <w:szCs w:val="24"/>
        </w:rPr>
        <w:t xml:space="preserve">, with only 40% describing themselves as fully </w:t>
      </w:r>
      <w:r w:rsidR="00A568D9">
        <w:rPr>
          <w:sz w:val="24"/>
          <w:szCs w:val="24"/>
        </w:rPr>
        <w:t>established</w:t>
      </w:r>
      <w:r w:rsidR="0039469F">
        <w:rPr>
          <w:sz w:val="24"/>
          <w:szCs w:val="24"/>
        </w:rPr>
        <w:t xml:space="preserve">. Little is known about how the national implementation of a complex mental health service model has developed since 2005, although </w:t>
      </w:r>
      <w:r w:rsidR="00A778FF">
        <w:rPr>
          <w:sz w:val="24"/>
          <w:szCs w:val="24"/>
        </w:rPr>
        <w:t xml:space="preserve">recurrent </w:t>
      </w:r>
      <w:r w:rsidR="0039469F">
        <w:rPr>
          <w:sz w:val="24"/>
          <w:szCs w:val="24"/>
        </w:rPr>
        <w:t xml:space="preserve">criticisms from service users have </w:t>
      </w:r>
      <w:r w:rsidR="001644AD">
        <w:rPr>
          <w:sz w:val="24"/>
          <w:szCs w:val="24"/>
        </w:rPr>
        <w:t xml:space="preserve">included: </w:t>
      </w:r>
      <w:r w:rsidR="00A778FF">
        <w:rPr>
          <w:sz w:val="24"/>
          <w:szCs w:val="24"/>
        </w:rPr>
        <w:t xml:space="preserve">poor </w:t>
      </w:r>
      <w:r w:rsidR="001644AD">
        <w:rPr>
          <w:sz w:val="24"/>
          <w:szCs w:val="24"/>
        </w:rPr>
        <w:t>access</w:t>
      </w:r>
      <w:r w:rsidR="00A778FF">
        <w:rPr>
          <w:sz w:val="24"/>
          <w:szCs w:val="24"/>
        </w:rPr>
        <w:t>ibility</w:t>
      </w:r>
      <w:r w:rsidR="001644AD">
        <w:rPr>
          <w:sz w:val="24"/>
          <w:szCs w:val="24"/>
        </w:rPr>
        <w:t xml:space="preserve"> to CRT care;</w:t>
      </w:r>
      <w:r w:rsidR="0039469F">
        <w:rPr>
          <w:sz w:val="24"/>
          <w:szCs w:val="24"/>
        </w:rPr>
        <w:t xml:space="preserve"> poor continuity of care</w:t>
      </w:r>
      <w:r w:rsidR="001644AD">
        <w:rPr>
          <w:sz w:val="24"/>
          <w:szCs w:val="24"/>
        </w:rPr>
        <w:t>;</w:t>
      </w:r>
      <w:r w:rsidR="0039469F">
        <w:rPr>
          <w:sz w:val="24"/>
          <w:szCs w:val="24"/>
        </w:rPr>
        <w:t xml:space="preserve"> and a narrow medical focus and lack of choice regarding interventions provided </w:t>
      </w:r>
      <w:r w:rsidR="00A568D9">
        <w:rPr>
          <w:sz w:val="24"/>
          <w:szCs w:val="24"/>
        </w:rPr>
        <w:t>(Mind 2011, Hopkins and Niemiec 2007, Lyons et al. 2009)</w:t>
      </w:r>
      <w:r w:rsidR="00203AFE">
        <w:rPr>
          <w:sz w:val="24"/>
          <w:szCs w:val="24"/>
        </w:rPr>
        <w:t>.</w:t>
      </w:r>
    </w:p>
    <w:p w:rsidR="00EF2CAE" w:rsidRDefault="0058616D" w:rsidP="00C840C9">
      <w:pPr>
        <w:spacing w:line="480" w:lineRule="auto"/>
        <w:jc w:val="both"/>
        <w:rPr>
          <w:sz w:val="24"/>
          <w:szCs w:val="24"/>
        </w:rPr>
      </w:pPr>
      <w:r>
        <w:rPr>
          <w:sz w:val="24"/>
          <w:szCs w:val="24"/>
        </w:rPr>
        <w:t xml:space="preserve"> </w:t>
      </w:r>
      <w:r w:rsidR="001448F5">
        <w:rPr>
          <w:sz w:val="24"/>
          <w:szCs w:val="24"/>
        </w:rPr>
        <w:t xml:space="preserve">Despite trial evidence that CRTs can be an effective service model, </w:t>
      </w:r>
      <w:r w:rsidR="00D105E4">
        <w:rPr>
          <w:sz w:val="24"/>
          <w:szCs w:val="24"/>
        </w:rPr>
        <w:t xml:space="preserve">evidence </w:t>
      </w:r>
      <w:r w:rsidR="003E7D4F">
        <w:rPr>
          <w:sz w:val="24"/>
          <w:szCs w:val="24"/>
        </w:rPr>
        <w:t>regarding their</w:t>
      </w:r>
      <w:r w:rsidR="001448F5">
        <w:rPr>
          <w:sz w:val="24"/>
          <w:szCs w:val="24"/>
        </w:rPr>
        <w:t xml:space="preserve"> impact </w:t>
      </w:r>
      <w:r w:rsidR="00DB4DF6">
        <w:rPr>
          <w:sz w:val="24"/>
          <w:szCs w:val="24"/>
        </w:rPr>
        <w:t xml:space="preserve">nationally </w:t>
      </w:r>
      <w:r>
        <w:rPr>
          <w:sz w:val="24"/>
          <w:szCs w:val="24"/>
        </w:rPr>
        <w:t xml:space="preserve">in </w:t>
      </w:r>
      <w:r w:rsidR="00DB4DF6">
        <w:rPr>
          <w:sz w:val="24"/>
          <w:szCs w:val="24"/>
        </w:rPr>
        <w:t xml:space="preserve">England </w:t>
      </w:r>
      <w:r w:rsidR="006F76EB">
        <w:rPr>
          <w:sz w:val="24"/>
          <w:szCs w:val="24"/>
        </w:rPr>
        <w:t>is equivocal</w:t>
      </w:r>
      <w:r>
        <w:rPr>
          <w:sz w:val="24"/>
          <w:szCs w:val="24"/>
        </w:rPr>
        <w:t xml:space="preserve">. </w:t>
      </w:r>
      <w:r w:rsidR="001644AD">
        <w:rPr>
          <w:sz w:val="24"/>
          <w:szCs w:val="24"/>
        </w:rPr>
        <w:t>T</w:t>
      </w:r>
      <w:r w:rsidR="001B2637">
        <w:rPr>
          <w:sz w:val="24"/>
          <w:szCs w:val="24"/>
        </w:rPr>
        <w:t xml:space="preserve">wo analyses from a nationwide study </w:t>
      </w:r>
      <w:r w:rsidR="00617485">
        <w:rPr>
          <w:sz w:val="24"/>
          <w:szCs w:val="24"/>
        </w:rPr>
        <w:t xml:space="preserve">using routine hospital admissions data </w:t>
      </w:r>
      <w:r w:rsidR="001B2637">
        <w:rPr>
          <w:sz w:val="24"/>
          <w:szCs w:val="24"/>
        </w:rPr>
        <w:t>reached different conclusions about whether there is any association between CRT implementation and a red</w:t>
      </w:r>
      <w:r w:rsidR="00A568D9">
        <w:rPr>
          <w:sz w:val="24"/>
          <w:szCs w:val="24"/>
        </w:rPr>
        <w:t xml:space="preserve">uction in </w:t>
      </w:r>
      <w:r w:rsidR="00DE659D">
        <w:rPr>
          <w:sz w:val="24"/>
          <w:szCs w:val="24"/>
        </w:rPr>
        <w:t xml:space="preserve">inpatient </w:t>
      </w:r>
      <w:r w:rsidR="00A568D9">
        <w:rPr>
          <w:sz w:val="24"/>
          <w:szCs w:val="24"/>
        </w:rPr>
        <w:t>bed use (Glover et al. 2006, Jacobs and Barrenho 2011)</w:t>
      </w:r>
      <w:r w:rsidR="001B2637">
        <w:rPr>
          <w:sz w:val="24"/>
          <w:szCs w:val="24"/>
        </w:rPr>
        <w:t xml:space="preserve">. Rates of compulsory inpatient admissions in the </w:t>
      </w:r>
      <w:r w:rsidR="00DB4DF6">
        <w:rPr>
          <w:sz w:val="24"/>
          <w:szCs w:val="24"/>
        </w:rPr>
        <w:t xml:space="preserve">England </w:t>
      </w:r>
      <w:r w:rsidR="001B2637">
        <w:rPr>
          <w:sz w:val="24"/>
          <w:szCs w:val="24"/>
        </w:rPr>
        <w:t xml:space="preserve">have risen </w:t>
      </w:r>
      <w:r w:rsidR="001448F5">
        <w:rPr>
          <w:sz w:val="24"/>
          <w:szCs w:val="24"/>
        </w:rPr>
        <w:t>over the last decade despite CRT</w:t>
      </w:r>
      <w:r w:rsidR="001B2637">
        <w:rPr>
          <w:sz w:val="24"/>
          <w:szCs w:val="24"/>
        </w:rPr>
        <w:t xml:space="preserve"> implemen</w:t>
      </w:r>
      <w:r w:rsidR="00A568D9">
        <w:rPr>
          <w:sz w:val="24"/>
          <w:szCs w:val="24"/>
        </w:rPr>
        <w:t>tation (Keown et al. 2011, HSCIC 2015)</w:t>
      </w:r>
      <w:r w:rsidR="001B2637">
        <w:rPr>
          <w:sz w:val="24"/>
          <w:szCs w:val="24"/>
        </w:rPr>
        <w:t xml:space="preserve">. </w:t>
      </w:r>
    </w:p>
    <w:p w:rsidR="007755C0" w:rsidRDefault="00C6537E" w:rsidP="00C840C9">
      <w:pPr>
        <w:spacing w:line="480" w:lineRule="auto"/>
        <w:jc w:val="both"/>
        <w:rPr>
          <w:sz w:val="24"/>
          <w:szCs w:val="24"/>
        </w:rPr>
      </w:pPr>
      <w:r>
        <w:rPr>
          <w:sz w:val="24"/>
          <w:szCs w:val="24"/>
        </w:rPr>
        <w:t>On account of this potential</w:t>
      </w:r>
      <w:r w:rsidR="00EF2CAE">
        <w:rPr>
          <w:sz w:val="24"/>
          <w:szCs w:val="24"/>
        </w:rPr>
        <w:t xml:space="preserve"> gap between efficacy and effectiveness for the CRT model in England, i</w:t>
      </w:r>
      <w:r w:rsidR="00265786">
        <w:rPr>
          <w:sz w:val="24"/>
          <w:szCs w:val="24"/>
        </w:rPr>
        <w:t xml:space="preserve">t is of particular interest to examine how implementation has occurred in practice and how it may </w:t>
      </w:r>
      <w:r w:rsidR="00823D49">
        <w:rPr>
          <w:sz w:val="24"/>
          <w:szCs w:val="24"/>
        </w:rPr>
        <w:t xml:space="preserve">have </w:t>
      </w:r>
      <w:r w:rsidR="00265786">
        <w:rPr>
          <w:sz w:val="24"/>
          <w:szCs w:val="24"/>
        </w:rPr>
        <w:t>deviate</w:t>
      </w:r>
      <w:r w:rsidR="00823D49">
        <w:rPr>
          <w:sz w:val="24"/>
          <w:szCs w:val="24"/>
        </w:rPr>
        <w:t>d</w:t>
      </w:r>
      <w:r w:rsidR="00EF2CAE">
        <w:rPr>
          <w:sz w:val="24"/>
          <w:szCs w:val="24"/>
        </w:rPr>
        <w:t xml:space="preserve"> from what was intended.</w:t>
      </w:r>
      <w:r w:rsidR="00265786">
        <w:rPr>
          <w:sz w:val="24"/>
          <w:szCs w:val="24"/>
        </w:rPr>
        <w:t xml:space="preserve"> </w:t>
      </w:r>
      <w:r w:rsidR="00EF2CAE">
        <w:rPr>
          <w:sz w:val="24"/>
          <w:szCs w:val="24"/>
        </w:rPr>
        <w:t xml:space="preserve">This can </w:t>
      </w:r>
      <w:r w:rsidR="006F76EB">
        <w:rPr>
          <w:sz w:val="24"/>
          <w:szCs w:val="24"/>
        </w:rPr>
        <w:t>provide generalizable</w:t>
      </w:r>
      <w:r w:rsidR="00265786">
        <w:rPr>
          <w:sz w:val="24"/>
          <w:szCs w:val="24"/>
        </w:rPr>
        <w:t xml:space="preserve"> knowledge about the process and potential barriers to implementation of complex interventions</w:t>
      </w:r>
      <w:r w:rsidR="00470DF5">
        <w:rPr>
          <w:sz w:val="24"/>
          <w:szCs w:val="24"/>
        </w:rPr>
        <w:t>,</w:t>
      </w:r>
      <w:r w:rsidR="00265786">
        <w:rPr>
          <w:sz w:val="24"/>
          <w:szCs w:val="24"/>
        </w:rPr>
        <w:t xml:space="preserve"> and </w:t>
      </w:r>
      <w:r w:rsidR="00470DF5">
        <w:rPr>
          <w:sz w:val="24"/>
          <w:szCs w:val="24"/>
        </w:rPr>
        <w:t xml:space="preserve">help </w:t>
      </w:r>
      <w:r w:rsidR="00265786">
        <w:rPr>
          <w:sz w:val="24"/>
          <w:szCs w:val="24"/>
        </w:rPr>
        <w:t>understand wh</w:t>
      </w:r>
      <w:r w:rsidR="00FF7510">
        <w:rPr>
          <w:sz w:val="24"/>
          <w:szCs w:val="24"/>
        </w:rPr>
        <w:t>y the anticipated benefits of</w:t>
      </w:r>
      <w:r w:rsidR="00265786">
        <w:rPr>
          <w:sz w:val="24"/>
          <w:szCs w:val="24"/>
        </w:rPr>
        <w:t xml:space="preserve"> CRT implementation</w:t>
      </w:r>
      <w:r w:rsidR="00FF7510">
        <w:rPr>
          <w:sz w:val="24"/>
          <w:szCs w:val="24"/>
        </w:rPr>
        <w:t xml:space="preserve"> in England</w:t>
      </w:r>
      <w:r w:rsidR="00265786">
        <w:rPr>
          <w:sz w:val="24"/>
          <w:szCs w:val="24"/>
        </w:rPr>
        <w:t xml:space="preserve"> regarding admission rates and user </w:t>
      </w:r>
      <w:r w:rsidR="006F76EB">
        <w:rPr>
          <w:sz w:val="24"/>
          <w:szCs w:val="24"/>
        </w:rPr>
        <w:t>satisfaction</w:t>
      </w:r>
      <w:r w:rsidR="00265786">
        <w:rPr>
          <w:sz w:val="24"/>
          <w:szCs w:val="24"/>
        </w:rPr>
        <w:t xml:space="preserve">, may not have been fully realised.  </w:t>
      </w:r>
      <w:r w:rsidR="00033E27">
        <w:rPr>
          <w:sz w:val="24"/>
          <w:szCs w:val="24"/>
        </w:rPr>
        <w:t xml:space="preserve">CRT managers constitute an important and well informed stakeholder group: their views about service needs and discrepancies between actual and desirable CRT service provision are therefore of high interest to identify potential priorities for CRT service development and quality improvement. </w:t>
      </w:r>
    </w:p>
    <w:p w:rsidR="00265786" w:rsidRDefault="00265786" w:rsidP="00C840C9">
      <w:pPr>
        <w:spacing w:line="480" w:lineRule="auto"/>
        <w:jc w:val="both"/>
        <w:rPr>
          <w:sz w:val="24"/>
          <w:szCs w:val="24"/>
        </w:rPr>
      </w:pPr>
    </w:p>
    <w:p w:rsidR="00402E0C" w:rsidRPr="00A778FF" w:rsidRDefault="00C22CF0" w:rsidP="00C840C9">
      <w:pPr>
        <w:spacing w:line="480" w:lineRule="auto"/>
        <w:jc w:val="both"/>
        <w:rPr>
          <w:sz w:val="24"/>
          <w:szCs w:val="24"/>
        </w:rPr>
      </w:pPr>
      <w:r>
        <w:rPr>
          <w:sz w:val="24"/>
          <w:szCs w:val="24"/>
        </w:rPr>
        <w:t>In this paper we analyse</w:t>
      </w:r>
      <w:r w:rsidR="00112251">
        <w:rPr>
          <w:sz w:val="24"/>
          <w:szCs w:val="24"/>
        </w:rPr>
        <w:t>d</w:t>
      </w:r>
      <w:r>
        <w:rPr>
          <w:sz w:val="24"/>
          <w:szCs w:val="24"/>
        </w:rPr>
        <w:t xml:space="preserve"> a national survey of </w:t>
      </w:r>
      <w:r w:rsidR="00CF7A46">
        <w:rPr>
          <w:sz w:val="24"/>
          <w:szCs w:val="24"/>
        </w:rPr>
        <w:t>managers of CRT teams conducted in 2011/12</w:t>
      </w:r>
      <w:r>
        <w:rPr>
          <w:sz w:val="24"/>
          <w:szCs w:val="24"/>
        </w:rPr>
        <w:t xml:space="preserve"> in order to explore the impact of a national mandate</w:t>
      </w:r>
      <w:r w:rsidR="00BF405C">
        <w:rPr>
          <w:sz w:val="24"/>
          <w:szCs w:val="24"/>
        </w:rPr>
        <w:t>.</w:t>
      </w:r>
      <w:r w:rsidR="00CF7A46">
        <w:rPr>
          <w:sz w:val="24"/>
          <w:szCs w:val="24"/>
        </w:rPr>
        <w:t xml:space="preserve"> </w:t>
      </w:r>
      <w:r w:rsidR="00BF405C">
        <w:rPr>
          <w:sz w:val="24"/>
          <w:szCs w:val="24"/>
        </w:rPr>
        <w:t xml:space="preserve">We </w:t>
      </w:r>
      <w:r w:rsidR="00CF7A46">
        <w:rPr>
          <w:sz w:val="24"/>
          <w:szCs w:val="24"/>
        </w:rPr>
        <w:t>aimed to:</w:t>
      </w:r>
      <w:r w:rsidR="00A778FF">
        <w:rPr>
          <w:sz w:val="24"/>
          <w:szCs w:val="24"/>
        </w:rPr>
        <w:t xml:space="preserve"> m</w:t>
      </w:r>
      <w:r w:rsidR="00CF7A46" w:rsidRPr="00A778FF">
        <w:rPr>
          <w:sz w:val="24"/>
          <w:szCs w:val="24"/>
        </w:rPr>
        <w:t>ap the provision of CRTs in England and describe their organisation and service delivery</w:t>
      </w:r>
      <w:r w:rsidR="00A778FF">
        <w:rPr>
          <w:sz w:val="24"/>
          <w:szCs w:val="24"/>
        </w:rPr>
        <w:t>; e</w:t>
      </w:r>
      <w:r w:rsidR="00CF7A46" w:rsidRPr="00A778FF">
        <w:rPr>
          <w:sz w:val="24"/>
          <w:szCs w:val="24"/>
        </w:rPr>
        <w:t>xplore the extent to which CRT</w:t>
      </w:r>
      <w:r w:rsidR="00A778FF">
        <w:rPr>
          <w:sz w:val="24"/>
          <w:szCs w:val="24"/>
        </w:rPr>
        <w:t>s adhere</w:t>
      </w:r>
      <w:r w:rsidR="00CF7A46" w:rsidRPr="00A778FF">
        <w:rPr>
          <w:sz w:val="24"/>
          <w:szCs w:val="24"/>
        </w:rPr>
        <w:t xml:space="preserve"> to key recommendations from</w:t>
      </w:r>
      <w:r w:rsidR="00A778FF">
        <w:rPr>
          <w:sz w:val="24"/>
          <w:szCs w:val="24"/>
        </w:rPr>
        <w:t xml:space="preserve"> government guidance</w:t>
      </w:r>
      <w:r w:rsidR="00A568D9">
        <w:rPr>
          <w:sz w:val="24"/>
          <w:szCs w:val="24"/>
        </w:rPr>
        <w:t xml:space="preserve"> (DH 2001)</w:t>
      </w:r>
      <w:r w:rsidR="00A778FF">
        <w:rPr>
          <w:sz w:val="24"/>
          <w:szCs w:val="24"/>
        </w:rPr>
        <w:t>; and c</w:t>
      </w:r>
      <w:r w:rsidR="00402E0C" w:rsidRPr="00A778FF">
        <w:rPr>
          <w:sz w:val="24"/>
          <w:szCs w:val="24"/>
        </w:rPr>
        <w:t>ompare CRT managers’ views on optimal and actual CRT organisation and service delivery</w:t>
      </w:r>
      <w:r w:rsidR="00015FE3">
        <w:rPr>
          <w:sz w:val="24"/>
          <w:szCs w:val="24"/>
        </w:rPr>
        <w:t>.</w:t>
      </w:r>
      <w:r w:rsidR="00402E0C" w:rsidRPr="00A778FF">
        <w:rPr>
          <w:sz w:val="24"/>
          <w:szCs w:val="24"/>
        </w:rPr>
        <w:t xml:space="preserve"> </w:t>
      </w:r>
    </w:p>
    <w:p w:rsidR="00402E0C" w:rsidRDefault="00402E0C" w:rsidP="00C840C9">
      <w:pPr>
        <w:spacing w:line="480" w:lineRule="auto"/>
        <w:jc w:val="both"/>
        <w:rPr>
          <w:sz w:val="24"/>
          <w:szCs w:val="24"/>
        </w:rPr>
      </w:pPr>
    </w:p>
    <w:p w:rsidR="00402E0C" w:rsidRDefault="00402E0C" w:rsidP="00C840C9">
      <w:pPr>
        <w:spacing w:line="480" w:lineRule="auto"/>
        <w:jc w:val="both"/>
        <w:rPr>
          <w:b/>
          <w:sz w:val="24"/>
          <w:szCs w:val="24"/>
        </w:rPr>
      </w:pPr>
      <w:r>
        <w:rPr>
          <w:b/>
          <w:sz w:val="24"/>
          <w:szCs w:val="24"/>
        </w:rPr>
        <w:t>Method</w:t>
      </w:r>
    </w:p>
    <w:p w:rsidR="00D266D3" w:rsidRDefault="00D266D3" w:rsidP="00C840C9">
      <w:pPr>
        <w:spacing w:line="480" w:lineRule="auto"/>
        <w:jc w:val="both"/>
        <w:rPr>
          <w:sz w:val="24"/>
          <w:szCs w:val="24"/>
        </w:rPr>
      </w:pPr>
      <w:r w:rsidRPr="00F71CE9">
        <w:rPr>
          <w:b/>
          <w:sz w:val="24"/>
          <w:szCs w:val="24"/>
        </w:rPr>
        <w:t>Setting</w:t>
      </w:r>
      <w:r w:rsidR="007153A9" w:rsidRPr="00F71CE9">
        <w:rPr>
          <w:b/>
          <w:sz w:val="24"/>
          <w:szCs w:val="24"/>
        </w:rPr>
        <w:t>:</w:t>
      </w:r>
      <w:r w:rsidR="007153A9">
        <w:rPr>
          <w:sz w:val="24"/>
          <w:szCs w:val="24"/>
        </w:rPr>
        <w:t xml:space="preserve"> We sought to survey all CRTs in England. </w:t>
      </w:r>
    </w:p>
    <w:p w:rsidR="00D266D3" w:rsidRPr="00F71CE9" w:rsidRDefault="00D266D3" w:rsidP="00C840C9">
      <w:pPr>
        <w:spacing w:line="480" w:lineRule="auto"/>
        <w:jc w:val="both"/>
        <w:rPr>
          <w:sz w:val="24"/>
          <w:szCs w:val="24"/>
        </w:rPr>
      </w:pPr>
      <w:r w:rsidRPr="00F71CE9">
        <w:rPr>
          <w:b/>
          <w:sz w:val="24"/>
          <w:szCs w:val="24"/>
        </w:rPr>
        <w:t>Participants</w:t>
      </w:r>
      <w:r w:rsidR="00F71CE9">
        <w:rPr>
          <w:b/>
          <w:sz w:val="24"/>
          <w:szCs w:val="24"/>
        </w:rPr>
        <w:t xml:space="preserve">: </w:t>
      </w:r>
      <w:r w:rsidR="00F71CE9">
        <w:rPr>
          <w:sz w:val="24"/>
          <w:szCs w:val="24"/>
        </w:rPr>
        <w:t xml:space="preserve">The team manager of each identified CRT was invited to participate in the survey. Where a team manager post was vacant or the manager wished to delegate completing the survey, </w:t>
      </w:r>
      <w:r w:rsidR="00A778FF">
        <w:rPr>
          <w:sz w:val="24"/>
          <w:szCs w:val="24"/>
        </w:rPr>
        <w:t>an alternative senior member of the CRT was invited to participate.</w:t>
      </w:r>
    </w:p>
    <w:p w:rsidR="00D266D3" w:rsidRDefault="00D266D3" w:rsidP="00BF405C">
      <w:pPr>
        <w:spacing w:line="480" w:lineRule="auto"/>
        <w:jc w:val="both"/>
        <w:rPr>
          <w:sz w:val="24"/>
          <w:szCs w:val="24"/>
        </w:rPr>
      </w:pPr>
      <w:r w:rsidRPr="00F71CE9">
        <w:rPr>
          <w:b/>
          <w:sz w:val="24"/>
          <w:szCs w:val="24"/>
        </w:rPr>
        <w:t>Measures</w:t>
      </w:r>
      <w:r w:rsidR="00F71CE9">
        <w:rPr>
          <w:b/>
          <w:sz w:val="24"/>
          <w:szCs w:val="24"/>
        </w:rPr>
        <w:t xml:space="preserve">: </w:t>
      </w:r>
      <w:r w:rsidR="00F71CE9">
        <w:rPr>
          <w:sz w:val="24"/>
          <w:szCs w:val="24"/>
        </w:rPr>
        <w:t>The study team developed a 90-item questionnaire</w:t>
      </w:r>
      <w:r w:rsidR="00D67845">
        <w:rPr>
          <w:sz w:val="24"/>
          <w:szCs w:val="24"/>
        </w:rPr>
        <w:t xml:space="preserve"> informed by</w:t>
      </w:r>
      <w:r w:rsidR="00F71CE9">
        <w:rPr>
          <w:sz w:val="24"/>
          <w:szCs w:val="24"/>
        </w:rPr>
        <w:t xml:space="preserve"> previous </w:t>
      </w:r>
      <w:r w:rsidR="00A568D9">
        <w:rPr>
          <w:sz w:val="24"/>
          <w:szCs w:val="24"/>
        </w:rPr>
        <w:t>national surveys of CRTs (Onyett et al. 2008)</w:t>
      </w:r>
      <w:r w:rsidR="00F71CE9">
        <w:rPr>
          <w:sz w:val="24"/>
          <w:szCs w:val="24"/>
        </w:rPr>
        <w:t xml:space="preserve"> and residential cris</w:t>
      </w:r>
      <w:r w:rsidR="00A568D9">
        <w:rPr>
          <w:sz w:val="24"/>
          <w:szCs w:val="24"/>
        </w:rPr>
        <w:t>is services (Johnson et al. 2009)</w:t>
      </w:r>
      <w:r w:rsidR="00374CD9">
        <w:rPr>
          <w:sz w:val="24"/>
          <w:szCs w:val="24"/>
        </w:rPr>
        <w:t xml:space="preserve"> and refined following piloting in four CRTs</w:t>
      </w:r>
      <w:r w:rsidR="00F71CE9">
        <w:rPr>
          <w:sz w:val="24"/>
          <w:szCs w:val="24"/>
        </w:rPr>
        <w:t xml:space="preserve">. </w:t>
      </w:r>
      <w:r w:rsidR="00C22CF0">
        <w:rPr>
          <w:sz w:val="24"/>
          <w:szCs w:val="24"/>
        </w:rPr>
        <w:t xml:space="preserve">Our main aim was to investigate how far the CRT model appeared to have been implemented as intended. </w:t>
      </w:r>
      <w:r w:rsidR="00F71CE9">
        <w:rPr>
          <w:sz w:val="24"/>
          <w:szCs w:val="24"/>
        </w:rPr>
        <w:t xml:space="preserve">The survey covered: team location and access; </w:t>
      </w:r>
      <w:r w:rsidR="00B81423">
        <w:rPr>
          <w:sz w:val="24"/>
          <w:szCs w:val="24"/>
        </w:rPr>
        <w:t xml:space="preserve">team staffing, </w:t>
      </w:r>
      <w:r w:rsidR="00F71CE9">
        <w:rPr>
          <w:sz w:val="24"/>
          <w:szCs w:val="24"/>
        </w:rPr>
        <w:t xml:space="preserve">staff training and induction; </w:t>
      </w:r>
      <w:r w:rsidR="00B81423">
        <w:rPr>
          <w:sz w:val="24"/>
          <w:szCs w:val="24"/>
        </w:rPr>
        <w:t>joint working with other community and inpatient services; interventions provided and initiatives to improve service users’ experience of care; discharge arrangements; information about catchment area and caseload size</w:t>
      </w:r>
      <w:r w:rsidR="00D47259">
        <w:rPr>
          <w:sz w:val="24"/>
          <w:szCs w:val="24"/>
        </w:rPr>
        <w:t xml:space="preserve">; </w:t>
      </w:r>
      <w:r w:rsidR="00AB11AE">
        <w:rPr>
          <w:sz w:val="24"/>
          <w:szCs w:val="24"/>
        </w:rPr>
        <w:t xml:space="preserve">any </w:t>
      </w:r>
      <w:r w:rsidR="00E36A5D">
        <w:rPr>
          <w:sz w:val="24"/>
          <w:szCs w:val="24"/>
        </w:rPr>
        <w:t>service improvement initiatives</w:t>
      </w:r>
      <w:r w:rsidR="00B81423">
        <w:rPr>
          <w:sz w:val="24"/>
          <w:szCs w:val="24"/>
        </w:rPr>
        <w:t xml:space="preserve">. </w:t>
      </w:r>
      <w:r w:rsidR="002E3D0C">
        <w:rPr>
          <w:sz w:val="24"/>
          <w:szCs w:val="24"/>
        </w:rPr>
        <w:t>M</w:t>
      </w:r>
      <w:r w:rsidR="00B81423">
        <w:rPr>
          <w:sz w:val="24"/>
          <w:szCs w:val="24"/>
        </w:rPr>
        <w:t xml:space="preserve">anagers were </w:t>
      </w:r>
      <w:r w:rsidR="002E3D0C">
        <w:rPr>
          <w:sz w:val="24"/>
          <w:szCs w:val="24"/>
        </w:rPr>
        <w:t xml:space="preserve">also </w:t>
      </w:r>
      <w:r w:rsidR="00B81423">
        <w:rPr>
          <w:sz w:val="24"/>
          <w:szCs w:val="24"/>
        </w:rPr>
        <w:t xml:space="preserve">asked to rate the usefulness of </w:t>
      </w:r>
      <w:r w:rsidR="00E12C39">
        <w:rPr>
          <w:sz w:val="24"/>
          <w:szCs w:val="24"/>
        </w:rPr>
        <w:t xml:space="preserve">aspects of the referral process and interventions </w:t>
      </w:r>
      <w:r w:rsidR="002E3D0C">
        <w:rPr>
          <w:sz w:val="24"/>
          <w:szCs w:val="24"/>
        </w:rPr>
        <w:t>using</w:t>
      </w:r>
      <w:r w:rsidR="00A778FF">
        <w:rPr>
          <w:sz w:val="24"/>
          <w:szCs w:val="24"/>
        </w:rPr>
        <w:t xml:space="preserve"> a five point </w:t>
      </w:r>
      <w:r w:rsidR="00C22CF0">
        <w:rPr>
          <w:sz w:val="24"/>
          <w:szCs w:val="24"/>
        </w:rPr>
        <w:t>L</w:t>
      </w:r>
      <w:r w:rsidR="00A778FF">
        <w:rPr>
          <w:sz w:val="24"/>
          <w:szCs w:val="24"/>
        </w:rPr>
        <w:t xml:space="preserve">ikert scale and provide </w:t>
      </w:r>
      <w:r w:rsidR="0013673C">
        <w:rPr>
          <w:sz w:val="24"/>
          <w:szCs w:val="24"/>
        </w:rPr>
        <w:t xml:space="preserve">free text responses regarding provision of complex interventions and priorities for CRT service improvement.  </w:t>
      </w:r>
      <w:r w:rsidR="00B81423" w:rsidRPr="00A778FF">
        <w:rPr>
          <w:sz w:val="24"/>
          <w:szCs w:val="24"/>
        </w:rPr>
        <w:t>The questionnaire</w:t>
      </w:r>
      <w:r w:rsidR="00B81423" w:rsidRPr="0013673C">
        <w:rPr>
          <w:sz w:val="28"/>
          <w:szCs w:val="24"/>
        </w:rPr>
        <w:t xml:space="preserve"> </w:t>
      </w:r>
      <w:r w:rsidR="00B81423">
        <w:rPr>
          <w:sz w:val="24"/>
          <w:szCs w:val="24"/>
        </w:rPr>
        <w:t>took about one hour to complete.</w:t>
      </w:r>
      <w:r w:rsidR="000A508C">
        <w:rPr>
          <w:sz w:val="24"/>
          <w:szCs w:val="24"/>
        </w:rPr>
        <w:t xml:space="preserve"> </w:t>
      </w:r>
    </w:p>
    <w:p w:rsidR="00D266D3" w:rsidRPr="00344771" w:rsidRDefault="00D266D3" w:rsidP="00C840C9">
      <w:pPr>
        <w:spacing w:line="480" w:lineRule="auto"/>
        <w:jc w:val="both"/>
        <w:rPr>
          <w:sz w:val="24"/>
          <w:szCs w:val="24"/>
        </w:rPr>
      </w:pPr>
      <w:r w:rsidRPr="00B81423">
        <w:rPr>
          <w:b/>
          <w:sz w:val="24"/>
          <w:szCs w:val="24"/>
        </w:rPr>
        <w:t>Procedures</w:t>
      </w:r>
      <w:r w:rsidR="00B81423">
        <w:rPr>
          <w:b/>
          <w:sz w:val="24"/>
          <w:szCs w:val="24"/>
        </w:rPr>
        <w:t xml:space="preserve">: </w:t>
      </w:r>
      <w:r w:rsidR="00A778FF">
        <w:rPr>
          <w:sz w:val="24"/>
          <w:szCs w:val="24"/>
        </w:rPr>
        <w:t>T</w:t>
      </w:r>
      <w:r w:rsidR="00344771">
        <w:rPr>
          <w:sz w:val="24"/>
          <w:szCs w:val="24"/>
        </w:rPr>
        <w:t xml:space="preserve">he </w:t>
      </w:r>
      <w:r w:rsidR="00A778FF">
        <w:rPr>
          <w:sz w:val="24"/>
          <w:szCs w:val="24"/>
        </w:rPr>
        <w:t xml:space="preserve">Camden and </w:t>
      </w:r>
      <w:r w:rsidR="00344771">
        <w:rPr>
          <w:sz w:val="24"/>
          <w:szCs w:val="24"/>
        </w:rPr>
        <w:t>Islington Research Ethics Committee confirmed that the survey met the criteria for a service evalu</w:t>
      </w:r>
      <w:r w:rsidR="0013673C">
        <w:rPr>
          <w:sz w:val="24"/>
          <w:szCs w:val="24"/>
        </w:rPr>
        <w:t>ation, rather than research</w:t>
      </w:r>
      <w:r w:rsidR="00A568D9">
        <w:rPr>
          <w:sz w:val="24"/>
          <w:szCs w:val="24"/>
        </w:rPr>
        <w:t xml:space="preserve"> (HRA 2013)</w:t>
      </w:r>
      <w:r w:rsidR="00203AFE">
        <w:rPr>
          <w:sz w:val="24"/>
          <w:szCs w:val="24"/>
        </w:rPr>
        <w:t xml:space="preserve">, </w:t>
      </w:r>
      <w:r w:rsidR="0013673C">
        <w:rPr>
          <w:sz w:val="24"/>
          <w:szCs w:val="24"/>
        </w:rPr>
        <w:t>and as such did not require review by an</w:t>
      </w:r>
      <w:r w:rsidR="00344771">
        <w:rPr>
          <w:sz w:val="24"/>
          <w:szCs w:val="24"/>
        </w:rPr>
        <w:t xml:space="preserve"> ethics committee. </w:t>
      </w:r>
      <w:r w:rsidR="006F520A" w:rsidRPr="006F520A">
        <w:rPr>
          <w:sz w:val="24"/>
          <w:szCs w:val="24"/>
        </w:rPr>
        <w:t xml:space="preserve">CRTs were mapped by multiple means including: the website of each area of National Health Service mental health service provision (NHS Mental Health Trusts); contact with NHS Trusts’ research (R&amp;D) departments; and national CRT networks (e.g. the Royal College of Psychiatrists’ CRT network). Researchers also checked with participating service managers that all other CRTs within their NHS Trust had been identified. </w:t>
      </w:r>
      <w:r w:rsidR="00344771">
        <w:rPr>
          <w:sz w:val="24"/>
          <w:szCs w:val="24"/>
        </w:rPr>
        <w:t xml:space="preserve">The study researchers contacted the R&amp;D department of each NHS </w:t>
      </w:r>
      <w:r w:rsidR="006F520A">
        <w:rPr>
          <w:sz w:val="24"/>
          <w:szCs w:val="24"/>
        </w:rPr>
        <w:t>M</w:t>
      </w:r>
      <w:r w:rsidR="00344771">
        <w:rPr>
          <w:sz w:val="24"/>
          <w:szCs w:val="24"/>
        </w:rPr>
        <w:t xml:space="preserve">ental </w:t>
      </w:r>
      <w:r w:rsidR="006F520A">
        <w:rPr>
          <w:sz w:val="24"/>
          <w:szCs w:val="24"/>
        </w:rPr>
        <w:t>H</w:t>
      </w:r>
      <w:r w:rsidR="00344771">
        <w:rPr>
          <w:sz w:val="24"/>
          <w:szCs w:val="24"/>
        </w:rPr>
        <w:t xml:space="preserve">ealth Trust in England to seek permission to contact CRT managers. Trusts’ approval and registration processes were followed wherever required. Once Trust approvals had been obtained, </w:t>
      </w:r>
      <w:r w:rsidR="00E45B44">
        <w:rPr>
          <w:sz w:val="24"/>
          <w:szCs w:val="24"/>
        </w:rPr>
        <w:t>m</w:t>
      </w:r>
      <w:r w:rsidR="00344771">
        <w:rPr>
          <w:sz w:val="24"/>
          <w:szCs w:val="24"/>
        </w:rPr>
        <w:t xml:space="preserve">anagers were sent an information sheet about the survey and invited to complete the questionnaire, either via an online survey or as a phone interview with a researcher. Non-responders were followed up by phone. </w:t>
      </w:r>
      <w:r w:rsidR="00E9213C">
        <w:rPr>
          <w:sz w:val="24"/>
          <w:szCs w:val="24"/>
        </w:rPr>
        <w:t>The questionnaire was created as an online survey using University College London’s secure “Opinio” system: data were entered directly into Opinio by participants or by a researcher during the phone interview. Once the survey</w:t>
      </w:r>
      <w:r w:rsidR="00647F09">
        <w:rPr>
          <w:sz w:val="24"/>
          <w:szCs w:val="24"/>
        </w:rPr>
        <w:t xml:space="preserve"> </w:t>
      </w:r>
      <w:r w:rsidR="00E9213C">
        <w:rPr>
          <w:sz w:val="24"/>
          <w:szCs w:val="24"/>
        </w:rPr>
        <w:t xml:space="preserve">was closed, data were downloaded from Opinio into Excel and transferred to SPSS for Windows for data analysis. </w:t>
      </w:r>
    </w:p>
    <w:p w:rsidR="00D266D3" w:rsidRDefault="00D266D3" w:rsidP="00C840C9">
      <w:pPr>
        <w:spacing w:line="480" w:lineRule="auto"/>
        <w:jc w:val="both"/>
        <w:rPr>
          <w:sz w:val="24"/>
          <w:szCs w:val="24"/>
        </w:rPr>
      </w:pPr>
      <w:r w:rsidRPr="00E9213C">
        <w:rPr>
          <w:b/>
          <w:sz w:val="24"/>
          <w:szCs w:val="24"/>
        </w:rPr>
        <w:t>Analysis</w:t>
      </w:r>
      <w:r w:rsidR="009C3C98">
        <w:rPr>
          <w:b/>
          <w:sz w:val="24"/>
          <w:szCs w:val="24"/>
        </w:rPr>
        <w:t xml:space="preserve">: </w:t>
      </w:r>
      <w:r w:rsidR="009C3C98">
        <w:rPr>
          <w:sz w:val="24"/>
          <w:szCs w:val="24"/>
        </w:rPr>
        <w:t>Data were analysed and reported in three stages:</w:t>
      </w:r>
    </w:p>
    <w:p w:rsidR="009C3C98" w:rsidRDefault="009C3C98" w:rsidP="00C840C9">
      <w:pPr>
        <w:spacing w:line="480" w:lineRule="auto"/>
        <w:jc w:val="both"/>
        <w:rPr>
          <w:sz w:val="24"/>
          <w:szCs w:val="24"/>
        </w:rPr>
      </w:pPr>
      <w:r>
        <w:rPr>
          <w:sz w:val="24"/>
          <w:szCs w:val="24"/>
        </w:rPr>
        <w:t>i) Data regarding CRTs’ organisation and service delivery were collated using descriptive statistics.</w:t>
      </w:r>
      <w:r w:rsidR="0013673C">
        <w:rPr>
          <w:sz w:val="24"/>
          <w:szCs w:val="24"/>
        </w:rPr>
        <w:t xml:space="preserve"> </w:t>
      </w:r>
      <w:r w:rsidR="00556DEA">
        <w:rPr>
          <w:sz w:val="24"/>
          <w:szCs w:val="24"/>
        </w:rPr>
        <w:t>Free text responses</w:t>
      </w:r>
      <w:r w:rsidR="0013673C">
        <w:rPr>
          <w:sz w:val="24"/>
          <w:szCs w:val="24"/>
        </w:rPr>
        <w:t xml:space="preserve"> were coded by a study researcher (BP) and codes were reviewed and agreed by other researchers (SJ, BLE): this allowed quantitative description of most frequent responses to free text questions. </w:t>
      </w:r>
    </w:p>
    <w:p w:rsidR="009C3C98" w:rsidRDefault="009C3C98" w:rsidP="00C840C9">
      <w:pPr>
        <w:spacing w:line="480" w:lineRule="auto"/>
        <w:jc w:val="both"/>
        <w:rPr>
          <w:sz w:val="24"/>
          <w:szCs w:val="24"/>
        </w:rPr>
      </w:pPr>
      <w:r>
        <w:rPr>
          <w:sz w:val="24"/>
          <w:szCs w:val="24"/>
        </w:rPr>
        <w:t xml:space="preserve">ii) </w:t>
      </w:r>
      <w:r w:rsidR="00B77FC9">
        <w:rPr>
          <w:sz w:val="24"/>
          <w:szCs w:val="24"/>
        </w:rPr>
        <w:t>W</w:t>
      </w:r>
      <w:r w:rsidR="00647F09">
        <w:rPr>
          <w:sz w:val="24"/>
          <w:szCs w:val="24"/>
        </w:rPr>
        <w:t>here questionnaire data directly related to recommendations in the original CRT guidance provided by the D</w:t>
      </w:r>
      <w:r w:rsidR="00A568D9">
        <w:rPr>
          <w:sz w:val="24"/>
          <w:szCs w:val="24"/>
        </w:rPr>
        <w:t>epartment of Health (DH 2001)</w:t>
      </w:r>
      <w:r w:rsidR="00B77FC9">
        <w:rPr>
          <w:sz w:val="24"/>
          <w:szCs w:val="24"/>
        </w:rPr>
        <w:t>, w</w:t>
      </w:r>
      <w:r w:rsidR="00647F09">
        <w:rPr>
          <w:sz w:val="24"/>
          <w:szCs w:val="24"/>
        </w:rPr>
        <w:t>e recoded or combined questionnaire variables where necessary to allow investigation of how far CRTs were adhering to original guidance in three domains: r</w:t>
      </w:r>
      <w:r w:rsidR="006F520A">
        <w:rPr>
          <w:sz w:val="24"/>
          <w:szCs w:val="24"/>
        </w:rPr>
        <w:t>eferral criteria</w:t>
      </w:r>
      <w:r w:rsidR="00647F09">
        <w:rPr>
          <w:sz w:val="24"/>
          <w:szCs w:val="24"/>
        </w:rPr>
        <w:t xml:space="preserve"> and access; staffing; and interventions</w:t>
      </w:r>
      <w:r w:rsidR="00E45B44">
        <w:rPr>
          <w:sz w:val="24"/>
          <w:szCs w:val="24"/>
        </w:rPr>
        <w:t xml:space="preserve"> (Table 1).</w:t>
      </w:r>
    </w:p>
    <w:p w:rsidR="00647F09" w:rsidRDefault="00647F09" w:rsidP="00C840C9">
      <w:pPr>
        <w:spacing w:line="480" w:lineRule="auto"/>
        <w:jc w:val="center"/>
        <w:rPr>
          <w:i/>
          <w:sz w:val="24"/>
          <w:szCs w:val="24"/>
        </w:rPr>
      </w:pPr>
      <w:r>
        <w:rPr>
          <w:i/>
          <w:sz w:val="24"/>
          <w:szCs w:val="24"/>
        </w:rPr>
        <w:t>Table 1 about here</w:t>
      </w:r>
    </w:p>
    <w:p w:rsidR="00647F09" w:rsidRDefault="00647F09" w:rsidP="00C840C9">
      <w:pPr>
        <w:spacing w:line="480" w:lineRule="auto"/>
        <w:jc w:val="both"/>
        <w:rPr>
          <w:sz w:val="24"/>
          <w:szCs w:val="24"/>
        </w:rPr>
      </w:pPr>
      <w:r>
        <w:rPr>
          <w:sz w:val="24"/>
          <w:szCs w:val="24"/>
        </w:rPr>
        <w:t xml:space="preserve">The proportion of CRTs adhering to each item of guidance and all items within each domain were reported. </w:t>
      </w:r>
    </w:p>
    <w:p w:rsidR="00647F09" w:rsidRDefault="00647F09" w:rsidP="00C840C9">
      <w:pPr>
        <w:spacing w:line="480" w:lineRule="auto"/>
        <w:jc w:val="both"/>
        <w:rPr>
          <w:sz w:val="24"/>
          <w:szCs w:val="24"/>
        </w:rPr>
      </w:pPr>
      <w:r>
        <w:rPr>
          <w:sz w:val="24"/>
          <w:szCs w:val="24"/>
        </w:rPr>
        <w:t xml:space="preserve">iii) </w:t>
      </w:r>
      <w:r w:rsidR="005F544A">
        <w:rPr>
          <w:sz w:val="24"/>
          <w:szCs w:val="24"/>
        </w:rPr>
        <w:t>In order to explore any dissonance between</w:t>
      </w:r>
      <w:r w:rsidR="00E45B44">
        <w:rPr>
          <w:sz w:val="24"/>
          <w:szCs w:val="24"/>
        </w:rPr>
        <w:t xml:space="preserve"> </w:t>
      </w:r>
      <w:r w:rsidR="006F76EB">
        <w:rPr>
          <w:sz w:val="24"/>
          <w:szCs w:val="24"/>
        </w:rPr>
        <w:t>actual</w:t>
      </w:r>
      <w:r w:rsidR="00E45B44">
        <w:rPr>
          <w:sz w:val="24"/>
          <w:szCs w:val="24"/>
        </w:rPr>
        <w:t xml:space="preserve"> and perceived desirable CRT </w:t>
      </w:r>
      <w:r w:rsidR="006F76EB">
        <w:rPr>
          <w:sz w:val="24"/>
          <w:szCs w:val="24"/>
        </w:rPr>
        <w:t>practice, for</w:t>
      </w:r>
      <w:r w:rsidR="00B10B4F">
        <w:rPr>
          <w:sz w:val="24"/>
          <w:szCs w:val="24"/>
        </w:rPr>
        <w:t xml:space="preserve"> all items</w:t>
      </w:r>
      <w:r w:rsidR="00E12C39">
        <w:rPr>
          <w:sz w:val="24"/>
          <w:szCs w:val="24"/>
        </w:rPr>
        <w:t xml:space="preserve"> with available data</w:t>
      </w:r>
      <w:r w:rsidR="00B10B4F">
        <w:rPr>
          <w:sz w:val="24"/>
          <w:szCs w:val="24"/>
        </w:rPr>
        <w:t>, we compared managers’ reports of CRT characteristics and service delivery with their ratings of the usefulness</w:t>
      </w:r>
      <w:r w:rsidR="00C14312">
        <w:rPr>
          <w:sz w:val="24"/>
          <w:szCs w:val="24"/>
        </w:rPr>
        <w:t xml:space="preserve"> of the service characteristic</w:t>
      </w:r>
      <w:r w:rsidR="00B10B4F">
        <w:rPr>
          <w:sz w:val="24"/>
          <w:szCs w:val="24"/>
        </w:rPr>
        <w:t xml:space="preserve">. </w:t>
      </w:r>
      <w:r w:rsidR="00E45B44">
        <w:rPr>
          <w:sz w:val="24"/>
          <w:szCs w:val="24"/>
        </w:rPr>
        <w:t xml:space="preserve">We </w:t>
      </w:r>
      <w:r w:rsidR="00B10B4F">
        <w:rPr>
          <w:sz w:val="24"/>
          <w:szCs w:val="24"/>
        </w:rPr>
        <w:t>compar</w:t>
      </w:r>
      <w:r w:rsidR="00E45B44">
        <w:rPr>
          <w:sz w:val="24"/>
          <w:szCs w:val="24"/>
        </w:rPr>
        <w:t>ed</w:t>
      </w:r>
      <w:r w:rsidR="00B10B4F">
        <w:rPr>
          <w:sz w:val="24"/>
          <w:szCs w:val="24"/>
        </w:rPr>
        <w:t xml:space="preserve"> the proportion of teams </w:t>
      </w:r>
      <w:r w:rsidR="00C14312">
        <w:rPr>
          <w:sz w:val="24"/>
          <w:szCs w:val="24"/>
        </w:rPr>
        <w:t xml:space="preserve">where a service characteristic was </w:t>
      </w:r>
      <w:r w:rsidR="006F76EB">
        <w:rPr>
          <w:sz w:val="24"/>
          <w:szCs w:val="24"/>
        </w:rPr>
        <w:t>present and</w:t>
      </w:r>
      <w:r w:rsidR="00B10B4F">
        <w:rPr>
          <w:sz w:val="24"/>
          <w:szCs w:val="24"/>
        </w:rPr>
        <w:t xml:space="preserve"> the proportion </w:t>
      </w:r>
      <w:r w:rsidR="00E45B44">
        <w:rPr>
          <w:sz w:val="24"/>
          <w:szCs w:val="24"/>
        </w:rPr>
        <w:t>where it was rated</w:t>
      </w:r>
      <w:r w:rsidR="00B10B4F">
        <w:rPr>
          <w:sz w:val="24"/>
          <w:szCs w:val="24"/>
        </w:rPr>
        <w:t xml:space="preserve"> fairly or very useful. </w:t>
      </w:r>
      <w:r w:rsidR="006F76EB">
        <w:rPr>
          <w:sz w:val="24"/>
          <w:szCs w:val="24"/>
        </w:rPr>
        <w:t>Characteristics with</w:t>
      </w:r>
      <w:r w:rsidR="00E12C39">
        <w:rPr>
          <w:sz w:val="24"/>
          <w:szCs w:val="24"/>
        </w:rPr>
        <w:t xml:space="preserve"> a discrepancy of 20% or more between actual and desirable practice were reported. </w:t>
      </w:r>
      <w:r w:rsidR="00F84978">
        <w:rPr>
          <w:sz w:val="24"/>
          <w:szCs w:val="24"/>
        </w:rPr>
        <w:t>Manager</w:t>
      </w:r>
      <w:r w:rsidR="00B10B4F">
        <w:rPr>
          <w:sz w:val="24"/>
          <w:szCs w:val="24"/>
        </w:rPr>
        <w:t>s</w:t>
      </w:r>
      <w:r w:rsidR="00F84978">
        <w:rPr>
          <w:sz w:val="24"/>
          <w:szCs w:val="24"/>
        </w:rPr>
        <w:t>’</w:t>
      </w:r>
      <w:r w:rsidR="00B10B4F">
        <w:rPr>
          <w:sz w:val="24"/>
          <w:szCs w:val="24"/>
        </w:rPr>
        <w:t xml:space="preserve"> priorities for CRT service improvement were also </w:t>
      </w:r>
      <w:r w:rsidR="00C14312">
        <w:rPr>
          <w:sz w:val="24"/>
          <w:szCs w:val="24"/>
        </w:rPr>
        <w:t>collected</w:t>
      </w:r>
      <w:r w:rsidR="00B10B4F">
        <w:rPr>
          <w:sz w:val="24"/>
          <w:szCs w:val="24"/>
        </w:rPr>
        <w:t xml:space="preserve">. </w:t>
      </w:r>
    </w:p>
    <w:p w:rsidR="0013673C" w:rsidRDefault="0013673C" w:rsidP="00C840C9">
      <w:pPr>
        <w:spacing w:line="480" w:lineRule="auto"/>
        <w:jc w:val="both"/>
        <w:rPr>
          <w:sz w:val="24"/>
          <w:szCs w:val="24"/>
        </w:rPr>
      </w:pPr>
    </w:p>
    <w:p w:rsidR="0013673C" w:rsidRDefault="0013673C" w:rsidP="00C840C9">
      <w:pPr>
        <w:spacing w:line="480" w:lineRule="auto"/>
        <w:jc w:val="both"/>
        <w:rPr>
          <w:b/>
          <w:sz w:val="24"/>
          <w:szCs w:val="24"/>
        </w:rPr>
      </w:pPr>
      <w:r>
        <w:rPr>
          <w:b/>
          <w:sz w:val="24"/>
          <w:szCs w:val="24"/>
        </w:rPr>
        <w:t>Results</w:t>
      </w:r>
    </w:p>
    <w:p w:rsidR="0013673C" w:rsidRDefault="00D622FB" w:rsidP="00C840C9">
      <w:pPr>
        <w:spacing w:line="480" w:lineRule="auto"/>
        <w:jc w:val="both"/>
        <w:rPr>
          <w:sz w:val="24"/>
          <w:szCs w:val="24"/>
        </w:rPr>
      </w:pPr>
      <w:r>
        <w:rPr>
          <w:sz w:val="24"/>
          <w:szCs w:val="24"/>
        </w:rPr>
        <w:t xml:space="preserve">Service mapping identified </w:t>
      </w:r>
      <w:r w:rsidR="00C14312">
        <w:rPr>
          <w:sz w:val="24"/>
          <w:szCs w:val="24"/>
        </w:rPr>
        <w:t xml:space="preserve">a total of </w:t>
      </w:r>
      <w:r w:rsidR="00BF405C">
        <w:rPr>
          <w:sz w:val="24"/>
          <w:szCs w:val="24"/>
        </w:rPr>
        <w:t xml:space="preserve">218 CRTs, </w:t>
      </w:r>
      <w:r w:rsidR="00BF405C" w:rsidRPr="00BF405C">
        <w:rPr>
          <w:sz w:val="24"/>
          <w:szCs w:val="24"/>
        </w:rPr>
        <w:t>wit</w:t>
      </w:r>
      <w:r w:rsidR="00BF405C">
        <w:rPr>
          <w:sz w:val="24"/>
          <w:szCs w:val="24"/>
        </w:rPr>
        <w:t xml:space="preserve">h CRT teams in all </w:t>
      </w:r>
      <w:r>
        <w:rPr>
          <w:sz w:val="24"/>
          <w:szCs w:val="24"/>
        </w:rPr>
        <w:t xml:space="preserve">65 mental health NHS Trusts in England. One hundred and ninety two CRTs (88%) took part in the survey. Not all respondents completed the entire questionnaire, but 184 (84%) respondents completed at least two thirds of it. The number of respondents </w:t>
      </w:r>
      <w:r w:rsidR="00D915C8">
        <w:rPr>
          <w:sz w:val="24"/>
          <w:szCs w:val="24"/>
        </w:rPr>
        <w:t>for each question is</w:t>
      </w:r>
      <w:r>
        <w:rPr>
          <w:sz w:val="24"/>
          <w:szCs w:val="24"/>
        </w:rPr>
        <w:t xml:space="preserve"> reported in the results. </w:t>
      </w:r>
    </w:p>
    <w:p w:rsidR="00D622FB" w:rsidRDefault="00D622FB" w:rsidP="00C840C9">
      <w:pPr>
        <w:spacing w:line="480" w:lineRule="auto"/>
        <w:jc w:val="both"/>
        <w:rPr>
          <w:sz w:val="24"/>
          <w:szCs w:val="24"/>
        </w:rPr>
      </w:pPr>
    </w:p>
    <w:p w:rsidR="00D622FB" w:rsidRDefault="00D622FB" w:rsidP="00C840C9">
      <w:pPr>
        <w:spacing w:line="480" w:lineRule="auto"/>
        <w:jc w:val="both"/>
        <w:rPr>
          <w:b/>
          <w:sz w:val="24"/>
          <w:szCs w:val="24"/>
        </w:rPr>
      </w:pPr>
      <w:r>
        <w:rPr>
          <w:b/>
          <w:sz w:val="24"/>
          <w:szCs w:val="24"/>
        </w:rPr>
        <w:t>i) CRT characteristics and service delivery</w:t>
      </w:r>
    </w:p>
    <w:p w:rsidR="00E36A5D" w:rsidRDefault="00EF12D2" w:rsidP="00C840C9">
      <w:pPr>
        <w:spacing w:line="480" w:lineRule="auto"/>
        <w:jc w:val="both"/>
        <w:rPr>
          <w:sz w:val="24"/>
          <w:szCs w:val="24"/>
        </w:rPr>
      </w:pPr>
      <w:r>
        <w:rPr>
          <w:b/>
          <w:sz w:val="24"/>
          <w:szCs w:val="24"/>
        </w:rPr>
        <w:t>Location and a</w:t>
      </w:r>
      <w:r w:rsidR="00E36A5D">
        <w:rPr>
          <w:b/>
          <w:sz w:val="24"/>
          <w:szCs w:val="24"/>
        </w:rPr>
        <w:t>ccess</w:t>
      </w:r>
      <w:r>
        <w:rPr>
          <w:b/>
          <w:sz w:val="24"/>
          <w:szCs w:val="24"/>
        </w:rPr>
        <w:t xml:space="preserve">: </w:t>
      </w:r>
      <w:r w:rsidR="00E36A5D">
        <w:rPr>
          <w:b/>
          <w:sz w:val="24"/>
          <w:szCs w:val="24"/>
        </w:rPr>
        <w:t xml:space="preserve"> </w:t>
      </w:r>
      <w:r>
        <w:rPr>
          <w:sz w:val="24"/>
          <w:szCs w:val="24"/>
        </w:rPr>
        <w:t>Over two thirds of CRTs (n=130, 68%) were co-located with a mental health inpatient unit, with just over one third (n=68, 35%) on the same site as one or more community mental health services. Forty one teams (21%) were</w:t>
      </w:r>
      <w:r w:rsidR="00F84978">
        <w:rPr>
          <w:sz w:val="24"/>
          <w:szCs w:val="24"/>
        </w:rPr>
        <w:t xml:space="preserve"> </w:t>
      </w:r>
      <w:r>
        <w:rPr>
          <w:sz w:val="24"/>
          <w:szCs w:val="24"/>
        </w:rPr>
        <w:t>co-located with a general hospital with an Accident and Emergency department.</w:t>
      </w:r>
    </w:p>
    <w:p w:rsidR="00EF12D2" w:rsidRDefault="00EF12D2" w:rsidP="00C840C9">
      <w:pPr>
        <w:spacing w:line="480" w:lineRule="auto"/>
        <w:jc w:val="both"/>
        <w:rPr>
          <w:sz w:val="24"/>
          <w:szCs w:val="24"/>
        </w:rPr>
      </w:pPr>
      <w:r>
        <w:rPr>
          <w:sz w:val="24"/>
          <w:szCs w:val="24"/>
        </w:rPr>
        <w:t>All CRTs accepted referrals from other secondary mental health services. Over three quarters of CRTs (147/190, 77%) accepted referrals directly from GPs. In 56% of CRTs (106/191), service users already known to the service or their families could refer themselves directly to the CRT, but this direct access was only available for people not previously known to services in 21% of teams (40/191).</w:t>
      </w:r>
    </w:p>
    <w:p w:rsidR="00BA48EB" w:rsidRPr="00EF12D2" w:rsidRDefault="00BA48EB" w:rsidP="00C840C9">
      <w:pPr>
        <w:spacing w:line="480" w:lineRule="auto"/>
        <w:jc w:val="both"/>
        <w:rPr>
          <w:sz w:val="24"/>
          <w:szCs w:val="24"/>
        </w:rPr>
      </w:pPr>
      <w:r>
        <w:rPr>
          <w:sz w:val="24"/>
          <w:szCs w:val="24"/>
        </w:rPr>
        <w:t xml:space="preserve">All CRTs worked with service users aged 18-65. Half of CRTs worked with people age 16 (99/192, 52%); a majority (110/191, 58%) had no upper age limit for service users. </w:t>
      </w:r>
      <w:r w:rsidR="00642AC8">
        <w:rPr>
          <w:sz w:val="24"/>
          <w:szCs w:val="24"/>
        </w:rPr>
        <w:t xml:space="preserve">Only a minority of CRTs (39/192, 20%) reported that they work with people with dementia, but a majority work with people </w:t>
      </w:r>
      <w:r w:rsidR="008F09D0">
        <w:rPr>
          <w:sz w:val="24"/>
          <w:szCs w:val="24"/>
        </w:rPr>
        <w:t xml:space="preserve">with </w:t>
      </w:r>
      <w:r w:rsidR="00BF405C">
        <w:rPr>
          <w:sz w:val="24"/>
          <w:szCs w:val="24"/>
        </w:rPr>
        <w:t xml:space="preserve">Intellectual Disability </w:t>
      </w:r>
      <w:r w:rsidR="00642AC8">
        <w:rPr>
          <w:sz w:val="24"/>
          <w:szCs w:val="24"/>
        </w:rPr>
        <w:t>(111/192, 58%). Most but not all CRTs reported that they work with people with a personality disorder (151/192, 79%).</w:t>
      </w:r>
    </w:p>
    <w:p w:rsidR="00E36A5D" w:rsidRDefault="00E36A5D" w:rsidP="00C840C9">
      <w:pPr>
        <w:spacing w:line="480" w:lineRule="auto"/>
        <w:jc w:val="both"/>
        <w:rPr>
          <w:sz w:val="24"/>
          <w:szCs w:val="24"/>
        </w:rPr>
      </w:pPr>
      <w:r>
        <w:rPr>
          <w:b/>
          <w:sz w:val="24"/>
          <w:szCs w:val="24"/>
        </w:rPr>
        <w:t>Workforce</w:t>
      </w:r>
      <w:r w:rsidR="0079754D">
        <w:rPr>
          <w:b/>
          <w:sz w:val="24"/>
          <w:szCs w:val="24"/>
        </w:rPr>
        <w:t xml:space="preserve">: </w:t>
      </w:r>
      <w:r w:rsidR="009C6727">
        <w:rPr>
          <w:sz w:val="24"/>
          <w:szCs w:val="24"/>
        </w:rPr>
        <w:t>Table 2 presents</w:t>
      </w:r>
      <w:r w:rsidR="0079754D">
        <w:rPr>
          <w:sz w:val="24"/>
          <w:szCs w:val="24"/>
        </w:rPr>
        <w:t xml:space="preserve"> the professional groups of staff employed in CRTs</w:t>
      </w:r>
      <w:r w:rsidR="009C6727">
        <w:rPr>
          <w:sz w:val="24"/>
          <w:szCs w:val="24"/>
        </w:rPr>
        <w:t xml:space="preserve"> reported by these respondents</w:t>
      </w:r>
      <w:r w:rsidR="0079754D">
        <w:rPr>
          <w:sz w:val="24"/>
          <w:szCs w:val="24"/>
        </w:rPr>
        <w:t xml:space="preserve">. While nearly all teams employed nurses and psychiatrists, representation of other professional groups was much more variable. </w:t>
      </w:r>
      <w:r w:rsidR="009C6727">
        <w:rPr>
          <w:sz w:val="24"/>
          <w:szCs w:val="24"/>
        </w:rPr>
        <w:t xml:space="preserve">A typical CRT, based on median data, employed 20 full time equivalent staff and was supporting a team case load of 27 service users. </w:t>
      </w:r>
    </w:p>
    <w:p w:rsidR="009C6727" w:rsidRDefault="009C6727" w:rsidP="00C840C9">
      <w:pPr>
        <w:spacing w:line="480" w:lineRule="auto"/>
        <w:jc w:val="center"/>
        <w:rPr>
          <w:i/>
          <w:sz w:val="24"/>
          <w:szCs w:val="24"/>
        </w:rPr>
      </w:pPr>
      <w:r>
        <w:rPr>
          <w:i/>
          <w:sz w:val="24"/>
          <w:szCs w:val="24"/>
        </w:rPr>
        <w:t>Table 2 about here</w:t>
      </w:r>
    </w:p>
    <w:p w:rsidR="009C6727" w:rsidRPr="009C6727" w:rsidRDefault="00BE24D5" w:rsidP="00C840C9">
      <w:pPr>
        <w:spacing w:line="480" w:lineRule="auto"/>
        <w:jc w:val="both"/>
        <w:rPr>
          <w:sz w:val="24"/>
          <w:szCs w:val="24"/>
        </w:rPr>
      </w:pPr>
      <w:r>
        <w:rPr>
          <w:sz w:val="24"/>
          <w:szCs w:val="24"/>
        </w:rPr>
        <w:t xml:space="preserve">Less than a quarter of CRTs (n=41, 22%) reported offering a </w:t>
      </w:r>
      <w:r w:rsidR="008F09D0">
        <w:rPr>
          <w:sz w:val="24"/>
          <w:szCs w:val="24"/>
        </w:rPr>
        <w:t>CRT-</w:t>
      </w:r>
      <w:r>
        <w:rPr>
          <w:sz w:val="24"/>
          <w:szCs w:val="24"/>
        </w:rPr>
        <w:t>specific training programme for new staff. Where this was offered, it was of about one week’s duration (mean length = 40 hours).</w:t>
      </w:r>
    </w:p>
    <w:p w:rsidR="00D915C8" w:rsidRDefault="00E36A5D" w:rsidP="00C840C9">
      <w:pPr>
        <w:spacing w:line="480" w:lineRule="auto"/>
        <w:jc w:val="both"/>
        <w:rPr>
          <w:b/>
          <w:sz w:val="24"/>
          <w:szCs w:val="24"/>
        </w:rPr>
      </w:pPr>
      <w:r>
        <w:rPr>
          <w:b/>
          <w:sz w:val="24"/>
          <w:szCs w:val="24"/>
        </w:rPr>
        <w:t>Interface with other services</w:t>
      </w:r>
      <w:r w:rsidR="004A5675">
        <w:rPr>
          <w:b/>
          <w:sz w:val="24"/>
          <w:szCs w:val="24"/>
        </w:rPr>
        <w:t xml:space="preserve">: </w:t>
      </w:r>
    </w:p>
    <w:p w:rsidR="00E36A5D" w:rsidRDefault="00642AC8" w:rsidP="00C840C9">
      <w:pPr>
        <w:spacing w:line="480" w:lineRule="auto"/>
        <w:jc w:val="both"/>
        <w:rPr>
          <w:sz w:val="24"/>
          <w:szCs w:val="24"/>
        </w:rPr>
      </w:pPr>
      <w:r>
        <w:rPr>
          <w:b/>
          <w:sz w:val="24"/>
          <w:szCs w:val="24"/>
        </w:rPr>
        <w:t>a) I</w:t>
      </w:r>
      <w:r w:rsidR="00D915C8">
        <w:rPr>
          <w:b/>
          <w:sz w:val="24"/>
          <w:szCs w:val="24"/>
        </w:rPr>
        <w:t>ntegration with other services</w:t>
      </w:r>
      <w:r>
        <w:rPr>
          <w:b/>
          <w:sz w:val="24"/>
          <w:szCs w:val="24"/>
        </w:rPr>
        <w:t>:</w:t>
      </w:r>
      <w:r w:rsidR="00D915C8">
        <w:rPr>
          <w:b/>
          <w:sz w:val="24"/>
          <w:szCs w:val="24"/>
        </w:rPr>
        <w:t xml:space="preserve"> </w:t>
      </w:r>
      <w:r w:rsidR="004A5675">
        <w:rPr>
          <w:sz w:val="24"/>
          <w:szCs w:val="24"/>
        </w:rPr>
        <w:t>Sixty one percent of CRTs (116/191) were jointly managed at team level with another service. Most commonly, this joint management was just with other acute service</w:t>
      </w:r>
      <w:r w:rsidR="00C14312">
        <w:rPr>
          <w:sz w:val="24"/>
          <w:szCs w:val="24"/>
        </w:rPr>
        <w:t>s</w:t>
      </w:r>
      <w:r w:rsidR="004A5675">
        <w:rPr>
          <w:sz w:val="24"/>
          <w:szCs w:val="24"/>
        </w:rPr>
        <w:t xml:space="preserve"> (73% of respondents) rather than acute and community services (17%) or just community services (8%). Thirty three CRTs (17%) reported pooling staff with other services, most commonly with acute wards (n=13) or Psychiatric Liaison services (n=9). Just over two thirds of CRTs (128/187, 68%) reported having dedicated link workers within the CRT team to help communication and continuity with other inpatient or community services.</w:t>
      </w:r>
    </w:p>
    <w:p w:rsidR="00D915C8" w:rsidRDefault="00642AC8" w:rsidP="00C840C9">
      <w:pPr>
        <w:spacing w:line="480" w:lineRule="auto"/>
        <w:jc w:val="both"/>
        <w:rPr>
          <w:sz w:val="24"/>
          <w:szCs w:val="24"/>
        </w:rPr>
      </w:pPr>
      <w:r>
        <w:rPr>
          <w:b/>
          <w:sz w:val="24"/>
          <w:szCs w:val="24"/>
        </w:rPr>
        <w:t>b) W</w:t>
      </w:r>
      <w:r w:rsidR="00D915C8">
        <w:rPr>
          <w:b/>
          <w:sz w:val="24"/>
          <w:szCs w:val="24"/>
        </w:rPr>
        <w:t>orking with other acute services</w:t>
      </w:r>
      <w:r w:rsidR="00BF405C">
        <w:rPr>
          <w:b/>
          <w:sz w:val="24"/>
          <w:szCs w:val="24"/>
        </w:rPr>
        <w:t>:</w:t>
      </w:r>
      <w:r w:rsidR="00D915C8">
        <w:rPr>
          <w:b/>
          <w:sz w:val="24"/>
          <w:szCs w:val="24"/>
        </w:rPr>
        <w:t xml:space="preserve"> </w:t>
      </w:r>
      <w:r w:rsidR="00D915C8">
        <w:rPr>
          <w:sz w:val="24"/>
          <w:szCs w:val="24"/>
        </w:rPr>
        <w:t>One third of CRTs (62/187, 33%) reported that they always assessed service users in person before hospital admission</w:t>
      </w:r>
      <w:r w:rsidR="004B424F">
        <w:rPr>
          <w:sz w:val="24"/>
          <w:szCs w:val="24"/>
        </w:rPr>
        <w:t xml:space="preserve"> (i.e. the “gatekeeping” role specified in original </w:t>
      </w:r>
      <w:r w:rsidR="00C51F1C">
        <w:rPr>
          <w:sz w:val="24"/>
          <w:szCs w:val="24"/>
        </w:rPr>
        <w:t xml:space="preserve">English </w:t>
      </w:r>
      <w:r w:rsidR="004B424F">
        <w:rPr>
          <w:sz w:val="24"/>
          <w:szCs w:val="24"/>
        </w:rPr>
        <w:t xml:space="preserve">policy implementation guidance (DH2001)). </w:t>
      </w:r>
      <w:r w:rsidR="00D915C8">
        <w:rPr>
          <w:sz w:val="24"/>
          <w:szCs w:val="24"/>
        </w:rPr>
        <w:t xml:space="preserve"> Another 56% of CRTs (105/187) reported that they usually do this; 9% of CRTs (16/187) reported no regular role in assessing service users before hospital admission. </w:t>
      </w:r>
      <w:r w:rsidR="009D667B">
        <w:rPr>
          <w:sz w:val="24"/>
          <w:szCs w:val="24"/>
        </w:rPr>
        <w:t xml:space="preserve">Only 19% of CRTs (35/187) reported always attending Mental Health Act Assessments, with a further 29% (55/187) usually doing so. </w:t>
      </w:r>
      <w:r w:rsidR="008F09D0">
        <w:rPr>
          <w:sz w:val="24"/>
          <w:szCs w:val="24"/>
        </w:rPr>
        <w:t>R</w:t>
      </w:r>
      <w:r w:rsidR="00F726D7">
        <w:rPr>
          <w:sz w:val="24"/>
          <w:szCs w:val="24"/>
        </w:rPr>
        <w:t>esponses (n=155) ranged from 10% - 100% with a mean of 85% (s.d. = 17.9)</w:t>
      </w:r>
      <w:r w:rsidR="008F09D0">
        <w:rPr>
          <w:sz w:val="24"/>
          <w:szCs w:val="24"/>
        </w:rPr>
        <w:t xml:space="preserve"> regarding the proportion of service users admitted to acute wards who were first assessed in person by the CRT</w:t>
      </w:r>
      <w:r w:rsidR="00F726D7">
        <w:rPr>
          <w:sz w:val="24"/>
          <w:szCs w:val="24"/>
        </w:rPr>
        <w:t xml:space="preserve">. </w:t>
      </w:r>
    </w:p>
    <w:p w:rsidR="009D667B" w:rsidRDefault="002D617D" w:rsidP="00C840C9">
      <w:pPr>
        <w:spacing w:line="480" w:lineRule="auto"/>
        <w:jc w:val="both"/>
        <w:rPr>
          <w:sz w:val="24"/>
          <w:szCs w:val="24"/>
        </w:rPr>
      </w:pPr>
      <w:r>
        <w:rPr>
          <w:sz w:val="24"/>
          <w:szCs w:val="24"/>
        </w:rPr>
        <w:t xml:space="preserve">Of 188 respondents who </w:t>
      </w:r>
      <w:r w:rsidR="00642AC8">
        <w:rPr>
          <w:sz w:val="24"/>
          <w:szCs w:val="24"/>
        </w:rPr>
        <w:t xml:space="preserve">completed </w:t>
      </w:r>
      <w:r>
        <w:rPr>
          <w:sz w:val="24"/>
          <w:szCs w:val="24"/>
        </w:rPr>
        <w:t>the survey section on early discharge, all but two (99%) reported some mechanisms to identify service users on inpatient wards for whom early discharge with CRT support could be achieved. Discussion with ward staff was the most commonly described approach (161/188 respondents, 86%), with 41% of respondents (n=77) reporting CRT staff attending all ward rounds and 31% reporting that CRT staff met patients in other ways to assess for early discharge.</w:t>
      </w:r>
    </w:p>
    <w:p w:rsidR="002D617D" w:rsidRDefault="002D617D" w:rsidP="00C840C9">
      <w:pPr>
        <w:spacing w:line="480" w:lineRule="auto"/>
        <w:jc w:val="both"/>
        <w:rPr>
          <w:sz w:val="24"/>
          <w:szCs w:val="24"/>
        </w:rPr>
      </w:pPr>
      <w:r>
        <w:rPr>
          <w:sz w:val="24"/>
          <w:szCs w:val="24"/>
        </w:rPr>
        <w:t xml:space="preserve">Just over a third of </w:t>
      </w:r>
      <w:r w:rsidR="00C14312">
        <w:rPr>
          <w:sz w:val="24"/>
          <w:szCs w:val="24"/>
        </w:rPr>
        <w:t xml:space="preserve">respondents </w:t>
      </w:r>
      <w:r>
        <w:rPr>
          <w:sz w:val="24"/>
          <w:szCs w:val="24"/>
        </w:rPr>
        <w:t xml:space="preserve">(65/184, 35%) reported </w:t>
      </w:r>
      <w:r w:rsidR="00C14312">
        <w:rPr>
          <w:sz w:val="24"/>
          <w:szCs w:val="24"/>
        </w:rPr>
        <w:t xml:space="preserve">CRT </w:t>
      </w:r>
      <w:r>
        <w:rPr>
          <w:sz w:val="24"/>
          <w:szCs w:val="24"/>
        </w:rPr>
        <w:t>access</w:t>
      </w:r>
      <w:r w:rsidR="005F544A">
        <w:rPr>
          <w:sz w:val="24"/>
          <w:szCs w:val="24"/>
        </w:rPr>
        <w:t>, for at least some residents in their area,</w:t>
      </w:r>
      <w:r>
        <w:rPr>
          <w:sz w:val="24"/>
          <w:szCs w:val="24"/>
        </w:rPr>
        <w:t xml:space="preserve"> to a crisis house or similar (i.e. non-hospital, residential crisis accommodation); and 22% of CRTs (41/184) had access to an acute day service/day hospital. Three quarters of CRTs (142/187, 76%) reported that there was a written </w:t>
      </w:r>
      <w:r w:rsidR="005F544A">
        <w:rPr>
          <w:sz w:val="24"/>
          <w:szCs w:val="24"/>
        </w:rPr>
        <w:t xml:space="preserve">plan for access to and provision of care through acute services (an </w:t>
      </w:r>
      <w:r>
        <w:rPr>
          <w:sz w:val="24"/>
          <w:szCs w:val="24"/>
        </w:rPr>
        <w:t>acute care pathway</w:t>
      </w:r>
      <w:r w:rsidR="005F544A">
        <w:rPr>
          <w:sz w:val="24"/>
          <w:szCs w:val="24"/>
        </w:rPr>
        <w:t>)</w:t>
      </w:r>
      <w:r>
        <w:rPr>
          <w:sz w:val="24"/>
          <w:szCs w:val="24"/>
        </w:rPr>
        <w:t xml:space="preserve"> within their NHS Trust.</w:t>
      </w:r>
    </w:p>
    <w:p w:rsidR="00D915C8" w:rsidRPr="00642AC8" w:rsidRDefault="00642AC8" w:rsidP="00C840C9">
      <w:pPr>
        <w:spacing w:line="480" w:lineRule="auto"/>
        <w:jc w:val="both"/>
        <w:rPr>
          <w:b/>
          <w:sz w:val="24"/>
          <w:szCs w:val="24"/>
        </w:rPr>
      </w:pPr>
      <w:r>
        <w:rPr>
          <w:b/>
          <w:sz w:val="24"/>
          <w:szCs w:val="24"/>
        </w:rPr>
        <w:t>c) W</w:t>
      </w:r>
      <w:r w:rsidR="002D617D" w:rsidRPr="002D617D">
        <w:rPr>
          <w:b/>
          <w:sz w:val="24"/>
          <w:szCs w:val="24"/>
        </w:rPr>
        <w:t>orking with other community services</w:t>
      </w:r>
      <w:r>
        <w:rPr>
          <w:b/>
          <w:sz w:val="24"/>
          <w:szCs w:val="24"/>
        </w:rPr>
        <w:t xml:space="preserve">: </w:t>
      </w:r>
      <w:r w:rsidR="00E832B8">
        <w:rPr>
          <w:sz w:val="24"/>
          <w:szCs w:val="24"/>
        </w:rPr>
        <w:t>Of 184 respondents, 155 (84%) reported that the CRT routinely arranged a joint discharge meeting for service users at the end of CRT support involving other community mental health teams who would provide continuing care.</w:t>
      </w:r>
      <w:r w:rsidR="00E45D54">
        <w:rPr>
          <w:sz w:val="24"/>
          <w:szCs w:val="24"/>
        </w:rPr>
        <w:t xml:space="preserve"> Nearly three quarters of respondents (n=142, 74%) identified initiatives put in place to improve continuity with Community Mental Health Teams or equivalent services</w:t>
      </w:r>
      <w:r w:rsidR="008F09D0">
        <w:rPr>
          <w:sz w:val="24"/>
          <w:szCs w:val="24"/>
        </w:rPr>
        <w:t>, most frequently</w:t>
      </w:r>
      <w:r w:rsidR="00E45D54">
        <w:rPr>
          <w:sz w:val="24"/>
          <w:szCs w:val="24"/>
        </w:rPr>
        <w:t xml:space="preserve">: regular meetings (n=85, 60%); joint working during CRT care (n=72; </w:t>
      </w:r>
      <w:r w:rsidR="0049494D">
        <w:rPr>
          <w:sz w:val="24"/>
          <w:szCs w:val="24"/>
        </w:rPr>
        <w:t>51%); and developing clear</w:t>
      </w:r>
      <w:r w:rsidR="00112251">
        <w:rPr>
          <w:sz w:val="24"/>
          <w:szCs w:val="24"/>
        </w:rPr>
        <w:t xml:space="preserve"> care pathways and protocols (n=</w:t>
      </w:r>
      <w:r w:rsidR="0049494D">
        <w:rPr>
          <w:sz w:val="24"/>
          <w:szCs w:val="24"/>
        </w:rPr>
        <w:t>22, 16%).</w:t>
      </w:r>
    </w:p>
    <w:p w:rsidR="00E36A5D" w:rsidRDefault="00642AC8" w:rsidP="00C840C9">
      <w:pPr>
        <w:spacing w:line="480" w:lineRule="auto"/>
        <w:jc w:val="both"/>
        <w:rPr>
          <w:sz w:val="24"/>
          <w:szCs w:val="24"/>
        </w:rPr>
      </w:pPr>
      <w:r>
        <w:rPr>
          <w:b/>
          <w:sz w:val="24"/>
          <w:szCs w:val="24"/>
        </w:rPr>
        <w:t>d) C</w:t>
      </w:r>
      <w:r w:rsidR="00E36A5D">
        <w:rPr>
          <w:b/>
          <w:sz w:val="24"/>
          <w:szCs w:val="24"/>
        </w:rPr>
        <w:t>ontent of care</w:t>
      </w:r>
      <w:r w:rsidR="0049494D">
        <w:rPr>
          <w:b/>
          <w:sz w:val="24"/>
          <w:szCs w:val="24"/>
        </w:rPr>
        <w:t xml:space="preserve">: </w:t>
      </w:r>
      <w:r w:rsidR="00AD41D1">
        <w:rPr>
          <w:sz w:val="24"/>
          <w:szCs w:val="24"/>
        </w:rPr>
        <w:t xml:space="preserve">CRT support for a service user lasted on average about three weeks (median = 21 days (n=141)). </w:t>
      </w:r>
      <w:r w:rsidR="0049494D">
        <w:rPr>
          <w:sz w:val="24"/>
          <w:szCs w:val="24"/>
        </w:rPr>
        <w:t>Table 3 summarises the interventions reported as provided in CRTs.</w:t>
      </w:r>
      <w:r>
        <w:rPr>
          <w:sz w:val="24"/>
          <w:szCs w:val="24"/>
        </w:rPr>
        <w:t xml:space="preserve"> Medication prescription, d</w:t>
      </w:r>
      <w:r w:rsidR="00922D87">
        <w:rPr>
          <w:sz w:val="24"/>
          <w:szCs w:val="24"/>
        </w:rPr>
        <w:t>elivery and supervision were provided in the large majority of teams; provision of psychosocial interventions, practical support and help with physical healthcare was more variable.</w:t>
      </w:r>
    </w:p>
    <w:p w:rsidR="00922D87" w:rsidRDefault="00922D87" w:rsidP="00C840C9">
      <w:pPr>
        <w:spacing w:line="480" w:lineRule="auto"/>
        <w:jc w:val="center"/>
        <w:rPr>
          <w:i/>
          <w:sz w:val="24"/>
          <w:szCs w:val="24"/>
        </w:rPr>
      </w:pPr>
      <w:r>
        <w:rPr>
          <w:i/>
          <w:sz w:val="24"/>
          <w:szCs w:val="24"/>
        </w:rPr>
        <w:t>Table 3 about here</w:t>
      </w:r>
    </w:p>
    <w:p w:rsidR="007924D0" w:rsidRDefault="00922D87" w:rsidP="00C840C9">
      <w:pPr>
        <w:spacing w:line="480" w:lineRule="auto"/>
        <w:jc w:val="both"/>
        <w:rPr>
          <w:sz w:val="24"/>
          <w:szCs w:val="24"/>
        </w:rPr>
      </w:pPr>
      <w:r>
        <w:rPr>
          <w:sz w:val="24"/>
          <w:szCs w:val="24"/>
        </w:rPr>
        <w:t xml:space="preserve">Respondents were also asked to describe any structured interventions used to support </w:t>
      </w:r>
      <w:r w:rsidR="007924D0">
        <w:rPr>
          <w:sz w:val="24"/>
          <w:szCs w:val="24"/>
        </w:rPr>
        <w:t>key aspect</w:t>
      </w:r>
      <w:r w:rsidR="00975093">
        <w:rPr>
          <w:sz w:val="24"/>
          <w:szCs w:val="24"/>
        </w:rPr>
        <w:t xml:space="preserve">s of CRT </w:t>
      </w:r>
      <w:r w:rsidR="006F76EB">
        <w:rPr>
          <w:sz w:val="24"/>
          <w:szCs w:val="24"/>
        </w:rPr>
        <w:t>work. One</w:t>
      </w:r>
      <w:r w:rsidR="00975093">
        <w:rPr>
          <w:sz w:val="24"/>
          <w:szCs w:val="24"/>
        </w:rPr>
        <w:t xml:space="preserve"> hundre</w:t>
      </w:r>
      <w:r w:rsidR="00642AC8">
        <w:rPr>
          <w:sz w:val="24"/>
          <w:szCs w:val="24"/>
        </w:rPr>
        <w:t>d and eighty respondents completed this part of the survey</w:t>
      </w:r>
      <w:r w:rsidR="00BD28CD">
        <w:rPr>
          <w:sz w:val="24"/>
          <w:szCs w:val="24"/>
        </w:rPr>
        <w:t xml:space="preserve">. </w:t>
      </w:r>
      <w:r w:rsidR="006F76EB">
        <w:rPr>
          <w:sz w:val="24"/>
          <w:szCs w:val="24"/>
        </w:rPr>
        <w:t>Typically, the</w:t>
      </w:r>
      <w:r w:rsidR="00BD28CD">
        <w:rPr>
          <w:sz w:val="24"/>
          <w:szCs w:val="24"/>
        </w:rPr>
        <w:t xml:space="preserve"> proportion of respondents describing the provision within their CRT of structured interventions, as opposed to referral or signposting to other services, or non-specific support, was quite small; the most common responses were</w:t>
      </w:r>
      <w:r w:rsidR="00975093">
        <w:rPr>
          <w:sz w:val="24"/>
          <w:szCs w:val="24"/>
        </w:rPr>
        <w:t xml:space="preserve">: </w:t>
      </w:r>
    </w:p>
    <w:p w:rsidR="007924D0" w:rsidRPr="00F31AF8" w:rsidRDefault="007924D0" w:rsidP="00C840C9">
      <w:pPr>
        <w:spacing w:line="480" w:lineRule="auto"/>
        <w:jc w:val="both"/>
        <w:rPr>
          <w:sz w:val="24"/>
          <w:szCs w:val="24"/>
        </w:rPr>
      </w:pPr>
      <w:r w:rsidRPr="00F31AF8">
        <w:rPr>
          <w:sz w:val="24"/>
          <w:szCs w:val="24"/>
          <w:u w:val="single"/>
        </w:rPr>
        <w:t>Supporting families</w:t>
      </w:r>
      <w:r w:rsidR="009D33EE" w:rsidRPr="00F31AF8">
        <w:rPr>
          <w:sz w:val="24"/>
          <w:szCs w:val="24"/>
          <w:u w:val="single"/>
        </w:rPr>
        <w:t>:</w:t>
      </w:r>
      <w:r w:rsidR="009D33EE" w:rsidRPr="00F31AF8">
        <w:rPr>
          <w:sz w:val="24"/>
          <w:szCs w:val="24"/>
        </w:rPr>
        <w:t xml:space="preserve"> n=122 (68%) respondents described </w:t>
      </w:r>
      <w:r w:rsidR="00F31AF8">
        <w:rPr>
          <w:sz w:val="24"/>
          <w:szCs w:val="24"/>
        </w:rPr>
        <w:t xml:space="preserve">an intervention </w:t>
      </w:r>
      <w:r w:rsidR="00BD28CD" w:rsidRPr="00F31AF8">
        <w:rPr>
          <w:sz w:val="24"/>
          <w:szCs w:val="24"/>
        </w:rPr>
        <w:t xml:space="preserve">but these were most commonly: </w:t>
      </w:r>
      <w:r w:rsidR="009D33EE" w:rsidRPr="00F31AF8">
        <w:rPr>
          <w:sz w:val="24"/>
          <w:szCs w:val="24"/>
        </w:rPr>
        <w:t>referring or signposting to carers</w:t>
      </w:r>
      <w:r w:rsidR="00EF6B52" w:rsidRPr="00F31AF8">
        <w:rPr>
          <w:sz w:val="24"/>
          <w:szCs w:val="24"/>
        </w:rPr>
        <w:t>’</w:t>
      </w:r>
      <w:r w:rsidR="009D33EE" w:rsidRPr="00F31AF8">
        <w:rPr>
          <w:sz w:val="24"/>
          <w:szCs w:val="24"/>
        </w:rPr>
        <w:t xml:space="preserve"> services (</w:t>
      </w:r>
      <w:r w:rsidR="00EF6B52" w:rsidRPr="00F31AF8">
        <w:rPr>
          <w:sz w:val="24"/>
          <w:szCs w:val="24"/>
        </w:rPr>
        <w:t>n=29, 24%); providing a carer’s assessment (n=27, 22%)</w:t>
      </w:r>
      <w:r w:rsidR="00BD28CD" w:rsidRPr="00F31AF8">
        <w:rPr>
          <w:sz w:val="24"/>
          <w:szCs w:val="24"/>
        </w:rPr>
        <w:t>. More unequivocally structured interventions included:</w:t>
      </w:r>
      <w:r w:rsidR="00EF6B52" w:rsidRPr="00F31AF8">
        <w:rPr>
          <w:sz w:val="24"/>
          <w:szCs w:val="24"/>
        </w:rPr>
        <w:t xml:space="preserve"> soci</w:t>
      </w:r>
      <w:r w:rsidR="00642AC8" w:rsidRPr="00F31AF8">
        <w:rPr>
          <w:sz w:val="24"/>
          <w:szCs w:val="24"/>
        </w:rPr>
        <w:t>al systems meetings (n=23, 19%);</w:t>
      </w:r>
      <w:r w:rsidR="00EF6B52" w:rsidRPr="00F31AF8">
        <w:rPr>
          <w:sz w:val="24"/>
          <w:szCs w:val="24"/>
        </w:rPr>
        <w:t xml:space="preserve"> providing family therapy (n=17, 14%).</w:t>
      </w:r>
    </w:p>
    <w:p w:rsidR="007924D0" w:rsidRPr="00F31AF8" w:rsidRDefault="00EF6B52" w:rsidP="00C840C9">
      <w:pPr>
        <w:spacing w:line="480" w:lineRule="auto"/>
        <w:jc w:val="both"/>
        <w:rPr>
          <w:sz w:val="24"/>
          <w:szCs w:val="24"/>
        </w:rPr>
      </w:pPr>
      <w:r w:rsidRPr="00F31AF8">
        <w:rPr>
          <w:sz w:val="24"/>
          <w:szCs w:val="24"/>
          <w:u w:val="single"/>
        </w:rPr>
        <w:t>Medication management:</w:t>
      </w:r>
      <w:r w:rsidRPr="00F31AF8">
        <w:rPr>
          <w:sz w:val="24"/>
          <w:szCs w:val="24"/>
        </w:rPr>
        <w:t xml:space="preserve"> </w:t>
      </w:r>
      <w:r w:rsidR="00F31AF8">
        <w:rPr>
          <w:sz w:val="24"/>
          <w:szCs w:val="24"/>
        </w:rPr>
        <w:t xml:space="preserve">Interventions </w:t>
      </w:r>
      <w:r w:rsidR="00975093" w:rsidRPr="00F31AF8">
        <w:rPr>
          <w:sz w:val="24"/>
          <w:szCs w:val="24"/>
        </w:rPr>
        <w:t>were described by 134 (74%) respondents</w:t>
      </w:r>
      <w:r w:rsidR="00BD28CD" w:rsidRPr="00F31AF8">
        <w:rPr>
          <w:sz w:val="24"/>
          <w:szCs w:val="24"/>
        </w:rPr>
        <w:t xml:space="preserve"> but most common was otherwise unspecified </w:t>
      </w:r>
      <w:r w:rsidR="00A31477" w:rsidRPr="00F31AF8">
        <w:rPr>
          <w:sz w:val="24"/>
          <w:szCs w:val="24"/>
        </w:rPr>
        <w:t>compliance monitoring and prompting (n=64, 48%)</w:t>
      </w:r>
      <w:r w:rsidR="00BD28CD" w:rsidRPr="00F31AF8">
        <w:rPr>
          <w:sz w:val="24"/>
          <w:szCs w:val="24"/>
        </w:rPr>
        <w:t>.</w:t>
      </w:r>
      <w:r w:rsidR="00A31477" w:rsidRPr="00F31AF8">
        <w:rPr>
          <w:sz w:val="24"/>
          <w:szCs w:val="24"/>
        </w:rPr>
        <w:t xml:space="preserve"> </w:t>
      </w:r>
      <w:r w:rsidR="00BD28CD" w:rsidRPr="00F31AF8">
        <w:rPr>
          <w:sz w:val="24"/>
          <w:szCs w:val="24"/>
        </w:rPr>
        <w:t>S</w:t>
      </w:r>
      <w:r w:rsidR="00A31477" w:rsidRPr="00F31AF8">
        <w:rPr>
          <w:sz w:val="24"/>
          <w:szCs w:val="24"/>
        </w:rPr>
        <w:t xml:space="preserve">tructured side-effects monitoring </w:t>
      </w:r>
      <w:r w:rsidR="00BD28CD" w:rsidRPr="00F31AF8">
        <w:rPr>
          <w:sz w:val="24"/>
          <w:szCs w:val="24"/>
        </w:rPr>
        <w:t xml:space="preserve">was reported by </w:t>
      </w:r>
      <w:r w:rsidR="00A31477" w:rsidRPr="00F31AF8">
        <w:rPr>
          <w:sz w:val="24"/>
          <w:szCs w:val="24"/>
        </w:rPr>
        <w:t>48</w:t>
      </w:r>
      <w:r w:rsidR="00BD28CD" w:rsidRPr="00F31AF8">
        <w:rPr>
          <w:sz w:val="24"/>
          <w:szCs w:val="24"/>
        </w:rPr>
        <w:t xml:space="preserve"> respondents</w:t>
      </w:r>
      <w:r w:rsidR="00A31477" w:rsidRPr="00F31AF8">
        <w:rPr>
          <w:sz w:val="24"/>
          <w:szCs w:val="24"/>
        </w:rPr>
        <w:t xml:space="preserve"> </w:t>
      </w:r>
      <w:r w:rsidR="00BD28CD" w:rsidRPr="00F31AF8">
        <w:rPr>
          <w:sz w:val="24"/>
          <w:szCs w:val="24"/>
        </w:rPr>
        <w:t>(</w:t>
      </w:r>
      <w:r w:rsidR="00A31477" w:rsidRPr="00F31AF8">
        <w:rPr>
          <w:sz w:val="24"/>
          <w:szCs w:val="24"/>
        </w:rPr>
        <w:t>36%);</w:t>
      </w:r>
      <w:r w:rsidR="00BD28CD" w:rsidRPr="00F31AF8">
        <w:rPr>
          <w:sz w:val="24"/>
          <w:szCs w:val="24"/>
        </w:rPr>
        <w:t xml:space="preserve"> also reported were:</w:t>
      </w:r>
      <w:r w:rsidR="00A31477" w:rsidRPr="00F31AF8">
        <w:rPr>
          <w:sz w:val="24"/>
          <w:szCs w:val="24"/>
        </w:rPr>
        <w:t xml:space="preserve"> providing education and information about medication (n=48, 36%); </w:t>
      </w:r>
      <w:r w:rsidR="00BD28CD" w:rsidRPr="00F31AF8">
        <w:rPr>
          <w:sz w:val="24"/>
          <w:szCs w:val="24"/>
        </w:rPr>
        <w:t xml:space="preserve">and </w:t>
      </w:r>
      <w:r w:rsidR="00A31477" w:rsidRPr="00F31AF8">
        <w:rPr>
          <w:sz w:val="24"/>
          <w:szCs w:val="24"/>
        </w:rPr>
        <w:t>providing compliance aids (e.g. dosette boxes) (n=37, 28%).</w:t>
      </w:r>
    </w:p>
    <w:p w:rsidR="007924D0" w:rsidRPr="00F31AF8" w:rsidRDefault="007924D0" w:rsidP="00C840C9">
      <w:pPr>
        <w:spacing w:line="480" w:lineRule="auto"/>
        <w:jc w:val="both"/>
        <w:rPr>
          <w:sz w:val="24"/>
          <w:szCs w:val="24"/>
        </w:rPr>
      </w:pPr>
      <w:r w:rsidRPr="00F31AF8">
        <w:rPr>
          <w:sz w:val="24"/>
          <w:szCs w:val="24"/>
          <w:u w:val="single"/>
        </w:rPr>
        <w:t>S</w:t>
      </w:r>
      <w:r w:rsidR="00922D87" w:rsidRPr="00F31AF8">
        <w:rPr>
          <w:sz w:val="24"/>
          <w:szCs w:val="24"/>
          <w:u w:val="single"/>
        </w:rPr>
        <w:t>ymp</w:t>
      </w:r>
      <w:r w:rsidRPr="00F31AF8">
        <w:rPr>
          <w:sz w:val="24"/>
          <w:szCs w:val="24"/>
          <w:u w:val="single"/>
        </w:rPr>
        <w:t>toms and psychological distress</w:t>
      </w:r>
      <w:r w:rsidR="00A31477" w:rsidRPr="00F31AF8">
        <w:rPr>
          <w:sz w:val="24"/>
          <w:szCs w:val="24"/>
          <w:u w:val="single"/>
        </w:rPr>
        <w:t>:</w:t>
      </w:r>
      <w:r w:rsidR="00A31477" w:rsidRPr="00F31AF8">
        <w:rPr>
          <w:sz w:val="24"/>
          <w:szCs w:val="24"/>
        </w:rPr>
        <w:t xml:space="preserve"> Descriptions of interventions were provided by 158 r</w:t>
      </w:r>
      <w:r w:rsidR="0015392D" w:rsidRPr="00F31AF8">
        <w:rPr>
          <w:sz w:val="24"/>
          <w:szCs w:val="24"/>
        </w:rPr>
        <w:t>espondents (88%), most commonly</w:t>
      </w:r>
      <w:r w:rsidR="00A31477" w:rsidRPr="00F31AF8">
        <w:rPr>
          <w:sz w:val="24"/>
          <w:szCs w:val="24"/>
        </w:rPr>
        <w:t xml:space="preserve"> cognitive behavioural therapy (n=59, 37%) and solution-focused therapy (n=20, 12%).</w:t>
      </w:r>
    </w:p>
    <w:p w:rsidR="007924D0" w:rsidRPr="00F31AF8" w:rsidRDefault="007924D0" w:rsidP="00C840C9">
      <w:pPr>
        <w:spacing w:line="480" w:lineRule="auto"/>
        <w:jc w:val="both"/>
        <w:rPr>
          <w:sz w:val="24"/>
          <w:szCs w:val="24"/>
        </w:rPr>
      </w:pPr>
      <w:r w:rsidRPr="00F31AF8">
        <w:rPr>
          <w:sz w:val="24"/>
          <w:szCs w:val="24"/>
          <w:u w:val="single"/>
        </w:rPr>
        <w:t>D</w:t>
      </w:r>
      <w:r w:rsidR="00A31477" w:rsidRPr="00F31AF8">
        <w:rPr>
          <w:sz w:val="24"/>
          <w:szCs w:val="24"/>
          <w:u w:val="single"/>
        </w:rPr>
        <w:t>rug and alcohol problems:</w:t>
      </w:r>
      <w:r w:rsidR="00A31477" w:rsidRPr="00F31AF8">
        <w:rPr>
          <w:sz w:val="24"/>
          <w:szCs w:val="24"/>
        </w:rPr>
        <w:t xml:space="preserve"> 77% of respondents (n=132) </w:t>
      </w:r>
      <w:r w:rsidR="0015392D" w:rsidRPr="00F31AF8">
        <w:rPr>
          <w:sz w:val="24"/>
          <w:szCs w:val="24"/>
        </w:rPr>
        <w:t xml:space="preserve">reported providing </w:t>
      </w:r>
      <w:r w:rsidR="00A31477" w:rsidRPr="00F31AF8">
        <w:rPr>
          <w:sz w:val="24"/>
          <w:szCs w:val="24"/>
        </w:rPr>
        <w:t xml:space="preserve">some </w:t>
      </w:r>
      <w:r w:rsidR="0015392D" w:rsidRPr="00F31AF8">
        <w:rPr>
          <w:sz w:val="24"/>
          <w:szCs w:val="24"/>
        </w:rPr>
        <w:t xml:space="preserve">structured </w:t>
      </w:r>
      <w:r w:rsidR="00A31477" w:rsidRPr="00F31AF8">
        <w:rPr>
          <w:sz w:val="24"/>
          <w:szCs w:val="24"/>
        </w:rPr>
        <w:t xml:space="preserve">support, but this was most frequently </w:t>
      </w:r>
      <w:r w:rsidR="0015392D" w:rsidRPr="00F31AF8">
        <w:rPr>
          <w:sz w:val="24"/>
          <w:szCs w:val="24"/>
        </w:rPr>
        <w:t xml:space="preserve">described just as </w:t>
      </w:r>
      <w:r w:rsidR="00A31477" w:rsidRPr="00F31AF8">
        <w:rPr>
          <w:sz w:val="24"/>
          <w:szCs w:val="24"/>
        </w:rPr>
        <w:t>referral on to other specialist services (n=77, 58.5%). Motivational interviewing was the most common approach described as provided within the CRT (n=23, 17%).</w:t>
      </w:r>
    </w:p>
    <w:p w:rsidR="00922D87" w:rsidRPr="00F31AF8" w:rsidRDefault="007924D0" w:rsidP="00C840C9">
      <w:pPr>
        <w:spacing w:line="480" w:lineRule="auto"/>
        <w:jc w:val="both"/>
        <w:rPr>
          <w:sz w:val="24"/>
          <w:szCs w:val="24"/>
        </w:rPr>
      </w:pPr>
      <w:r w:rsidRPr="00F31AF8">
        <w:rPr>
          <w:sz w:val="24"/>
          <w:szCs w:val="24"/>
          <w:u w:val="single"/>
        </w:rPr>
        <w:t>R</w:t>
      </w:r>
      <w:r w:rsidR="00A31477" w:rsidRPr="00F31AF8">
        <w:rPr>
          <w:sz w:val="24"/>
          <w:szCs w:val="24"/>
          <w:u w:val="single"/>
        </w:rPr>
        <w:t>isk management:</w:t>
      </w:r>
      <w:r w:rsidR="00A31477" w:rsidRPr="00F31AF8">
        <w:rPr>
          <w:sz w:val="24"/>
          <w:szCs w:val="24"/>
        </w:rPr>
        <w:t xml:space="preserve"> 77% of respondents </w:t>
      </w:r>
      <w:r w:rsidR="00174D6D" w:rsidRPr="00F31AF8">
        <w:rPr>
          <w:sz w:val="24"/>
          <w:szCs w:val="24"/>
        </w:rPr>
        <w:t xml:space="preserve">(n=138) </w:t>
      </w:r>
      <w:r w:rsidR="00A31477" w:rsidRPr="00F31AF8">
        <w:rPr>
          <w:sz w:val="24"/>
          <w:szCs w:val="24"/>
        </w:rPr>
        <w:t xml:space="preserve">provided some text describing approaches to risk management, but many just commented generally that this is an important feature of CRT work. Use of structured risk assessment schedules was the most commonly identified structured approach (n=71, 51%). </w:t>
      </w:r>
    </w:p>
    <w:p w:rsidR="00F31AF8" w:rsidRDefault="00F31AF8" w:rsidP="00C840C9">
      <w:pPr>
        <w:spacing w:line="480" w:lineRule="auto"/>
        <w:jc w:val="both"/>
        <w:rPr>
          <w:sz w:val="24"/>
          <w:szCs w:val="24"/>
        </w:rPr>
      </w:pPr>
    </w:p>
    <w:p w:rsidR="00174D6D" w:rsidRDefault="00174D6D" w:rsidP="00C840C9">
      <w:pPr>
        <w:spacing w:line="480" w:lineRule="auto"/>
        <w:jc w:val="both"/>
        <w:rPr>
          <w:sz w:val="24"/>
          <w:szCs w:val="24"/>
        </w:rPr>
      </w:pPr>
      <w:r>
        <w:rPr>
          <w:sz w:val="24"/>
          <w:szCs w:val="24"/>
        </w:rPr>
        <w:t>Table 4 summarises findings from 175 respondents</w:t>
      </w:r>
      <w:r w:rsidR="00F31AF8">
        <w:rPr>
          <w:sz w:val="24"/>
          <w:szCs w:val="24"/>
        </w:rPr>
        <w:t xml:space="preserve"> on initiatives to improve service users’ and carers’ experience of CRT support</w:t>
      </w:r>
      <w:r>
        <w:rPr>
          <w:sz w:val="24"/>
          <w:szCs w:val="24"/>
        </w:rPr>
        <w:t xml:space="preserve">. Feedback from service users was sought in </w:t>
      </w:r>
      <w:r w:rsidR="00793775">
        <w:rPr>
          <w:sz w:val="24"/>
          <w:szCs w:val="24"/>
        </w:rPr>
        <w:t xml:space="preserve">over 80% of CRTs. </w:t>
      </w:r>
      <w:r>
        <w:rPr>
          <w:sz w:val="24"/>
          <w:szCs w:val="24"/>
        </w:rPr>
        <w:t>Service user and carer involvement in CRT staff recruitment</w:t>
      </w:r>
      <w:r w:rsidR="00D73E12">
        <w:rPr>
          <w:sz w:val="24"/>
          <w:szCs w:val="24"/>
        </w:rPr>
        <w:t>, training</w:t>
      </w:r>
      <w:r>
        <w:rPr>
          <w:sz w:val="24"/>
          <w:szCs w:val="24"/>
        </w:rPr>
        <w:t xml:space="preserve"> and management groups </w:t>
      </w:r>
      <w:r w:rsidR="00793775">
        <w:rPr>
          <w:sz w:val="24"/>
          <w:szCs w:val="24"/>
        </w:rPr>
        <w:t>was common, as were systems to limit the number of staff working with individual service users.</w:t>
      </w:r>
    </w:p>
    <w:p w:rsidR="00D73E12" w:rsidRPr="00D73E12" w:rsidRDefault="00D73E12" w:rsidP="00C840C9">
      <w:pPr>
        <w:spacing w:line="480" w:lineRule="auto"/>
        <w:jc w:val="center"/>
        <w:rPr>
          <w:i/>
          <w:sz w:val="24"/>
          <w:szCs w:val="24"/>
        </w:rPr>
      </w:pPr>
      <w:r>
        <w:rPr>
          <w:i/>
          <w:sz w:val="24"/>
          <w:szCs w:val="24"/>
        </w:rPr>
        <w:t>Table 4 about here</w:t>
      </w:r>
    </w:p>
    <w:p w:rsidR="00E355EB" w:rsidRDefault="00E355EB" w:rsidP="00C840C9">
      <w:pPr>
        <w:spacing w:line="480" w:lineRule="auto"/>
        <w:jc w:val="both"/>
        <w:rPr>
          <w:b/>
          <w:sz w:val="24"/>
          <w:szCs w:val="24"/>
        </w:rPr>
      </w:pPr>
    </w:p>
    <w:p w:rsidR="00E355EB" w:rsidRDefault="00E355EB" w:rsidP="00C840C9">
      <w:pPr>
        <w:spacing w:line="480" w:lineRule="auto"/>
        <w:jc w:val="both"/>
        <w:rPr>
          <w:b/>
          <w:sz w:val="24"/>
          <w:szCs w:val="24"/>
        </w:rPr>
      </w:pPr>
    </w:p>
    <w:p w:rsidR="00E355EB" w:rsidRDefault="00E355EB" w:rsidP="00C840C9">
      <w:pPr>
        <w:spacing w:line="480" w:lineRule="auto"/>
        <w:jc w:val="both"/>
        <w:rPr>
          <w:b/>
          <w:sz w:val="24"/>
          <w:szCs w:val="24"/>
        </w:rPr>
      </w:pPr>
    </w:p>
    <w:p w:rsidR="00D73E12" w:rsidRDefault="00D73E12" w:rsidP="00C840C9">
      <w:pPr>
        <w:spacing w:line="480" w:lineRule="auto"/>
        <w:jc w:val="both"/>
        <w:rPr>
          <w:b/>
          <w:sz w:val="24"/>
          <w:szCs w:val="24"/>
        </w:rPr>
      </w:pPr>
      <w:r>
        <w:rPr>
          <w:b/>
          <w:sz w:val="24"/>
          <w:szCs w:val="24"/>
        </w:rPr>
        <w:t>ii) Adherence to original guidance for CRTs</w:t>
      </w:r>
    </w:p>
    <w:p w:rsidR="00D73E12" w:rsidRDefault="008F09D0" w:rsidP="00C840C9">
      <w:pPr>
        <w:spacing w:line="480" w:lineRule="auto"/>
        <w:jc w:val="both"/>
        <w:rPr>
          <w:sz w:val="24"/>
          <w:szCs w:val="24"/>
        </w:rPr>
      </w:pPr>
      <w:r>
        <w:rPr>
          <w:sz w:val="24"/>
          <w:szCs w:val="24"/>
        </w:rPr>
        <w:t xml:space="preserve">Where possible, we compared data from our survey with the </w:t>
      </w:r>
      <w:r w:rsidR="00AB11AE">
        <w:rPr>
          <w:sz w:val="24"/>
          <w:szCs w:val="24"/>
        </w:rPr>
        <w:t xml:space="preserve">original </w:t>
      </w:r>
      <w:r w:rsidR="00FF7510">
        <w:rPr>
          <w:sz w:val="24"/>
          <w:szCs w:val="24"/>
        </w:rPr>
        <w:t>English</w:t>
      </w:r>
      <w:r>
        <w:rPr>
          <w:sz w:val="24"/>
          <w:szCs w:val="24"/>
        </w:rPr>
        <w:t xml:space="preserve"> gover</w:t>
      </w:r>
      <w:r w:rsidR="00203AFE">
        <w:rPr>
          <w:sz w:val="24"/>
          <w:szCs w:val="24"/>
        </w:rPr>
        <w:t>nm</w:t>
      </w:r>
      <w:r w:rsidR="00A568D9">
        <w:rPr>
          <w:sz w:val="24"/>
          <w:szCs w:val="24"/>
        </w:rPr>
        <w:t>ent implementation guidance (DH 2001)</w:t>
      </w:r>
      <w:r>
        <w:rPr>
          <w:sz w:val="24"/>
          <w:szCs w:val="24"/>
        </w:rPr>
        <w:t xml:space="preserve">. </w:t>
      </w:r>
      <w:r w:rsidR="00F84978">
        <w:rPr>
          <w:sz w:val="24"/>
          <w:szCs w:val="24"/>
        </w:rPr>
        <w:t xml:space="preserve">Table 5 indicates that overall adherence to the specified CRT model was very low. Only one </w:t>
      </w:r>
      <w:r w:rsidR="006F76EB">
        <w:rPr>
          <w:sz w:val="24"/>
          <w:szCs w:val="24"/>
        </w:rPr>
        <w:t>CRT in</w:t>
      </w:r>
      <w:r w:rsidR="00F84978">
        <w:rPr>
          <w:sz w:val="24"/>
          <w:szCs w:val="24"/>
        </w:rPr>
        <w:t xml:space="preserve"> our survey reported being adherent in all areas assessed. Most CRTs performed gatekeeping and early discharge functions</w:t>
      </w:r>
      <w:r w:rsidR="00AD41D1">
        <w:rPr>
          <w:sz w:val="24"/>
          <w:szCs w:val="24"/>
        </w:rPr>
        <w:t>,</w:t>
      </w:r>
      <w:r w:rsidR="00F84978">
        <w:rPr>
          <w:sz w:val="24"/>
          <w:szCs w:val="24"/>
        </w:rPr>
        <w:t xml:space="preserve"> and</w:t>
      </w:r>
      <w:r>
        <w:rPr>
          <w:sz w:val="24"/>
          <w:szCs w:val="24"/>
        </w:rPr>
        <w:t xml:space="preserve"> </w:t>
      </w:r>
      <w:r w:rsidR="00015FE3">
        <w:rPr>
          <w:sz w:val="24"/>
          <w:szCs w:val="24"/>
        </w:rPr>
        <w:t>teams were typically as well</w:t>
      </w:r>
      <w:r w:rsidR="0015392D">
        <w:rPr>
          <w:sz w:val="24"/>
          <w:szCs w:val="24"/>
        </w:rPr>
        <w:t>-staffed as recommended, including with medical cover. However, f</w:t>
      </w:r>
      <w:r w:rsidR="00F84978">
        <w:rPr>
          <w:sz w:val="24"/>
          <w:szCs w:val="24"/>
        </w:rPr>
        <w:t xml:space="preserve">ew teams provided the multi-disciplinary staff team advocated in guidance; delivery of recommended interventions was </w:t>
      </w:r>
      <w:r w:rsidR="00F31AF8">
        <w:rPr>
          <w:sz w:val="24"/>
          <w:szCs w:val="24"/>
        </w:rPr>
        <w:t xml:space="preserve">highly </w:t>
      </w:r>
      <w:r w:rsidR="00F84978">
        <w:rPr>
          <w:sz w:val="24"/>
          <w:szCs w:val="24"/>
        </w:rPr>
        <w:t xml:space="preserve">variable. </w:t>
      </w:r>
    </w:p>
    <w:p w:rsidR="00F84978" w:rsidRDefault="00F84978" w:rsidP="00C840C9">
      <w:pPr>
        <w:spacing w:line="480" w:lineRule="auto"/>
        <w:jc w:val="center"/>
        <w:rPr>
          <w:i/>
          <w:sz w:val="24"/>
          <w:szCs w:val="24"/>
        </w:rPr>
      </w:pPr>
      <w:r>
        <w:rPr>
          <w:i/>
          <w:sz w:val="24"/>
          <w:szCs w:val="24"/>
        </w:rPr>
        <w:t>Table 5 about here</w:t>
      </w:r>
    </w:p>
    <w:p w:rsidR="00F84978" w:rsidRDefault="00F84978" w:rsidP="00C840C9">
      <w:pPr>
        <w:spacing w:line="480" w:lineRule="auto"/>
        <w:jc w:val="both"/>
        <w:rPr>
          <w:sz w:val="24"/>
          <w:szCs w:val="24"/>
        </w:rPr>
      </w:pPr>
    </w:p>
    <w:p w:rsidR="00F84978" w:rsidRDefault="00F84978" w:rsidP="00C840C9">
      <w:pPr>
        <w:spacing w:line="480" w:lineRule="auto"/>
        <w:jc w:val="both"/>
        <w:rPr>
          <w:b/>
          <w:sz w:val="24"/>
          <w:szCs w:val="24"/>
        </w:rPr>
      </w:pPr>
      <w:r>
        <w:rPr>
          <w:b/>
          <w:sz w:val="24"/>
          <w:szCs w:val="24"/>
        </w:rPr>
        <w:t xml:space="preserve">iii) Managers’ priorities for service improvement and </w:t>
      </w:r>
      <w:r w:rsidR="00B5269A">
        <w:rPr>
          <w:b/>
          <w:sz w:val="24"/>
          <w:szCs w:val="24"/>
        </w:rPr>
        <w:t xml:space="preserve">differences in </w:t>
      </w:r>
      <w:r>
        <w:rPr>
          <w:b/>
          <w:sz w:val="24"/>
          <w:szCs w:val="24"/>
        </w:rPr>
        <w:t>valued and actual service provision</w:t>
      </w:r>
    </w:p>
    <w:p w:rsidR="00B5269A" w:rsidRDefault="00B5269A" w:rsidP="00C840C9">
      <w:pPr>
        <w:spacing w:line="480" w:lineRule="auto"/>
        <w:jc w:val="both"/>
        <w:rPr>
          <w:sz w:val="24"/>
          <w:szCs w:val="24"/>
        </w:rPr>
      </w:pPr>
      <w:r>
        <w:rPr>
          <w:sz w:val="24"/>
          <w:szCs w:val="24"/>
        </w:rPr>
        <w:t xml:space="preserve">Free text responses from 163 respondents identified up to three desired changes which could improve the CRT’s service. Five things were mentioned by more than 10% of respondents: </w:t>
      </w:r>
      <w:r w:rsidRPr="00AD41D1">
        <w:rPr>
          <w:b/>
          <w:i/>
          <w:sz w:val="24"/>
          <w:szCs w:val="24"/>
        </w:rPr>
        <w:t>more staff</w:t>
      </w:r>
      <w:r>
        <w:rPr>
          <w:sz w:val="24"/>
          <w:szCs w:val="24"/>
        </w:rPr>
        <w:t xml:space="preserve"> (n=80, 46%); </w:t>
      </w:r>
      <w:r w:rsidRPr="00AD41D1">
        <w:rPr>
          <w:b/>
          <w:i/>
          <w:sz w:val="24"/>
          <w:szCs w:val="24"/>
        </w:rPr>
        <w:t xml:space="preserve">clearer referral pathways </w:t>
      </w:r>
      <w:r>
        <w:rPr>
          <w:sz w:val="24"/>
          <w:szCs w:val="24"/>
        </w:rPr>
        <w:t xml:space="preserve">and better continuity with other services; (n=75, 46%); increased </w:t>
      </w:r>
      <w:r w:rsidRPr="00AD41D1">
        <w:rPr>
          <w:b/>
          <w:i/>
          <w:sz w:val="24"/>
          <w:szCs w:val="24"/>
        </w:rPr>
        <w:t>clinical skills</w:t>
      </w:r>
      <w:r>
        <w:rPr>
          <w:sz w:val="24"/>
          <w:szCs w:val="24"/>
        </w:rPr>
        <w:t xml:space="preserve"> among CRT staff (n=40, 25%); better access to </w:t>
      </w:r>
      <w:r w:rsidRPr="00AD41D1">
        <w:rPr>
          <w:b/>
          <w:i/>
          <w:sz w:val="24"/>
          <w:szCs w:val="24"/>
        </w:rPr>
        <w:t>crisis/respite accommodation</w:t>
      </w:r>
      <w:r>
        <w:rPr>
          <w:sz w:val="24"/>
          <w:szCs w:val="24"/>
        </w:rPr>
        <w:t xml:space="preserve"> (n= 26, 16%); and a more </w:t>
      </w:r>
      <w:r w:rsidRPr="00AD41D1">
        <w:rPr>
          <w:b/>
          <w:i/>
          <w:sz w:val="24"/>
          <w:szCs w:val="24"/>
        </w:rPr>
        <w:t xml:space="preserve">multi-disciplinary staff team </w:t>
      </w:r>
      <w:r>
        <w:rPr>
          <w:sz w:val="24"/>
          <w:szCs w:val="24"/>
        </w:rPr>
        <w:t>(n=23, 14%). Additional staff were perceived as an urgent need by 27%</w:t>
      </w:r>
      <w:r w:rsidR="00D542D7">
        <w:rPr>
          <w:sz w:val="24"/>
          <w:szCs w:val="24"/>
        </w:rPr>
        <w:t xml:space="preserve"> </w:t>
      </w:r>
      <w:r>
        <w:rPr>
          <w:sz w:val="24"/>
          <w:szCs w:val="24"/>
        </w:rPr>
        <w:t>of respondents (46/171),</w:t>
      </w:r>
      <w:r w:rsidR="00D542D7">
        <w:rPr>
          <w:sz w:val="24"/>
          <w:szCs w:val="24"/>
        </w:rPr>
        <w:t xml:space="preserve"> with more nursing staff most commo</w:t>
      </w:r>
      <w:r w:rsidR="0015392D">
        <w:rPr>
          <w:sz w:val="24"/>
          <w:szCs w:val="24"/>
        </w:rPr>
        <w:t>nly prioritised (by 44/147, 30%</w:t>
      </w:r>
      <w:r w:rsidR="00D542D7">
        <w:rPr>
          <w:sz w:val="24"/>
          <w:szCs w:val="24"/>
        </w:rPr>
        <w:t xml:space="preserve"> of respondents). </w:t>
      </w:r>
    </w:p>
    <w:p w:rsidR="00AD41D1" w:rsidRDefault="006F76EB" w:rsidP="00C840C9">
      <w:pPr>
        <w:spacing w:line="480" w:lineRule="auto"/>
        <w:jc w:val="both"/>
        <w:rPr>
          <w:sz w:val="24"/>
          <w:szCs w:val="24"/>
        </w:rPr>
      </w:pPr>
      <w:r>
        <w:rPr>
          <w:sz w:val="24"/>
          <w:szCs w:val="24"/>
        </w:rPr>
        <w:t xml:space="preserve">Most characteristics of CRT services and service delivery which were frequently provided were also rated as useful by most respondents. </w:t>
      </w:r>
      <w:r w:rsidR="00F61177">
        <w:rPr>
          <w:sz w:val="24"/>
          <w:szCs w:val="24"/>
        </w:rPr>
        <w:t xml:space="preserve">Table 6 reports survey items where there was a discrepancy of at least 20% between the proportion of teams </w:t>
      </w:r>
      <w:r w:rsidR="00011F17">
        <w:rPr>
          <w:sz w:val="24"/>
          <w:szCs w:val="24"/>
        </w:rPr>
        <w:t xml:space="preserve">reporting a team characteristic </w:t>
      </w:r>
      <w:r w:rsidR="00F61177">
        <w:rPr>
          <w:sz w:val="24"/>
          <w:szCs w:val="24"/>
        </w:rPr>
        <w:t xml:space="preserve">and the proportion of teams rating it as fairly or </w:t>
      </w:r>
      <w:r>
        <w:rPr>
          <w:sz w:val="24"/>
          <w:szCs w:val="24"/>
        </w:rPr>
        <w:t>very useful</w:t>
      </w:r>
      <w:r w:rsidR="00F61177">
        <w:rPr>
          <w:sz w:val="24"/>
          <w:szCs w:val="24"/>
        </w:rPr>
        <w:t>.</w:t>
      </w:r>
      <w:r w:rsidR="00011F17">
        <w:rPr>
          <w:sz w:val="24"/>
          <w:szCs w:val="24"/>
        </w:rPr>
        <w:t xml:space="preserve"> Sixteen of these 18 discrepant items were deficits – i.e. CRT characteristics valued by the CRT manager but not routinely provided. Two team characteristics where results indicate reservations among respondents relate to working with specific service user groups, namely people with learning difficulties</w:t>
      </w:r>
      <w:r w:rsidR="00B235B1">
        <w:rPr>
          <w:sz w:val="24"/>
          <w:szCs w:val="24"/>
        </w:rPr>
        <w:t xml:space="preserve"> or</w:t>
      </w:r>
      <w:r w:rsidR="00011F17">
        <w:rPr>
          <w:sz w:val="24"/>
          <w:szCs w:val="24"/>
        </w:rPr>
        <w:t xml:space="preserve"> personality disorder.</w:t>
      </w:r>
    </w:p>
    <w:p w:rsidR="0015392D" w:rsidRPr="003D152F" w:rsidRDefault="003D152F" w:rsidP="003D152F">
      <w:pPr>
        <w:spacing w:line="480" w:lineRule="auto"/>
        <w:jc w:val="center"/>
        <w:rPr>
          <w:i/>
          <w:sz w:val="24"/>
          <w:szCs w:val="24"/>
        </w:rPr>
      </w:pPr>
      <w:r>
        <w:rPr>
          <w:i/>
          <w:sz w:val="24"/>
          <w:szCs w:val="24"/>
        </w:rPr>
        <w:t>Table 6 about here</w:t>
      </w:r>
    </w:p>
    <w:p w:rsidR="003D152F" w:rsidRDefault="003D152F" w:rsidP="00C840C9">
      <w:pPr>
        <w:spacing w:line="480" w:lineRule="auto"/>
        <w:jc w:val="both"/>
        <w:rPr>
          <w:b/>
          <w:sz w:val="24"/>
          <w:szCs w:val="24"/>
        </w:rPr>
      </w:pPr>
    </w:p>
    <w:p w:rsidR="0015392D" w:rsidRDefault="0015392D" w:rsidP="00C840C9">
      <w:pPr>
        <w:spacing w:line="480" w:lineRule="auto"/>
        <w:jc w:val="both"/>
        <w:rPr>
          <w:b/>
          <w:sz w:val="24"/>
          <w:szCs w:val="24"/>
        </w:rPr>
      </w:pPr>
      <w:r>
        <w:rPr>
          <w:b/>
          <w:sz w:val="24"/>
          <w:szCs w:val="24"/>
        </w:rPr>
        <w:t>Discussion</w:t>
      </w:r>
    </w:p>
    <w:p w:rsidR="00FF6D76" w:rsidRDefault="0015392D" w:rsidP="00C840C9">
      <w:pPr>
        <w:spacing w:line="480" w:lineRule="auto"/>
        <w:jc w:val="both"/>
        <w:rPr>
          <w:sz w:val="24"/>
          <w:szCs w:val="24"/>
        </w:rPr>
      </w:pPr>
      <w:r>
        <w:rPr>
          <w:b/>
          <w:sz w:val="24"/>
          <w:szCs w:val="24"/>
        </w:rPr>
        <w:t xml:space="preserve">Main findings: </w:t>
      </w:r>
      <w:r w:rsidR="009060D9">
        <w:rPr>
          <w:sz w:val="24"/>
          <w:szCs w:val="24"/>
        </w:rPr>
        <w:t>CRTs have become an established part of the mental health service system in England – found by our mapping to be available in every NHS Mental Health Trust. However, o</w:t>
      </w:r>
      <w:r w:rsidR="001475E1">
        <w:rPr>
          <w:sz w:val="24"/>
          <w:szCs w:val="24"/>
        </w:rPr>
        <w:t>ur survey found considerable variation in how CRTs in England are organised and the services they deliver</w:t>
      </w:r>
      <w:r w:rsidR="00033E27">
        <w:rPr>
          <w:sz w:val="24"/>
          <w:szCs w:val="24"/>
        </w:rPr>
        <w:t>.</w:t>
      </w:r>
      <w:r w:rsidR="009060D9">
        <w:rPr>
          <w:sz w:val="24"/>
          <w:szCs w:val="24"/>
        </w:rPr>
        <w:t xml:space="preserve"> </w:t>
      </w:r>
      <w:r w:rsidR="00890E09">
        <w:rPr>
          <w:sz w:val="24"/>
          <w:szCs w:val="24"/>
        </w:rPr>
        <w:t>The vision of the NHS Plan (2000), to achieve consistent scaling up of a mental health service model to national level, has been at most partially achieved. Our survey</w:t>
      </w:r>
      <w:r w:rsidR="009060D9">
        <w:rPr>
          <w:sz w:val="24"/>
          <w:szCs w:val="24"/>
        </w:rPr>
        <w:t xml:space="preserve"> </w:t>
      </w:r>
      <w:r w:rsidR="00ED5D7A">
        <w:rPr>
          <w:sz w:val="24"/>
          <w:szCs w:val="24"/>
        </w:rPr>
        <w:t xml:space="preserve">suggests CRTs are providing a less comprehensive service than </w:t>
      </w:r>
      <w:r w:rsidR="009060D9">
        <w:rPr>
          <w:sz w:val="24"/>
          <w:szCs w:val="24"/>
        </w:rPr>
        <w:t xml:space="preserve">was </w:t>
      </w:r>
      <w:r w:rsidR="00ED5D7A">
        <w:rPr>
          <w:sz w:val="24"/>
          <w:szCs w:val="24"/>
        </w:rPr>
        <w:t>originally envisaged</w:t>
      </w:r>
      <w:r w:rsidR="00C34F11">
        <w:rPr>
          <w:sz w:val="24"/>
          <w:szCs w:val="24"/>
        </w:rPr>
        <w:t>, and</w:t>
      </w:r>
      <w:r w:rsidR="009060D9">
        <w:rPr>
          <w:sz w:val="24"/>
          <w:szCs w:val="24"/>
        </w:rPr>
        <w:t xml:space="preserve"> has been</w:t>
      </w:r>
      <w:r w:rsidR="00C34F11">
        <w:rPr>
          <w:sz w:val="24"/>
          <w:szCs w:val="24"/>
        </w:rPr>
        <w:t xml:space="preserve"> repeatedly reinforced through subsequent national guidelines</w:t>
      </w:r>
      <w:r w:rsidR="00321D9C">
        <w:rPr>
          <w:sz w:val="24"/>
          <w:szCs w:val="24"/>
        </w:rPr>
        <w:t xml:space="preserve"> </w:t>
      </w:r>
      <w:r w:rsidR="00077C80">
        <w:rPr>
          <w:sz w:val="24"/>
          <w:szCs w:val="24"/>
        </w:rPr>
        <w:t>(JCPMH 2013, DH 20</w:t>
      </w:r>
      <w:r w:rsidR="00470DF5">
        <w:rPr>
          <w:sz w:val="24"/>
          <w:szCs w:val="24"/>
        </w:rPr>
        <w:t xml:space="preserve">07, NMHDU 2010) and reports of </w:t>
      </w:r>
      <w:r w:rsidR="00077C80">
        <w:rPr>
          <w:sz w:val="24"/>
          <w:szCs w:val="24"/>
        </w:rPr>
        <w:t>experts’ (McGlynn 2006)</w:t>
      </w:r>
      <w:r w:rsidR="00321D9C">
        <w:rPr>
          <w:sz w:val="24"/>
          <w:szCs w:val="24"/>
        </w:rPr>
        <w:t xml:space="preserve"> </w:t>
      </w:r>
      <w:r w:rsidR="00C34F11">
        <w:rPr>
          <w:sz w:val="24"/>
          <w:szCs w:val="24"/>
        </w:rPr>
        <w:t>and stakeholders’ opinion</w:t>
      </w:r>
      <w:r w:rsidR="00077C80">
        <w:rPr>
          <w:sz w:val="24"/>
          <w:szCs w:val="24"/>
        </w:rPr>
        <w:t xml:space="preserve"> (MIND 2011)</w:t>
      </w:r>
      <w:r w:rsidR="00ED5D7A">
        <w:rPr>
          <w:sz w:val="24"/>
          <w:szCs w:val="24"/>
        </w:rPr>
        <w:t>.</w:t>
      </w:r>
      <w:r w:rsidR="009060D9">
        <w:rPr>
          <w:sz w:val="24"/>
          <w:szCs w:val="24"/>
        </w:rPr>
        <w:t xml:space="preserve"> </w:t>
      </w:r>
      <w:r w:rsidR="00011F17">
        <w:rPr>
          <w:sz w:val="24"/>
          <w:szCs w:val="24"/>
        </w:rPr>
        <w:t>A</w:t>
      </w:r>
      <w:r w:rsidR="00ED5D7A">
        <w:rPr>
          <w:sz w:val="24"/>
          <w:szCs w:val="24"/>
        </w:rPr>
        <w:t xml:space="preserve">lmost no services were meeting all elements of the </w:t>
      </w:r>
      <w:r w:rsidR="009060D9">
        <w:rPr>
          <w:sz w:val="24"/>
          <w:szCs w:val="24"/>
        </w:rPr>
        <w:t xml:space="preserve">original </w:t>
      </w:r>
      <w:r w:rsidR="00FF7510">
        <w:rPr>
          <w:sz w:val="24"/>
          <w:szCs w:val="24"/>
        </w:rPr>
        <w:t xml:space="preserve">English </w:t>
      </w:r>
      <w:r w:rsidR="009060D9">
        <w:rPr>
          <w:sz w:val="24"/>
          <w:szCs w:val="24"/>
        </w:rPr>
        <w:t xml:space="preserve">government </w:t>
      </w:r>
      <w:r w:rsidR="00ED5D7A">
        <w:rPr>
          <w:sz w:val="24"/>
          <w:szCs w:val="24"/>
        </w:rPr>
        <w:t>guidance.</w:t>
      </w:r>
      <w:r w:rsidR="009060D9">
        <w:rPr>
          <w:sz w:val="24"/>
          <w:szCs w:val="24"/>
        </w:rPr>
        <w:t xml:space="preserve"> CRT managers also appeared to advocate more comprehensive CRT services than </w:t>
      </w:r>
      <w:r w:rsidR="003D152F">
        <w:rPr>
          <w:sz w:val="24"/>
          <w:szCs w:val="24"/>
        </w:rPr>
        <w:t xml:space="preserve">are </w:t>
      </w:r>
      <w:r w:rsidR="009060D9">
        <w:rPr>
          <w:sz w:val="24"/>
          <w:szCs w:val="24"/>
        </w:rPr>
        <w:t>currently provided.</w:t>
      </w:r>
      <w:r w:rsidR="00ED5D7A">
        <w:rPr>
          <w:sz w:val="24"/>
          <w:szCs w:val="24"/>
        </w:rPr>
        <w:t xml:space="preserve"> </w:t>
      </w:r>
      <w:r w:rsidR="003854D9">
        <w:rPr>
          <w:sz w:val="24"/>
          <w:szCs w:val="24"/>
        </w:rPr>
        <w:t>In this picture of incomplete implementation, it should be noted that t</w:t>
      </w:r>
      <w:r w:rsidR="00FF6D76">
        <w:rPr>
          <w:sz w:val="24"/>
          <w:szCs w:val="24"/>
        </w:rPr>
        <w:t>here were also areas in which CRTs in England appear to have expanded from their original brief as</w:t>
      </w:r>
      <w:r w:rsidR="003854D9">
        <w:rPr>
          <w:sz w:val="24"/>
          <w:szCs w:val="24"/>
        </w:rPr>
        <w:t xml:space="preserve"> distinct services for adults of</w:t>
      </w:r>
      <w:r w:rsidR="00FF6D76">
        <w:rPr>
          <w:sz w:val="24"/>
          <w:szCs w:val="24"/>
        </w:rPr>
        <w:t xml:space="preserve"> working </w:t>
      </w:r>
      <w:r w:rsidR="003854D9">
        <w:rPr>
          <w:sz w:val="24"/>
          <w:szCs w:val="24"/>
        </w:rPr>
        <w:t xml:space="preserve">age. A majority of services are now “ageless”, i.e. with no upper age limit; a fifth of teams will offer a service in some circumstances at least to people with dementia as well as mental illness. </w:t>
      </w:r>
    </w:p>
    <w:p w:rsidR="00117B3F" w:rsidRDefault="00117B3F" w:rsidP="00C840C9">
      <w:pPr>
        <w:spacing w:line="480" w:lineRule="auto"/>
        <w:jc w:val="both"/>
        <w:rPr>
          <w:sz w:val="24"/>
          <w:szCs w:val="24"/>
        </w:rPr>
      </w:pPr>
      <w:r>
        <w:rPr>
          <w:sz w:val="24"/>
          <w:szCs w:val="24"/>
        </w:rPr>
        <w:t>Onyett and colleagues (2008) conducted what is</w:t>
      </w:r>
      <w:r w:rsidR="00BA345D">
        <w:rPr>
          <w:sz w:val="24"/>
          <w:szCs w:val="24"/>
        </w:rPr>
        <w:t>,</w:t>
      </w:r>
      <w:r>
        <w:rPr>
          <w:sz w:val="24"/>
          <w:szCs w:val="24"/>
        </w:rPr>
        <w:t xml:space="preserve"> to our knowledge, the only other English national survey of CRT service delivery and organisation. A comparison of our survey findings with those of the previous Onyett survey does not clearly indicate </w:t>
      </w:r>
      <w:r w:rsidR="003E7D4F">
        <w:rPr>
          <w:sz w:val="24"/>
          <w:szCs w:val="24"/>
        </w:rPr>
        <w:t>that implementation</w:t>
      </w:r>
      <w:r>
        <w:rPr>
          <w:sz w:val="24"/>
          <w:szCs w:val="24"/>
        </w:rPr>
        <w:t xml:space="preserve"> of the CRT model became more complete or consistent over the intervening six years. Strikingly</w:t>
      </w:r>
      <w:r w:rsidR="00B00B11">
        <w:rPr>
          <w:sz w:val="24"/>
          <w:szCs w:val="24"/>
        </w:rPr>
        <w:t xml:space="preserve">, in our 2011/12 survey, fewer teams (39%) provided a full 24-hour service, including home visits to service users where required, than in the 2005/6 Onyett survey (55%). Gatekeeping data were hard to compare directly: 89% of teams in our survey reported gatekeeping most admissions to hospital, but only 33% of teams said they did so in person for all admissions; in the Onyett survey, 72% of teams reported that they acted as gatekeepers to inpatient beds. Nurses were the most common professional group in CRTs at both time points: slightly more teams had staff from other disciplines (e.g. psychologists or occupational therapists) in our survey, but this was still not the norm. Managers’ priorities for the development of their CRT service were similar at both time points: they included more staff, a more multi-disciplinary staff team, and more access to crisis or respite beds. </w:t>
      </w:r>
      <w:r w:rsidR="00BA345D">
        <w:rPr>
          <w:sz w:val="24"/>
          <w:szCs w:val="24"/>
        </w:rPr>
        <w:t xml:space="preserve">One area of notable change relates to medical staffing: in the Onyett survey in 2005/6, only 44% of CRT teams included a consultant psychiatrist; by our survey, medical staffing in CRTs had become the norm, with 87% of teams including a consultant psychiatrist. This increased medical presence in CRT teams may be reflected in the prioritisation of medication prescription and delivery in CRTs which our survey found (Table 3). </w:t>
      </w:r>
    </w:p>
    <w:p w:rsidR="00850BFD" w:rsidRDefault="00850BFD" w:rsidP="00C840C9">
      <w:pPr>
        <w:spacing w:line="480" w:lineRule="auto"/>
        <w:jc w:val="both"/>
        <w:rPr>
          <w:sz w:val="24"/>
          <w:szCs w:val="24"/>
        </w:rPr>
      </w:pPr>
      <w:r>
        <w:rPr>
          <w:sz w:val="24"/>
          <w:szCs w:val="24"/>
        </w:rPr>
        <w:t>In the Onyett survey in 2005/6, 60% of teams described themselves as not yet fully established. By the time of our survey, all teams will have been operational for at least five years, and in many cases for a decade or more. Comparison of the two surveys suggests there has been a lack of marked progress over time towards high fidelity implementation of the CRT model in England: it may be inferred that the policy mandate and guidance provided in England are insufficient to achieve CRT implementation as intended.</w:t>
      </w:r>
    </w:p>
    <w:p w:rsidR="0015392D" w:rsidRDefault="0015392D" w:rsidP="00C840C9">
      <w:pPr>
        <w:spacing w:line="480" w:lineRule="auto"/>
        <w:jc w:val="both"/>
        <w:rPr>
          <w:b/>
          <w:sz w:val="24"/>
          <w:szCs w:val="24"/>
        </w:rPr>
      </w:pPr>
    </w:p>
    <w:p w:rsidR="00890E09" w:rsidRPr="003854D9" w:rsidRDefault="0015392D" w:rsidP="00890E09">
      <w:pPr>
        <w:spacing w:line="480" w:lineRule="auto"/>
        <w:jc w:val="both"/>
        <w:rPr>
          <w:sz w:val="24"/>
          <w:szCs w:val="24"/>
        </w:rPr>
      </w:pPr>
      <w:r>
        <w:rPr>
          <w:b/>
          <w:sz w:val="24"/>
          <w:szCs w:val="24"/>
        </w:rPr>
        <w:t>Limitations:</w:t>
      </w:r>
      <w:r w:rsidR="003854D9">
        <w:rPr>
          <w:b/>
          <w:sz w:val="24"/>
          <w:szCs w:val="24"/>
        </w:rPr>
        <w:t xml:space="preserve"> </w:t>
      </w:r>
      <w:r w:rsidR="00890E09">
        <w:rPr>
          <w:sz w:val="24"/>
          <w:szCs w:val="24"/>
        </w:rPr>
        <w:t xml:space="preserve">This paper reports a </w:t>
      </w:r>
      <w:r w:rsidR="001F7AAB">
        <w:rPr>
          <w:sz w:val="24"/>
          <w:szCs w:val="24"/>
        </w:rPr>
        <w:t>descriptive survey. The high response rate achieved for this survey (192/218 teams – 88%) gives confidence that responses are representative of CRTs nationally. It has two main limitations. First, it is based on participants’ self-report.</w:t>
      </w:r>
      <w:r w:rsidR="00890E09">
        <w:rPr>
          <w:sz w:val="24"/>
          <w:szCs w:val="24"/>
        </w:rPr>
        <w:t xml:space="preserve"> Although we attempted to minimise social desirability bias by stating prominently on the survey that individual teams would not be identified when the survey was reported, responses may have been influenced by CRT managers wishing to show their service in a good light. While the extent of any such bias is unknown, its likely result would be an over-reporting of CRT implementation in our survey. We piloted the survey and used feedback from respondents to amend items where necessary to aid clarity. There may have been inconsistency in how questions were understood by respondents however; where interventions are reported as provided, the survey does not allow investigation of their content or the degree of variation among services. </w:t>
      </w:r>
    </w:p>
    <w:p w:rsidR="0015392D" w:rsidRDefault="001F7AAB" w:rsidP="00C840C9">
      <w:pPr>
        <w:spacing w:line="480" w:lineRule="auto"/>
        <w:jc w:val="both"/>
        <w:rPr>
          <w:sz w:val="24"/>
          <w:szCs w:val="24"/>
        </w:rPr>
      </w:pPr>
      <w:r>
        <w:rPr>
          <w:sz w:val="24"/>
          <w:szCs w:val="24"/>
        </w:rPr>
        <w:t xml:space="preserve">Second, the survey is cross-sectional in nature. </w:t>
      </w:r>
      <w:r w:rsidR="008B01DA">
        <w:rPr>
          <w:sz w:val="24"/>
          <w:szCs w:val="24"/>
        </w:rPr>
        <w:t xml:space="preserve">The 218 CRTs mapped for this survey were those identified as </w:t>
      </w:r>
      <w:r w:rsidR="00D55290">
        <w:rPr>
          <w:sz w:val="24"/>
          <w:szCs w:val="24"/>
        </w:rPr>
        <w:t xml:space="preserve">operating </w:t>
      </w:r>
      <w:r w:rsidR="008B01DA">
        <w:rPr>
          <w:sz w:val="24"/>
          <w:szCs w:val="24"/>
        </w:rPr>
        <w:t xml:space="preserve">in March 2012, but even during the course of our survey, CRTs were merging or dividing with local service reorganisations. These processes, and changes to the </w:t>
      </w:r>
      <w:r w:rsidR="00D55290">
        <w:rPr>
          <w:sz w:val="24"/>
          <w:szCs w:val="24"/>
        </w:rPr>
        <w:t xml:space="preserve">structure </w:t>
      </w:r>
      <w:r w:rsidR="008B01DA">
        <w:rPr>
          <w:sz w:val="24"/>
          <w:szCs w:val="24"/>
        </w:rPr>
        <w:t xml:space="preserve">or resources of existing teams, will continue to change the nature of </w:t>
      </w:r>
      <w:r w:rsidR="00D55290">
        <w:rPr>
          <w:sz w:val="24"/>
          <w:szCs w:val="24"/>
        </w:rPr>
        <w:t>CRT service provision</w:t>
      </w:r>
      <w:r w:rsidR="008B01DA">
        <w:rPr>
          <w:sz w:val="24"/>
          <w:szCs w:val="24"/>
        </w:rPr>
        <w:t xml:space="preserve">. </w:t>
      </w:r>
      <w:r w:rsidR="005E25DA">
        <w:rPr>
          <w:sz w:val="24"/>
          <w:szCs w:val="24"/>
        </w:rPr>
        <w:t>A recent article used Freedom of Information requests to elicit information from NHS Trusts in England about CRT funding and volume of referrals (</w:t>
      </w:r>
      <w:r w:rsidR="003E7D4F">
        <w:rPr>
          <w:sz w:val="24"/>
          <w:szCs w:val="24"/>
        </w:rPr>
        <w:t>McNicoll</w:t>
      </w:r>
      <w:r w:rsidR="00534169">
        <w:rPr>
          <w:sz w:val="24"/>
          <w:szCs w:val="24"/>
        </w:rPr>
        <w:t xml:space="preserve"> </w:t>
      </w:r>
      <w:r w:rsidR="005E25DA">
        <w:rPr>
          <w:sz w:val="24"/>
          <w:szCs w:val="24"/>
        </w:rPr>
        <w:t xml:space="preserve">2016). It reports that, in the period 2010 -2015, funding for CRT services dropped by an average of 8.3% accounting for inflation, while annual referrals rose by an average of 18% over the same period. The impact on CRT organisation and service delivery of these, or other changes to the socio-economic environment in which CRTs operate, cannot be determined from our survey. </w:t>
      </w:r>
    </w:p>
    <w:p w:rsidR="0015392D" w:rsidRDefault="0015392D" w:rsidP="00C840C9">
      <w:pPr>
        <w:spacing w:line="480" w:lineRule="auto"/>
        <w:jc w:val="both"/>
        <w:rPr>
          <w:b/>
          <w:sz w:val="24"/>
          <w:szCs w:val="24"/>
        </w:rPr>
      </w:pPr>
    </w:p>
    <w:p w:rsidR="00BC12AA" w:rsidRDefault="0015392D" w:rsidP="00C840C9">
      <w:pPr>
        <w:spacing w:line="480" w:lineRule="auto"/>
        <w:jc w:val="both"/>
        <w:rPr>
          <w:sz w:val="24"/>
          <w:szCs w:val="24"/>
        </w:rPr>
      </w:pPr>
      <w:r>
        <w:rPr>
          <w:b/>
          <w:sz w:val="24"/>
          <w:szCs w:val="24"/>
        </w:rPr>
        <w:t>Research Implications:</w:t>
      </w:r>
      <w:r w:rsidR="009B24CA">
        <w:rPr>
          <w:b/>
          <w:sz w:val="24"/>
          <w:szCs w:val="24"/>
        </w:rPr>
        <w:t xml:space="preserve"> </w:t>
      </w:r>
      <w:r w:rsidR="009060D9">
        <w:rPr>
          <w:sz w:val="24"/>
          <w:szCs w:val="24"/>
        </w:rPr>
        <w:t>A</w:t>
      </w:r>
      <w:r w:rsidR="00321D9C">
        <w:rPr>
          <w:sz w:val="24"/>
          <w:szCs w:val="24"/>
        </w:rPr>
        <w:t xml:space="preserve">s currently implemented, CRTs are not meeting all the expectations or aspirations of service planners and, in CRT managers, an important group of CRT stakeholders. </w:t>
      </w:r>
      <w:r w:rsidR="00A17CEA">
        <w:rPr>
          <w:sz w:val="24"/>
          <w:szCs w:val="24"/>
        </w:rPr>
        <w:t>Empirical evidence regarding how CRT implementation</w:t>
      </w:r>
      <w:r w:rsidR="009B24CA">
        <w:rPr>
          <w:sz w:val="24"/>
          <w:szCs w:val="24"/>
        </w:rPr>
        <w:t xml:space="preserve"> relates to teams’ effectiveness or acceptability </w:t>
      </w:r>
      <w:r w:rsidR="006F76EB">
        <w:rPr>
          <w:sz w:val="24"/>
          <w:szCs w:val="24"/>
        </w:rPr>
        <w:t>is lacking</w:t>
      </w:r>
      <w:r w:rsidR="00077C80">
        <w:rPr>
          <w:sz w:val="24"/>
          <w:szCs w:val="24"/>
        </w:rPr>
        <w:t xml:space="preserve"> (Wheeler et al. 2015)</w:t>
      </w:r>
      <w:r w:rsidR="00A17CEA">
        <w:rPr>
          <w:sz w:val="24"/>
          <w:szCs w:val="24"/>
        </w:rPr>
        <w:t xml:space="preserve">, but the limitations to CRT implementation </w:t>
      </w:r>
      <w:r w:rsidR="009060D9">
        <w:rPr>
          <w:sz w:val="24"/>
          <w:szCs w:val="24"/>
        </w:rPr>
        <w:t xml:space="preserve">we found </w:t>
      </w:r>
      <w:r w:rsidR="00157326">
        <w:rPr>
          <w:sz w:val="24"/>
          <w:szCs w:val="24"/>
        </w:rPr>
        <w:t xml:space="preserve">may explain </w:t>
      </w:r>
      <w:r w:rsidR="00565599">
        <w:rPr>
          <w:sz w:val="24"/>
          <w:szCs w:val="24"/>
        </w:rPr>
        <w:t xml:space="preserve">why </w:t>
      </w:r>
      <w:r w:rsidR="00A17CEA">
        <w:rPr>
          <w:sz w:val="24"/>
          <w:szCs w:val="24"/>
        </w:rPr>
        <w:t>CRTs may not have influenced rate</w:t>
      </w:r>
      <w:r w:rsidR="00203AFE">
        <w:rPr>
          <w:sz w:val="24"/>
          <w:szCs w:val="24"/>
        </w:rPr>
        <w:t xml:space="preserve">s of admission </w:t>
      </w:r>
      <w:r w:rsidR="00077C80">
        <w:rPr>
          <w:sz w:val="24"/>
          <w:szCs w:val="24"/>
        </w:rPr>
        <w:t xml:space="preserve">(Jacobs and Barrenho 2011, Keown et al. 2011) </w:t>
      </w:r>
      <w:r w:rsidR="00B235B1">
        <w:rPr>
          <w:sz w:val="24"/>
          <w:szCs w:val="24"/>
        </w:rPr>
        <w:t>as much as anticipated</w:t>
      </w:r>
      <w:r w:rsidR="009B24CA">
        <w:rPr>
          <w:sz w:val="24"/>
          <w:szCs w:val="24"/>
        </w:rPr>
        <w:t xml:space="preserve">. </w:t>
      </w:r>
    </w:p>
    <w:p w:rsidR="0015392D" w:rsidRDefault="00BC12AA" w:rsidP="00C840C9">
      <w:pPr>
        <w:spacing w:line="480" w:lineRule="auto"/>
        <w:jc w:val="both"/>
        <w:rPr>
          <w:sz w:val="24"/>
          <w:szCs w:val="24"/>
        </w:rPr>
      </w:pPr>
      <w:r>
        <w:rPr>
          <w:sz w:val="24"/>
          <w:szCs w:val="24"/>
        </w:rPr>
        <w:t xml:space="preserve">Our findings regarding national implementation of the CRT model in England cohere with the conclusions of an American national implementation program, that high fidelity implementation of complex interventions in mental health requires systemic commitment at all levels to quality improvement, and </w:t>
      </w:r>
      <w:r w:rsidR="003D152F">
        <w:rPr>
          <w:sz w:val="24"/>
          <w:szCs w:val="24"/>
        </w:rPr>
        <w:t>effective means to monitor</w:t>
      </w:r>
      <w:r>
        <w:rPr>
          <w:sz w:val="24"/>
          <w:szCs w:val="24"/>
        </w:rPr>
        <w:t xml:space="preserve"> process and outcomes (Drake et al. 2009). </w:t>
      </w:r>
      <w:r w:rsidR="00B33307">
        <w:rPr>
          <w:sz w:val="24"/>
          <w:szCs w:val="24"/>
        </w:rPr>
        <w:t>The US Evidence Based Practices (</w:t>
      </w:r>
      <w:r w:rsidR="00203AFE">
        <w:rPr>
          <w:sz w:val="24"/>
          <w:szCs w:val="24"/>
        </w:rPr>
        <w:t>EBP) P</w:t>
      </w:r>
      <w:r w:rsidR="00077C80">
        <w:rPr>
          <w:sz w:val="24"/>
          <w:szCs w:val="24"/>
        </w:rPr>
        <w:t>rogram (Mueser et al. 2003)</w:t>
      </w:r>
      <w:r w:rsidR="00B33307">
        <w:rPr>
          <w:sz w:val="24"/>
          <w:szCs w:val="24"/>
        </w:rPr>
        <w:t xml:space="preserve"> provides a template for supporting and evaluating implementation of complex mental health service models</w:t>
      </w:r>
      <w:r w:rsidR="00203AFE">
        <w:rPr>
          <w:sz w:val="24"/>
          <w:szCs w:val="24"/>
        </w:rPr>
        <w:t xml:space="preserve"> </w:t>
      </w:r>
      <w:r w:rsidR="00B33307">
        <w:rPr>
          <w:sz w:val="24"/>
          <w:szCs w:val="24"/>
        </w:rPr>
        <w:t>with the development and testing of “fidelity scales” for mental health interventions of comparable complexity to CRTs, such as Asser</w:t>
      </w:r>
      <w:r w:rsidR="00203AFE">
        <w:rPr>
          <w:sz w:val="24"/>
          <w:szCs w:val="24"/>
        </w:rPr>
        <w:t>tive C</w:t>
      </w:r>
      <w:r w:rsidR="00077C80">
        <w:rPr>
          <w:sz w:val="24"/>
          <w:szCs w:val="24"/>
        </w:rPr>
        <w:t>ommunity Treatment teams (Teague et al. 1998)</w:t>
      </w:r>
      <w:r w:rsidR="00203AFE">
        <w:rPr>
          <w:sz w:val="24"/>
          <w:szCs w:val="24"/>
        </w:rPr>
        <w:t xml:space="preserve"> </w:t>
      </w:r>
      <w:r w:rsidR="00B33307">
        <w:rPr>
          <w:sz w:val="24"/>
          <w:szCs w:val="24"/>
        </w:rPr>
        <w:t>and Supported Employ</w:t>
      </w:r>
      <w:r w:rsidR="00077C80">
        <w:rPr>
          <w:sz w:val="24"/>
          <w:szCs w:val="24"/>
        </w:rPr>
        <w:t>ment services (Bond et al. 2012)</w:t>
      </w:r>
      <w:r w:rsidR="00B33307">
        <w:rPr>
          <w:sz w:val="24"/>
          <w:szCs w:val="24"/>
        </w:rPr>
        <w:t>.</w:t>
      </w:r>
      <w:r w:rsidR="00950869">
        <w:rPr>
          <w:sz w:val="24"/>
          <w:szCs w:val="24"/>
        </w:rPr>
        <w:t xml:space="preserve">To establish </w:t>
      </w:r>
      <w:r w:rsidR="00B33307">
        <w:rPr>
          <w:sz w:val="24"/>
          <w:szCs w:val="24"/>
        </w:rPr>
        <w:t xml:space="preserve">such </w:t>
      </w:r>
      <w:r w:rsidR="00950869">
        <w:rPr>
          <w:sz w:val="24"/>
          <w:szCs w:val="24"/>
        </w:rPr>
        <w:t>an empirically-based model of CRT services and evidence about the critical ingredients of CRTs, as well as providing practical tools for assessing service quality and supporting service improvement, t</w:t>
      </w:r>
      <w:r w:rsidR="009B24CA">
        <w:rPr>
          <w:sz w:val="24"/>
          <w:szCs w:val="24"/>
        </w:rPr>
        <w:t xml:space="preserve">here is a need to: i) specify </w:t>
      </w:r>
      <w:r w:rsidR="00C6537E">
        <w:rPr>
          <w:sz w:val="24"/>
          <w:szCs w:val="24"/>
        </w:rPr>
        <w:t xml:space="preserve">clearly </w:t>
      </w:r>
      <w:r w:rsidR="009B24CA">
        <w:rPr>
          <w:sz w:val="24"/>
          <w:szCs w:val="24"/>
        </w:rPr>
        <w:t xml:space="preserve">an optimum model for CRTs, consistent with best available evidence and stakeholders’ priorities; ii) develop means to measure teams’ adherence to this model; and iii) investigate the relationship of overall </w:t>
      </w:r>
      <w:r w:rsidR="003C18FF">
        <w:rPr>
          <w:sz w:val="24"/>
          <w:szCs w:val="24"/>
        </w:rPr>
        <w:t xml:space="preserve">CRT </w:t>
      </w:r>
      <w:r w:rsidR="009B24CA">
        <w:rPr>
          <w:sz w:val="24"/>
          <w:szCs w:val="24"/>
        </w:rPr>
        <w:t>model fidelity and aspects of team structure and organisation to service outcomes</w:t>
      </w:r>
      <w:r w:rsidR="00077C80">
        <w:rPr>
          <w:sz w:val="24"/>
          <w:szCs w:val="24"/>
        </w:rPr>
        <w:t xml:space="preserve"> (Torrey et al. 2001)</w:t>
      </w:r>
      <w:r w:rsidR="009B24CA">
        <w:rPr>
          <w:sz w:val="24"/>
          <w:szCs w:val="24"/>
        </w:rPr>
        <w:t xml:space="preserve">. </w:t>
      </w:r>
    </w:p>
    <w:p w:rsidR="00E61A5C" w:rsidRDefault="00E61A5C" w:rsidP="00C840C9">
      <w:pPr>
        <w:spacing w:line="480" w:lineRule="auto"/>
        <w:jc w:val="both"/>
        <w:rPr>
          <w:sz w:val="24"/>
          <w:szCs w:val="24"/>
        </w:rPr>
      </w:pPr>
      <w:r>
        <w:rPr>
          <w:sz w:val="24"/>
          <w:szCs w:val="24"/>
        </w:rPr>
        <w:t>Our survey can also generate more specific questions for future research</w:t>
      </w:r>
      <w:r w:rsidR="000B458E">
        <w:rPr>
          <w:sz w:val="24"/>
          <w:szCs w:val="24"/>
        </w:rPr>
        <w:t xml:space="preserve"> regarding the content of care and appropriate client groups for CRT care</w:t>
      </w:r>
      <w:r>
        <w:rPr>
          <w:sz w:val="24"/>
          <w:szCs w:val="24"/>
        </w:rPr>
        <w:t xml:space="preserve">. </w:t>
      </w:r>
      <w:r w:rsidR="000B458E">
        <w:rPr>
          <w:sz w:val="24"/>
          <w:szCs w:val="24"/>
        </w:rPr>
        <w:t>First: t</w:t>
      </w:r>
      <w:r>
        <w:rPr>
          <w:sz w:val="24"/>
          <w:szCs w:val="24"/>
        </w:rPr>
        <w:t xml:space="preserve">he discrepancy is </w:t>
      </w:r>
      <w:r w:rsidR="005913EE">
        <w:rPr>
          <w:sz w:val="24"/>
          <w:szCs w:val="24"/>
        </w:rPr>
        <w:t xml:space="preserve">substantial </w:t>
      </w:r>
      <w:r>
        <w:rPr>
          <w:sz w:val="24"/>
          <w:szCs w:val="24"/>
        </w:rPr>
        <w:t xml:space="preserve">between how highly CRT managers rate the importance of providing practical help to service users and how infrequently these interventions are provided in many teams. </w:t>
      </w:r>
      <w:r w:rsidR="005913EE">
        <w:rPr>
          <w:sz w:val="24"/>
          <w:szCs w:val="24"/>
        </w:rPr>
        <w:t xml:space="preserve">The minorities of teams reporting provision of structured interventions for most aspects of CRT care was also notable. </w:t>
      </w:r>
      <w:r>
        <w:rPr>
          <w:sz w:val="24"/>
          <w:szCs w:val="24"/>
        </w:rPr>
        <w:t xml:space="preserve">Development and evaluation of initiatives to increase the </w:t>
      </w:r>
      <w:r w:rsidR="005913EE">
        <w:rPr>
          <w:sz w:val="24"/>
          <w:szCs w:val="24"/>
        </w:rPr>
        <w:t xml:space="preserve">range of interventions available in CRTs to support people in crisis, including the </w:t>
      </w:r>
      <w:r>
        <w:rPr>
          <w:sz w:val="24"/>
          <w:szCs w:val="24"/>
        </w:rPr>
        <w:t xml:space="preserve">amount of social and practical care </w:t>
      </w:r>
      <w:r w:rsidR="005913EE">
        <w:rPr>
          <w:sz w:val="24"/>
          <w:szCs w:val="24"/>
        </w:rPr>
        <w:t xml:space="preserve">offered, </w:t>
      </w:r>
      <w:r>
        <w:rPr>
          <w:sz w:val="24"/>
          <w:szCs w:val="24"/>
        </w:rPr>
        <w:t xml:space="preserve">are therefore desirable. </w:t>
      </w:r>
    </w:p>
    <w:p w:rsidR="00E61A5C" w:rsidRPr="009B24CA" w:rsidRDefault="000B458E" w:rsidP="00C840C9">
      <w:pPr>
        <w:spacing w:line="480" w:lineRule="auto"/>
        <w:jc w:val="both"/>
        <w:rPr>
          <w:sz w:val="24"/>
          <w:szCs w:val="24"/>
        </w:rPr>
      </w:pPr>
      <w:r>
        <w:rPr>
          <w:sz w:val="24"/>
          <w:szCs w:val="24"/>
        </w:rPr>
        <w:t xml:space="preserve">Second, our survey indicates some reservation </w:t>
      </w:r>
      <w:r w:rsidR="006F76EB">
        <w:rPr>
          <w:sz w:val="24"/>
          <w:szCs w:val="24"/>
        </w:rPr>
        <w:t>among</w:t>
      </w:r>
      <w:r>
        <w:rPr>
          <w:sz w:val="24"/>
          <w:szCs w:val="24"/>
        </w:rPr>
        <w:t xml:space="preserve"> CRT managers about teams’ ability to work effectively with people with personality disorders and </w:t>
      </w:r>
      <w:r w:rsidR="00950869">
        <w:rPr>
          <w:sz w:val="24"/>
          <w:szCs w:val="24"/>
        </w:rPr>
        <w:t xml:space="preserve">with </w:t>
      </w:r>
      <w:r>
        <w:rPr>
          <w:sz w:val="24"/>
          <w:szCs w:val="24"/>
        </w:rPr>
        <w:t>comorbid learning difficulties</w:t>
      </w:r>
      <w:r w:rsidR="00B235B1">
        <w:rPr>
          <w:sz w:val="24"/>
          <w:szCs w:val="24"/>
        </w:rPr>
        <w:t>. T</w:t>
      </w:r>
      <w:r w:rsidR="00E61A5C">
        <w:rPr>
          <w:sz w:val="24"/>
          <w:szCs w:val="24"/>
        </w:rPr>
        <w:t xml:space="preserve">he suitability of CRTs to support people with personality disorders </w:t>
      </w:r>
      <w:r>
        <w:rPr>
          <w:sz w:val="24"/>
          <w:szCs w:val="24"/>
        </w:rPr>
        <w:t xml:space="preserve">in particular </w:t>
      </w:r>
      <w:r w:rsidR="008D75C2">
        <w:rPr>
          <w:sz w:val="24"/>
          <w:szCs w:val="24"/>
        </w:rPr>
        <w:t xml:space="preserve">has been debated. Original government guidance that CRTs should not work with people with a primary diagnosis of personality disorder </w:t>
      </w:r>
      <w:r w:rsidR="00077C80">
        <w:rPr>
          <w:sz w:val="24"/>
          <w:szCs w:val="24"/>
        </w:rPr>
        <w:t>(DH 2001)</w:t>
      </w:r>
      <w:r w:rsidR="00203AFE">
        <w:rPr>
          <w:sz w:val="24"/>
          <w:szCs w:val="24"/>
        </w:rPr>
        <w:t xml:space="preserve"> </w:t>
      </w:r>
      <w:r w:rsidR="008D75C2">
        <w:rPr>
          <w:sz w:val="24"/>
          <w:szCs w:val="24"/>
        </w:rPr>
        <w:t>was super</w:t>
      </w:r>
      <w:r w:rsidR="00C34F11">
        <w:rPr>
          <w:sz w:val="24"/>
          <w:szCs w:val="24"/>
        </w:rPr>
        <w:t>s</w:t>
      </w:r>
      <w:r w:rsidR="008D75C2">
        <w:rPr>
          <w:sz w:val="24"/>
          <w:szCs w:val="24"/>
        </w:rPr>
        <w:t>eded in 2007 by contradictory advice that personality disorder should not be a di</w:t>
      </w:r>
      <w:r w:rsidR="00156DCF">
        <w:rPr>
          <w:sz w:val="24"/>
          <w:szCs w:val="24"/>
        </w:rPr>
        <w:t>ag</w:t>
      </w:r>
      <w:r w:rsidR="00077C80">
        <w:rPr>
          <w:sz w:val="24"/>
          <w:szCs w:val="24"/>
        </w:rPr>
        <w:t>nosis of exclusion for CRTs (NAO 2007)</w:t>
      </w:r>
      <w:r w:rsidR="008D75C2">
        <w:rPr>
          <w:sz w:val="24"/>
          <w:szCs w:val="24"/>
        </w:rPr>
        <w:t>. A rec</w:t>
      </w:r>
      <w:r w:rsidR="00077C80">
        <w:rPr>
          <w:sz w:val="24"/>
          <w:szCs w:val="24"/>
        </w:rPr>
        <w:t>ent systematic review (Borschmann et al. 2012)</w:t>
      </w:r>
      <w:r w:rsidR="008D75C2">
        <w:rPr>
          <w:sz w:val="24"/>
          <w:szCs w:val="24"/>
        </w:rPr>
        <w:t xml:space="preserve"> found a lack of any evidence about how to provide effective crisis support to people with borderline personality disorder. Our survey found that, while most CRTs do work with people with personality disorder, substantially fewer managers rated this as fairly or very appropri</w:t>
      </w:r>
      <w:r w:rsidR="003C18FF">
        <w:rPr>
          <w:sz w:val="24"/>
          <w:szCs w:val="24"/>
        </w:rPr>
        <w:t xml:space="preserve">ate – suggesting some ongoing reservations about CRTs’ ability to support this client group effectively. Further research regarding the outcomes of CRT </w:t>
      </w:r>
      <w:r w:rsidR="00950869">
        <w:rPr>
          <w:sz w:val="24"/>
          <w:szCs w:val="24"/>
        </w:rPr>
        <w:t xml:space="preserve">treatment or other models of </w:t>
      </w:r>
      <w:r w:rsidR="006F76EB">
        <w:rPr>
          <w:sz w:val="24"/>
          <w:szCs w:val="24"/>
        </w:rPr>
        <w:t>crisis</w:t>
      </w:r>
      <w:r w:rsidR="00950869">
        <w:rPr>
          <w:sz w:val="24"/>
          <w:szCs w:val="24"/>
        </w:rPr>
        <w:t xml:space="preserve"> support for </w:t>
      </w:r>
      <w:r w:rsidR="00F704A9">
        <w:rPr>
          <w:sz w:val="24"/>
          <w:szCs w:val="24"/>
        </w:rPr>
        <w:t xml:space="preserve">people with personality disorders </w:t>
      </w:r>
      <w:r w:rsidR="003C18FF">
        <w:rPr>
          <w:sz w:val="24"/>
          <w:szCs w:val="24"/>
        </w:rPr>
        <w:t>would be of high interest.</w:t>
      </w:r>
    </w:p>
    <w:p w:rsidR="0015392D" w:rsidRDefault="0015392D" w:rsidP="00C840C9">
      <w:pPr>
        <w:spacing w:line="480" w:lineRule="auto"/>
        <w:jc w:val="both"/>
        <w:rPr>
          <w:b/>
          <w:sz w:val="24"/>
          <w:szCs w:val="24"/>
        </w:rPr>
      </w:pPr>
    </w:p>
    <w:p w:rsidR="00111FB3" w:rsidRDefault="0015392D" w:rsidP="00C840C9">
      <w:pPr>
        <w:spacing w:line="480" w:lineRule="auto"/>
        <w:jc w:val="both"/>
        <w:rPr>
          <w:sz w:val="24"/>
          <w:szCs w:val="24"/>
        </w:rPr>
      </w:pPr>
      <w:r>
        <w:rPr>
          <w:b/>
          <w:sz w:val="24"/>
          <w:szCs w:val="24"/>
        </w:rPr>
        <w:t>Implications for policy and practice:</w:t>
      </w:r>
      <w:r w:rsidR="003C18FF">
        <w:rPr>
          <w:b/>
          <w:sz w:val="24"/>
          <w:szCs w:val="24"/>
        </w:rPr>
        <w:t xml:space="preserve"> </w:t>
      </w:r>
      <w:r w:rsidR="00D0721C">
        <w:rPr>
          <w:sz w:val="24"/>
          <w:szCs w:val="24"/>
        </w:rPr>
        <w:t>O</w:t>
      </w:r>
      <w:r w:rsidR="00AD3AB8">
        <w:rPr>
          <w:sz w:val="24"/>
          <w:szCs w:val="24"/>
        </w:rPr>
        <w:t xml:space="preserve">ur survey suggests that CRTs are not being fully implemented as intended: this may help to explain the problems with acute care in England identified in recent national reports and surveys (MIND 2011, CQC 2015, Royal College of Psychiatrists 2016): </w:t>
      </w:r>
      <w:r w:rsidR="00111FB3">
        <w:rPr>
          <w:sz w:val="24"/>
          <w:szCs w:val="24"/>
        </w:rPr>
        <w:t xml:space="preserve">in a survey by the English Care Quality </w:t>
      </w:r>
      <w:r w:rsidR="003E7D4F">
        <w:rPr>
          <w:sz w:val="24"/>
          <w:szCs w:val="24"/>
        </w:rPr>
        <w:t>Commission</w:t>
      </w:r>
      <w:r w:rsidR="00111FB3">
        <w:rPr>
          <w:sz w:val="24"/>
          <w:szCs w:val="24"/>
        </w:rPr>
        <w:t xml:space="preserve"> last year, only 14% of patients said they felt they received the righ</w:t>
      </w:r>
      <w:r w:rsidR="00F704A9">
        <w:rPr>
          <w:sz w:val="24"/>
          <w:szCs w:val="24"/>
        </w:rPr>
        <w:t>t help from mental health servic</w:t>
      </w:r>
      <w:r w:rsidR="00111FB3">
        <w:rPr>
          <w:sz w:val="24"/>
          <w:szCs w:val="24"/>
        </w:rPr>
        <w:t xml:space="preserve">es in a crisis (CQC 2015). Our survey supports national service planners’ prioritisation of the goal of improving mental health acute care, reflected in </w:t>
      </w:r>
      <w:r w:rsidR="000E4292">
        <w:rPr>
          <w:sz w:val="24"/>
          <w:szCs w:val="24"/>
        </w:rPr>
        <w:t xml:space="preserve">the Department of Health and </w:t>
      </w:r>
      <w:r w:rsidR="00111FB3">
        <w:rPr>
          <w:sz w:val="24"/>
          <w:szCs w:val="24"/>
        </w:rPr>
        <w:t xml:space="preserve">NHS England’s Crisis Care Concordat </w:t>
      </w:r>
      <w:r w:rsidR="000E4292">
        <w:rPr>
          <w:sz w:val="24"/>
          <w:szCs w:val="24"/>
        </w:rPr>
        <w:t>(DH</w:t>
      </w:r>
      <w:r w:rsidR="00111FB3">
        <w:rPr>
          <w:sz w:val="24"/>
          <w:szCs w:val="24"/>
        </w:rPr>
        <w:t xml:space="preserve"> 2014) and Mental Health Access and Waiting Times initiative (</w:t>
      </w:r>
      <w:r w:rsidR="000E4292">
        <w:rPr>
          <w:sz w:val="24"/>
          <w:szCs w:val="24"/>
        </w:rPr>
        <w:t xml:space="preserve">DH </w:t>
      </w:r>
      <w:r w:rsidR="00111FB3">
        <w:rPr>
          <w:sz w:val="24"/>
          <w:szCs w:val="24"/>
        </w:rPr>
        <w:t xml:space="preserve">2016). </w:t>
      </w:r>
    </w:p>
    <w:p w:rsidR="0015392D" w:rsidRDefault="00D0721C" w:rsidP="00C840C9">
      <w:pPr>
        <w:spacing w:line="480" w:lineRule="auto"/>
        <w:jc w:val="both"/>
        <w:rPr>
          <w:sz w:val="24"/>
          <w:szCs w:val="24"/>
        </w:rPr>
      </w:pPr>
      <w:r>
        <w:rPr>
          <w:sz w:val="24"/>
          <w:szCs w:val="24"/>
        </w:rPr>
        <w:t>C</w:t>
      </w:r>
      <w:r w:rsidR="00565599">
        <w:rPr>
          <w:sz w:val="24"/>
          <w:szCs w:val="24"/>
        </w:rPr>
        <w:t xml:space="preserve">onsistent implementation of a service model at national level is hard to achieve: more robust model specification, implementation guidance and monitoring than was put in place in England for CRTs may be required. </w:t>
      </w:r>
      <w:r w:rsidR="003C18FF">
        <w:rPr>
          <w:sz w:val="24"/>
          <w:szCs w:val="24"/>
        </w:rPr>
        <w:t xml:space="preserve">Our survey did not reveal how far variation in CRT service provision reflects local service plans and perceived </w:t>
      </w:r>
      <w:r w:rsidR="003168CA">
        <w:rPr>
          <w:sz w:val="24"/>
          <w:szCs w:val="24"/>
        </w:rPr>
        <w:t>local needs. It does suggest however, that commissioners and service planners should carefully specify and audit characteristics of CRT services considered desirable, as the content of similarly named services</w:t>
      </w:r>
      <w:r w:rsidR="00AB308A">
        <w:rPr>
          <w:sz w:val="24"/>
          <w:szCs w:val="24"/>
        </w:rPr>
        <w:t>,</w:t>
      </w:r>
      <w:r w:rsidR="003168CA">
        <w:rPr>
          <w:sz w:val="24"/>
          <w:szCs w:val="24"/>
        </w:rPr>
        <w:t xml:space="preserve"> set up in response to nationally applicable guidance</w:t>
      </w:r>
      <w:r w:rsidR="00AB308A">
        <w:rPr>
          <w:sz w:val="24"/>
          <w:szCs w:val="24"/>
        </w:rPr>
        <w:t>,</w:t>
      </w:r>
      <w:r w:rsidR="003168CA">
        <w:rPr>
          <w:sz w:val="24"/>
          <w:szCs w:val="24"/>
        </w:rPr>
        <w:t xml:space="preserve"> may vary considerably. Positively, nearly all the items in our survey were being delivered in at least some CRTs, giving some indication of their feasibility. </w:t>
      </w:r>
      <w:r w:rsidR="00950869">
        <w:rPr>
          <w:sz w:val="24"/>
          <w:szCs w:val="24"/>
        </w:rPr>
        <w:t>M</w:t>
      </w:r>
      <w:r w:rsidR="00AB308A">
        <w:rPr>
          <w:sz w:val="24"/>
          <w:szCs w:val="24"/>
        </w:rPr>
        <w:t>any CRTs have structures in place designed to achieve a</w:t>
      </w:r>
      <w:r w:rsidR="003168CA">
        <w:rPr>
          <w:sz w:val="24"/>
          <w:szCs w:val="24"/>
        </w:rPr>
        <w:t xml:space="preserve">spects of </w:t>
      </w:r>
      <w:r w:rsidR="00AB308A">
        <w:rPr>
          <w:sz w:val="24"/>
          <w:szCs w:val="24"/>
        </w:rPr>
        <w:t xml:space="preserve">good CRT services advocated </w:t>
      </w:r>
      <w:r w:rsidR="003168CA">
        <w:rPr>
          <w:sz w:val="24"/>
          <w:szCs w:val="24"/>
        </w:rPr>
        <w:t>by stakeholde</w:t>
      </w:r>
      <w:r w:rsidR="00077C80">
        <w:rPr>
          <w:sz w:val="24"/>
          <w:szCs w:val="24"/>
        </w:rPr>
        <w:t>rs (MIND et al. 2001, Lloyd-Evans and Johnson 2014)</w:t>
      </w:r>
      <w:r w:rsidR="00AB308A">
        <w:rPr>
          <w:sz w:val="24"/>
          <w:szCs w:val="24"/>
        </w:rPr>
        <w:t xml:space="preserve">, such as swift direct access, holistic care and a choice of types of support, and good continuity of care. These constitute realistic target areas for CRT service improvement: mechanisms to share knowledge about implementing best practice across CRTs </w:t>
      </w:r>
      <w:r w:rsidR="003E7D4F">
        <w:rPr>
          <w:sz w:val="24"/>
          <w:szCs w:val="24"/>
        </w:rPr>
        <w:t>nationally are</w:t>
      </w:r>
      <w:r w:rsidR="004D5F51">
        <w:rPr>
          <w:sz w:val="24"/>
          <w:szCs w:val="24"/>
        </w:rPr>
        <w:t xml:space="preserve"> required</w:t>
      </w:r>
      <w:r w:rsidR="00AB308A">
        <w:rPr>
          <w:sz w:val="24"/>
          <w:szCs w:val="24"/>
        </w:rPr>
        <w:t>.</w:t>
      </w:r>
    </w:p>
    <w:p w:rsidR="004D5F51" w:rsidRDefault="00D0721C" w:rsidP="00C840C9">
      <w:pPr>
        <w:spacing w:line="480" w:lineRule="auto"/>
        <w:jc w:val="both"/>
        <w:rPr>
          <w:sz w:val="24"/>
          <w:szCs w:val="24"/>
        </w:rPr>
      </w:pPr>
      <w:r>
        <w:rPr>
          <w:sz w:val="24"/>
          <w:szCs w:val="24"/>
        </w:rPr>
        <w:t>T</w:t>
      </w:r>
      <w:r w:rsidR="004D5F51">
        <w:rPr>
          <w:sz w:val="24"/>
          <w:szCs w:val="24"/>
        </w:rPr>
        <w:t xml:space="preserve">he experience of CRT implementation in England illustrated by our survey </w:t>
      </w:r>
      <w:r>
        <w:rPr>
          <w:sz w:val="24"/>
          <w:szCs w:val="24"/>
        </w:rPr>
        <w:t xml:space="preserve">also </w:t>
      </w:r>
      <w:r w:rsidR="004D5F51">
        <w:rPr>
          <w:sz w:val="24"/>
          <w:szCs w:val="24"/>
        </w:rPr>
        <w:t xml:space="preserve">offers a generalizable lesson for policy makers and service planners internationally – that robust structures to support CRT implementation are required, and consistent practice and outcomes from </w:t>
      </w:r>
      <w:r>
        <w:rPr>
          <w:sz w:val="24"/>
          <w:szCs w:val="24"/>
        </w:rPr>
        <w:t xml:space="preserve">an evidence-based complex intervention cannot be guaranteed. This is corroborated by findings </w:t>
      </w:r>
      <w:r w:rsidR="003E7D4F">
        <w:rPr>
          <w:sz w:val="24"/>
          <w:szCs w:val="24"/>
        </w:rPr>
        <w:t>from a</w:t>
      </w:r>
      <w:r>
        <w:rPr>
          <w:sz w:val="24"/>
          <w:szCs w:val="24"/>
        </w:rPr>
        <w:t xml:space="preserve"> CRT study in</w:t>
      </w:r>
      <w:r w:rsidR="004D5F51">
        <w:rPr>
          <w:sz w:val="24"/>
          <w:szCs w:val="24"/>
        </w:rPr>
        <w:t xml:space="preserve"> Norway, where CRTs are also mandated at national level: </w:t>
      </w:r>
      <w:r>
        <w:rPr>
          <w:sz w:val="24"/>
          <w:szCs w:val="24"/>
        </w:rPr>
        <w:t xml:space="preserve">Norwegian </w:t>
      </w:r>
      <w:r w:rsidR="004D5F51">
        <w:rPr>
          <w:sz w:val="24"/>
          <w:szCs w:val="24"/>
        </w:rPr>
        <w:t xml:space="preserve">CRT teams </w:t>
      </w:r>
      <w:r w:rsidR="005E25DA">
        <w:rPr>
          <w:sz w:val="24"/>
          <w:szCs w:val="24"/>
        </w:rPr>
        <w:t xml:space="preserve">were found not to </w:t>
      </w:r>
      <w:r w:rsidR="004D5F51">
        <w:rPr>
          <w:sz w:val="24"/>
          <w:szCs w:val="24"/>
        </w:rPr>
        <w:t>provide rapid access, 24 hour opening or fulfil a gatekeeping role as envisaged (Hasselberg et al. 2011).</w:t>
      </w:r>
    </w:p>
    <w:p w:rsidR="0015392D" w:rsidRDefault="00F704A9" w:rsidP="00C840C9">
      <w:pPr>
        <w:spacing w:line="480" w:lineRule="auto"/>
        <w:jc w:val="both"/>
        <w:rPr>
          <w:b/>
          <w:sz w:val="24"/>
          <w:szCs w:val="24"/>
        </w:rPr>
      </w:pPr>
      <w:r>
        <w:rPr>
          <w:sz w:val="24"/>
          <w:szCs w:val="24"/>
        </w:rPr>
        <w:t>Barriers to implemen</w:t>
      </w:r>
      <w:r w:rsidR="00D0721C">
        <w:rPr>
          <w:sz w:val="24"/>
          <w:szCs w:val="24"/>
        </w:rPr>
        <w:t>tation identified in mental health care include: lack of role clarity and direction, organisational cultures which are resistant to change, and differences in stakeholders’ ideological perspectives (Sandstrom et al. 2015). These may all be relevant in a CRT context</w:t>
      </w:r>
      <w:r w:rsidR="00EB6017">
        <w:rPr>
          <w:sz w:val="24"/>
          <w:szCs w:val="24"/>
        </w:rPr>
        <w:t xml:space="preserve">. Specific training for staff may be </w:t>
      </w:r>
      <w:r w:rsidR="005E25DA">
        <w:rPr>
          <w:sz w:val="24"/>
          <w:szCs w:val="24"/>
        </w:rPr>
        <w:t xml:space="preserve">needed </w:t>
      </w:r>
      <w:r w:rsidR="00EB6017">
        <w:rPr>
          <w:sz w:val="24"/>
          <w:szCs w:val="24"/>
        </w:rPr>
        <w:t>in the CRT model and specialised skills required to deliver it, such as social systems working (Bridgett and Polak 2003). This is particularly relevant to the training and continuing professional development of mental health nurses – the most prevalent professional group working in CRTs and the only group represented in all CRTs in our survey.</w:t>
      </w:r>
    </w:p>
    <w:p w:rsidR="005044D1" w:rsidRDefault="0015392D" w:rsidP="00C840C9">
      <w:pPr>
        <w:spacing w:line="480" w:lineRule="auto"/>
        <w:jc w:val="both"/>
        <w:rPr>
          <w:sz w:val="24"/>
          <w:szCs w:val="24"/>
        </w:rPr>
      </w:pPr>
      <w:r>
        <w:rPr>
          <w:b/>
          <w:sz w:val="24"/>
          <w:szCs w:val="24"/>
        </w:rPr>
        <w:t xml:space="preserve">Conclusion: </w:t>
      </w:r>
      <w:r w:rsidR="00AB308A">
        <w:rPr>
          <w:sz w:val="24"/>
          <w:szCs w:val="24"/>
        </w:rPr>
        <w:t xml:space="preserve">The challenges of implementation have been identified as a major barrier to </w:t>
      </w:r>
      <w:r w:rsidR="00BE339C">
        <w:rPr>
          <w:sz w:val="24"/>
          <w:szCs w:val="24"/>
        </w:rPr>
        <w:t xml:space="preserve">maximising </w:t>
      </w:r>
      <w:r w:rsidR="003E7D4F">
        <w:rPr>
          <w:sz w:val="24"/>
          <w:szCs w:val="24"/>
        </w:rPr>
        <w:t>the patient</w:t>
      </w:r>
      <w:r w:rsidR="00077C80">
        <w:rPr>
          <w:sz w:val="24"/>
          <w:szCs w:val="24"/>
        </w:rPr>
        <w:t xml:space="preserve"> </w:t>
      </w:r>
      <w:r w:rsidR="003E7D4F">
        <w:rPr>
          <w:sz w:val="24"/>
          <w:szCs w:val="24"/>
        </w:rPr>
        <w:t>benefit from</w:t>
      </w:r>
      <w:r w:rsidR="00BE339C">
        <w:rPr>
          <w:sz w:val="24"/>
          <w:szCs w:val="24"/>
        </w:rPr>
        <w:t xml:space="preserve"> interventions which have good evidence of efficacy</w:t>
      </w:r>
      <w:r w:rsidR="00F13D4B">
        <w:rPr>
          <w:sz w:val="24"/>
          <w:szCs w:val="24"/>
        </w:rPr>
        <w:t xml:space="preserve"> in trial conditions</w:t>
      </w:r>
      <w:r w:rsidR="00BE339C">
        <w:rPr>
          <w:sz w:val="24"/>
          <w:szCs w:val="24"/>
        </w:rPr>
        <w:t xml:space="preserve"> </w:t>
      </w:r>
      <w:r w:rsidR="00077C80">
        <w:rPr>
          <w:sz w:val="24"/>
          <w:szCs w:val="24"/>
        </w:rPr>
        <w:t>(Tansella and Thornicroft 2009)</w:t>
      </w:r>
      <w:r w:rsidR="00AB308A">
        <w:rPr>
          <w:sz w:val="24"/>
          <w:szCs w:val="24"/>
        </w:rPr>
        <w:t>. CRTs exemplify th</w:t>
      </w:r>
      <w:r w:rsidR="00D0721C">
        <w:rPr>
          <w:sz w:val="24"/>
          <w:szCs w:val="24"/>
        </w:rPr>
        <w:t>ese challenges</w:t>
      </w:r>
      <w:r w:rsidR="00AB308A">
        <w:rPr>
          <w:sz w:val="24"/>
          <w:szCs w:val="24"/>
        </w:rPr>
        <w:t>: a complex service model with an evidence base from resea</w:t>
      </w:r>
      <w:r w:rsidR="00077C80">
        <w:rPr>
          <w:sz w:val="24"/>
          <w:szCs w:val="24"/>
        </w:rPr>
        <w:t>rch trials (</w:t>
      </w:r>
      <w:r w:rsidR="0058074E">
        <w:rPr>
          <w:sz w:val="24"/>
          <w:szCs w:val="24"/>
        </w:rPr>
        <w:t>Johnson 2005, Murphy et al. 2015</w:t>
      </w:r>
      <w:r w:rsidR="00077C80">
        <w:rPr>
          <w:sz w:val="24"/>
          <w:szCs w:val="24"/>
        </w:rPr>
        <w:t>)</w:t>
      </w:r>
      <w:r w:rsidR="00AB308A">
        <w:rPr>
          <w:sz w:val="24"/>
          <w:szCs w:val="24"/>
        </w:rPr>
        <w:t xml:space="preserve"> is implemented inconsistently and not fully in accordance with origina</w:t>
      </w:r>
      <w:r w:rsidR="00077C80">
        <w:rPr>
          <w:sz w:val="24"/>
          <w:szCs w:val="24"/>
        </w:rPr>
        <w:t>l specifications (DH 2001)</w:t>
      </w:r>
      <w:r w:rsidR="0068223B">
        <w:rPr>
          <w:sz w:val="24"/>
          <w:szCs w:val="24"/>
        </w:rPr>
        <w:t xml:space="preserve">, </w:t>
      </w:r>
      <w:r w:rsidR="00156DCF">
        <w:rPr>
          <w:sz w:val="24"/>
          <w:szCs w:val="24"/>
        </w:rPr>
        <w:t>and</w:t>
      </w:r>
      <w:r w:rsidR="00077C80">
        <w:rPr>
          <w:sz w:val="24"/>
          <w:szCs w:val="24"/>
        </w:rPr>
        <w:t xml:space="preserve"> produces variable outcomes (Jacobs and B</w:t>
      </w:r>
      <w:r w:rsidR="003D152F">
        <w:rPr>
          <w:sz w:val="24"/>
          <w:szCs w:val="24"/>
        </w:rPr>
        <w:t>arrenho 201</w:t>
      </w:r>
      <w:r w:rsidR="00077C80">
        <w:rPr>
          <w:sz w:val="24"/>
          <w:szCs w:val="24"/>
        </w:rPr>
        <w:t>1)</w:t>
      </w:r>
      <w:r w:rsidR="0068223B">
        <w:rPr>
          <w:sz w:val="24"/>
          <w:szCs w:val="24"/>
        </w:rPr>
        <w:t xml:space="preserve">. </w:t>
      </w:r>
      <w:r w:rsidR="00B3754F">
        <w:rPr>
          <w:sz w:val="24"/>
          <w:szCs w:val="24"/>
        </w:rPr>
        <w:t xml:space="preserve">As CRTs have become an established and mature part of the </w:t>
      </w:r>
      <w:r w:rsidR="00FF7510">
        <w:rPr>
          <w:sz w:val="24"/>
          <w:szCs w:val="24"/>
        </w:rPr>
        <w:t xml:space="preserve">English </w:t>
      </w:r>
      <w:r w:rsidR="00B3754F">
        <w:rPr>
          <w:sz w:val="24"/>
          <w:szCs w:val="24"/>
        </w:rPr>
        <w:t xml:space="preserve">mental health service system, team organisation and service delivery do not appear to have become more standardised. </w:t>
      </w:r>
    </w:p>
    <w:p w:rsidR="0015392D" w:rsidRDefault="008624C8" w:rsidP="00C840C9">
      <w:pPr>
        <w:spacing w:line="480" w:lineRule="auto"/>
        <w:jc w:val="both"/>
        <w:rPr>
          <w:sz w:val="24"/>
          <w:szCs w:val="24"/>
        </w:rPr>
      </w:pPr>
      <w:r>
        <w:rPr>
          <w:sz w:val="24"/>
          <w:szCs w:val="24"/>
        </w:rPr>
        <w:t xml:space="preserve">The challenge </w:t>
      </w:r>
      <w:r w:rsidR="000B458E">
        <w:rPr>
          <w:sz w:val="24"/>
          <w:szCs w:val="24"/>
        </w:rPr>
        <w:t xml:space="preserve">remains </w:t>
      </w:r>
      <w:r>
        <w:rPr>
          <w:sz w:val="24"/>
          <w:szCs w:val="24"/>
        </w:rPr>
        <w:t>of how to scale up to a national system</w:t>
      </w:r>
      <w:r w:rsidR="00505B2A">
        <w:rPr>
          <w:sz w:val="24"/>
          <w:szCs w:val="24"/>
        </w:rPr>
        <w:t>,</w:t>
      </w:r>
      <w:r>
        <w:rPr>
          <w:sz w:val="24"/>
          <w:szCs w:val="24"/>
        </w:rPr>
        <w:t xml:space="preserve"> interventions which can be </w:t>
      </w:r>
      <w:r w:rsidR="000B458E">
        <w:rPr>
          <w:sz w:val="24"/>
          <w:szCs w:val="24"/>
        </w:rPr>
        <w:t>effective at local level</w:t>
      </w:r>
      <w:r>
        <w:rPr>
          <w:sz w:val="24"/>
          <w:szCs w:val="24"/>
        </w:rPr>
        <w:t xml:space="preserve">. </w:t>
      </w:r>
      <w:r w:rsidR="003876BA">
        <w:rPr>
          <w:sz w:val="24"/>
          <w:szCs w:val="24"/>
        </w:rPr>
        <w:t>Further development and testing of strategies to achieve successful implementation are required. For CRTs, these may include:</w:t>
      </w:r>
      <w:r w:rsidR="0068223B">
        <w:rPr>
          <w:sz w:val="24"/>
          <w:szCs w:val="24"/>
        </w:rPr>
        <w:t xml:space="preserve"> further specification of the CRT model and tools to measure teams’ model adherence</w:t>
      </w:r>
      <w:r w:rsidR="003876BA">
        <w:rPr>
          <w:sz w:val="24"/>
          <w:szCs w:val="24"/>
        </w:rPr>
        <w:t>; development of resources to support model adherence and</w:t>
      </w:r>
      <w:r w:rsidR="000B458E">
        <w:rPr>
          <w:sz w:val="24"/>
          <w:szCs w:val="24"/>
        </w:rPr>
        <w:t xml:space="preserve"> service improvement</w:t>
      </w:r>
      <w:r w:rsidR="003876BA">
        <w:rPr>
          <w:sz w:val="24"/>
          <w:szCs w:val="24"/>
        </w:rPr>
        <w:t>, and further use of policy levers such as monitoring of service standards and outcomes. Such action may</w:t>
      </w:r>
      <w:r w:rsidR="0068223B">
        <w:rPr>
          <w:sz w:val="24"/>
          <w:szCs w:val="24"/>
        </w:rPr>
        <w:t xml:space="preserve"> help </w:t>
      </w:r>
      <w:r w:rsidR="003876BA">
        <w:rPr>
          <w:sz w:val="24"/>
          <w:szCs w:val="24"/>
        </w:rPr>
        <w:t xml:space="preserve">to </w:t>
      </w:r>
      <w:r w:rsidR="0068223B">
        <w:rPr>
          <w:sz w:val="24"/>
          <w:szCs w:val="24"/>
        </w:rPr>
        <w:t>optimise the effectiveness of this important part of mental health acute care.</w:t>
      </w:r>
    </w:p>
    <w:p w:rsidR="005044D1" w:rsidRPr="005044D1" w:rsidRDefault="005044D1" w:rsidP="00C840C9">
      <w:pPr>
        <w:spacing w:line="480" w:lineRule="auto"/>
        <w:jc w:val="both"/>
        <w:rPr>
          <w:sz w:val="24"/>
          <w:szCs w:val="24"/>
        </w:rPr>
      </w:pPr>
      <w:r>
        <w:rPr>
          <w:b/>
          <w:sz w:val="24"/>
          <w:szCs w:val="24"/>
        </w:rPr>
        <w:t xml:space="preserve">Relevance to clinical practice: </w:t>
      </w:r>
      <w:r>
        <w:rPr>
          <w:sz w:val="24"/>
          <w:szCs w:val="24"/>
        </w:rPr>
        <w:t>The CRT service model has not been fully implemented in CRTs in England. Commissioners and service planners should clearly specify requirements for CRT service delivery and organisation, and monitor teams’ adherence to the CRT model, to help ensure CRT services are functioning as planned. Training and implementation resources are required for CRT staff and managers</w:t>
      </w:r>
      <w:r w:rsidR="00EB6017">
        <w:rPr>
          <w:sz w:val="24"/>
          <w:szCs w:val="24"/>
        </w:rPr>
        <w:t>, most commonly mental health nurses,</w:t>
      </w:r>
      <w:r>
        <w:rPr>
          <w:sz w:val="24"/>
          <w:szCs w:val="24"/>
        </w:rPr>
        <w:t xml:space="preserve"> to support delivery of an optimal CRT service.</w:t>
      </w: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CC3344" w:rsidRDefault="00CC3344" w:rsidP="00F13D4B">
      <w:pPr>
        <w:rPr>
          <w:b/>
          <w:sz w:val="24"/>
          <w:szCs w:val="24"/>
        </w:rPr>
      </w:pPr>
    </w:p>
    <w:p w:rsidR="007D189E" w:rsidRPr="00F13D4B" w:rsidRDefault="003D31C2" w:rsidP="00F13D4B">
      <w:pPr>
        <w:rPr>
          <w:b/>
          <w:sz w:val="24"/>
          <w:szCs w:val="24"/>
        </w:rPr>
      </w:pPr>
      <w:r w:rsidRPr="00E2564C">
        <w:rPr>
          <w:b/>
          <w:sz w:val="24"/>
          <w:szCs w:val="24"/>
        </w:rPr>
        <w:t>Reference</w:t>
      </w:r>
      <w:r w:rsidR="00364ACB" w:rsidRPr="00E2564C">
        <w:rPr>
          <w:b/>
          <w:sz w:val="24"/>
          <w:szCs w:val="24"/>
        </w:rPr>
        <w:t>s</w:t>
      </w:r>
    </w:p>
    <w:p w:rsidR="007B6CC9" w:rsidRPr="007B6CC9" w:rsidRDefault="007B6CC9" w:rsidP="007B6CC9">
      <w:pPr>
        <w:jc w:val="both"/>
        <w:rPr>
          <w:rFonts w:eastAsia="Calibri" w:cs="Times New Roman"/>
          <w:sz w:val="24"/>
          <w:szCs w:val="24"/>
        </w:rPr>
      </w:pPr>
      <w:r w:rsidRPr="007B6CC9">
        <w:rPr>
          <w:rFonts w:eastAsia="Calibri" w:cs="Times New Roman"/>
          <w:sz w:val="24"/>
          <w:szCs w:val="24"/>
        </w:rPr>
        <w:t xml:space="preserve">Appleby, L. (2003) </w:t>
      </w:r>
      <w:r>
        <w:rPr>
          <w:rFonts w:eastAsia="Calibri" w:cs="Times New Roman"/>
          <w:sz w:val="24"/>
          <w:szCs w:val="24"/>
        </w:rPr>
        <w:t>“</w:t>
      </w:r>
      <w:r w:rsidRPr="007B6CC9">
        <w:rPr>
          <w:rFonts w:eastAsia="Calibri" w:cs="Times New Roman"/>
          <w:sz w:val="24"/>
          <w:szCs w:val="24"/>
        </w:rPr>
        <w:t>So, are things getti</w:t>
      </w:r>
      <w:r>
        <w:rPr>
          <w:rFonts w:eastAsia="Calibri" w:cs="Times New Roman"/>
          <w:sz w:val="24"/>
          <w:szCs w:val="24"/>
        </w:rPr>
        <w:t xml:space="preserve">ng better?” </w:t>
      </w:r>
      <w:r w:rsidRPr="007B6CC9">
        <w:rPr>
          <w:rFonts w:eastAsia="Calibri" w:cs="Times New Roman"/>
          <w:i/>
          <w:sz w:val="24"/>
          <w:szCs w:val="24"/>
        </w:rPr>
        <w:t>Psychiatric Bulletin</w:t>
      </w:r>
      <w:r w:rsidRPr="007B6CC9">
        <w:rPr>
          <w:rFonts w:eastAsia="Calibri" w:cs="Times New Roman"/>
          <w:sz w:val="24"/>
          <w:szCs w:val="24"/>
        </w:rPr>
        <w:t xml:space="preserve"> </w:t>
      </w:r>
      <w:r>
        <w:rPr>
          <w:rFonts w:eastAsia="Calibri" w:cs="Times New Roman"/>
          <w:sz w:val="24"/>
          <w:szCs w:val="24"/>
        </w:rPr>
        <w:t>27</w:t>
      </w:r>
      <w:r w:rsidRPr="007B6CC9">
        <w:rPr>
          <w:rFonts w:eastAsia="Calibri" w:cs="Times New Roman"/>
          <w:sz w:val="24"/>
          <w:szCs w:val="24"/>
        </w:rPr>
        <w:t xml:space="preserve"> 441-442. </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Bond, G.R., Peterson, A.E., Becker, D.R., &amp; Drake, R.E. (2012). “Validation of the revised individual placement and support fidelity scale (IPS-25)” </w:t>
      </w:r>
      <w:r w:rsidRPr="00E2564C">
        <w:rPr>
          <w:rFonts w:eastAsia="Calibri" w:cs="Times New Roman"/>
          <w:i/>
          <w:iCs/>
          <w:sz w:val="24"/>
          <w:szCs w:val="24"/>
        </w:rPr>
        <w:t>Psychiatric Services, 63(8)</w:t>
      </w:r>
      <w:r w:rsidRPr="00E2564C">
        <w:rPr>
          <w:rFonts w:eastAsia="Calibri" w:cs="Times New Roman"/>
          <w:sz w:val="24"/>
          <w:szCs w:val="24"/>
        </w:rPr>
        <w:t>, 758-763.</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Borschmann R, Henderson C, Hogg J, Phillips R, Moran P: </w:t>
      </w:r>
      <w:r w:rsidR="00567ED6">
        <w:rPr>
          <w:rFonts w:eastAsia="Calibri" w:cs="Times New Roman"/>
          <w:sz w:val="24"/>
          <w:szCs w:val="24"/>
        </w:rPr>
        <w:t xml:space="preserve">(2012) </w:t>
      </w:r>
      <w:r w:rsidRPr="00E2564C">
        <w:rPr>
          <w:rFonts w:eastAsia="Calibri" w:cs="Times New Roman"/>
          <w:sz w:val="24"/>
          <w:szCs w:val="24"/>
        </w:rPr>
        <w:t xml:space="preserve">“Crisis interventions for people with borderline personality disorder: Review” </w:t>
      </w:r>
      <w:r w:rsidRPr="00E2564C">
        <w:rPr>
          <w:rFonts w:eastAsia="Calibri" w:cs="Times New Roman"/>
          <w:i/>
          <w:sz w:val="24"/>
          <w:szCs w:val="24"/>
        </w:rPr>
        <w:t xml:space="preserve">The Cochrane Library  </w:t>
      </w:r>
      <w:r w:rsidRPr="00E2564C">
        <w:rPr>
          <w:rFonts w:eastAsia="Calibri" w:cs="Times New Roman"/>
          <w:sz w:val="24"/>
          <w:szCs w:val="24"/>
        </w:rPr>
        <w:t>Issue 6</w:t>
      </w:r>
      <w:r w:rsidRPr="00E2564C">
        <w:rPr>
          <w:rFonts w:cs="Arial"/>
          <w:color w:val="000000"/>
          <w:sz w:val="24"/>
          <w:szCs w:val="24"/>
          <w:lang w:val="en"/>
        </w:rPr>
        <w:t xml:space="preserve"> Article No.: CD009353. DOI: 10.1002/14651858.CD009353.pub2. </w:t>
      </w:r>
      <w:r w:rsidRPr="00E2564C">
        <w:rPr>
          <w:rFonts w:eastAsia="Calibri" w:cs="Times New Roman"/>
          <w:sz w:val="24"/>
          <w:szCs w:val="24"/>
        </w:rPr>
        <w:t xml:space="preserve"> </w:t>
      </w:r>
    </w:p>
    <w:p w:rsidR="00077C80" w:rsidRPr="00381402" w:rsidRDefault="00077C80" w:rsidP="00077C80">
      <w:pPr>
        <w:jc w:val="both"/>
        <w:rPr>
          <w:sz w:val="24"/>
          <w:szCs w:val="24"/>
        </w:rPr>
      </w:pPr>
      <w:r>
        <w:rPr>
          <w:sz w:val="24"/>
          <w:szCs w:val="24"/>
        </w:rPr>
        <w:t xml:space="preserve">Bridgett,C. and Polak,P. (2003) “Social systems intervention and crisis resolution: part 2 – intervention” </w:t>
      </w:r>
      <w:r>
        <w:rPr>
          <w:i/>
          <w:sz w:val="24"/>
          <w:szCs w:val="24"/>
        </w:rPr>
        <w:t xml:space="preserve">Advances in Psychiatric Treatment </w:t>
      </w:r>
      <w:r>
        <w:rPr>
          <w:sz w:val="24"/>
          <w:szCs w:val="24"/>
        </w:rPr>
        <w:t>9 432-438</w:t>
      </w:r>
    </w:p>
    <w:p w:rsidR="00B92C08" w:rsidRPr="00B92C08" w:rsidRDefault="004900BB" w:rsidP="00B92C08">
      <w:pPr>
        <w:spacing w:after="0" w:line="360" w:lineRule="auto"/>
        <w:rPr>
          <w:sz w:val="24"/>
          <w:szCs w:val="24"/>
        </w:rPr>
      </w:pPr>
      <w:r>
        <w:rPr>
          <w:sz w:val="24"/>
          <w:szCs w:val="24"/>
        </w:rPr>
        <w:t>Care Quality Commission (2015)</w:t>
      </w:r>
      <w:r w:rsidR="00B92C08" w:rsidRPr="00B92C08">
        <w:rPr>
          <w:sz w:val="24"/>
          <w:szCs w:val="24"/>
        </w:rPr>
        <w:t xml:space="preserve"> </w:t>
      </w:r>
      <w:r>
        <w:rPr>
          <w:sz w:val="24"/>
          <w:szCs w:val="24"/>
        </w:rPr>
        <w:t>“</w:t>
      </w:r>
      <w:r w:rsidR="00B92C08" w:rsidRPr="00B92C08">
        <w:rPr>
          <w:sz w:val="24"/>
          <w:szCs w:val="24"/>
        </w:rPr>
        <w:t>Right here right now</w:t>
      </w:r>
      <w:r>
        <w:rPr>
          <w:sz w:val="24"/>
          <w:szCs w:val="24"/>
        </w:rPr>
        <w:t>: people’s experiences of help, care and support during a mental health crisis”(web resource)</w:t>
      </w:r>
      <w:r w:rsidR="00B92C08" w:rsidRPr="00B92C08">
        <w:rPr>
          <w:sz w:val="24"/>
          <w:szCs w:val="24"/>
        </w:rPr>
        <w:t xml:space="preserve"> </w:t>
      </w:r>
    </w:p>
    <w:p w:rsidR="00B92C08" w:rsidRPr="00B92C08" w:rsidRDefault="00500275" w:rsidP="00B92C08">
      <w:pPr>
        <w:spacing w:after="0" w:line="360" w:lineRule="auto"/>
        <w:rPr>
          <w:rFonts w:eastAsia="Calibri" w:cs="Times New Roman"/>
          <w:sz w:val="24"/>
          <w:szCs w:val="24"/>
        </w:rPr>
      </w:pPr>
      <w:hyperlink r:id="rId9" w:history="1">
        <w:r w:rsidR="004900BB" w:rsidRPr="00DC5DBB">
          <w:rPr>
            <w:rStyle w:val="Hyperlink"/>
            <w:sz w:val="24"/>
            <w:szCs w:val="24"/>
          </w:rPr>
          <w:t>http://www.cqc.org.uk/sites/default/files/20150630_righthere_mhcrisiscare_full.pdf</w:t>
        </w:r>
      </w:hyperlink>
      <w:r w:rsidR="004900BB">
        <w:rPr>
          <w:sz w:val="24"/>
          <w:szCs w:val="24"/>
        </w:rPr>
        <w:t xml:space="preserve"> (</w:t>
      </w:r>
      <w:r w:rsidR="00B92C08" w:rsidRPr="00B92C08">
        <w:rPr>
          <w:sz w:val="24"/>
          <w:szCs w:val="24"/>
        </w:rPr>
        <w:t>Accessed</w:t>
      </w:r>
      <w:r w:rsidR="004900BB">
        <w:rPr>
          <w:sz w:val="24"/>
          <w:szCs w:val="24"/>
        </w:rPr>
        <w:t xml:space="preserve"> 12/10/16)</w:t>
      </w:r>
      <w:r w:rsidR="00B92C08" w:rsidRPr="00B92C08">
        <w:rPr>
          <w:sz w:val="24"/>
          <w:szCs w:val="24"/>
        </w:rPr>
        <w:t>.</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Department of Health (2000) “The NHS plan: A plan for investment, a plan f</w:t>
      </w:r>
      <w:r w:rsidR="00D07F27">
        <w:rPr>
          <w:rFonts w:eastAsia="Calibri" w:cs="Times New Roman"/>
          <w:sz w:val="24"/>
          <w:szCs w:val="24"/>
        </w:rPr>
        <w:t>or reform” Department of Health, London</w:t>
      </w:r>
    </w:p>
    <w:p w:rsidR="00007F5B" w:rsidRDefault="00007F5B" w:rsidP="00007F5B">
      <w:pPr>
        <w:jc w:val="both"/>
        <w:rPr>
          <w:rFonts w:eastAsia="Calibri" w:cs="Times New Roman"/>
          <w:sz w:val="24"/>
          <w:szCs w:val="24"/>
        </w:rPr>
      </w:pPr>
      <w:r w:rsidRPr="00E2564C">
        <w:rPr>
          <w:rFonts w:eastAsia="Calibri" w:cs="Times New Roman"/>
          <w:sz w:val="24"/>
          <w:szCs w:val="24"/>
        </w:rPr>
        <w:t>Department of Health (2001) “The Mental Health Policy Implementat</w:t>
      </w:r>
      <w:r w:rsidR="00D07F27">
        <w:rPr>
          <w:rFonts w:eastAsia="Calibri" w:cs="Times New Roman"/>
          <w:sz w:val="24"/>
          <w:szCs w:val="24"/>
        </w:rPr>
        <w:t>ion Guide” Department of Health, London</w:t>
      </w:r>
    </w:p>
    <w:p w:rsidR="00007F5B" w:rsidRDefault="00007F5B" w:rsidP="00007F5B">
      <w:pPr>
        <w:jc w:val="both"/>
        <w:rPr>
          <w:rFonts w:eastAsia="Calibri" w:cs="Times New Roman"/>
          <w:sz w:val="24"/>
          <w:szCs w:val="24"/>
        </w:rPr>
      </w:pPr>
      <w:r w:rsidRPr="00E2564C">
        <w:rPr>
          <w:rFonts w:eastAsia="Calibri" w:cs="Times New Roman"/>
          <w:sz w:val="24"/>
          <w:szCs w:val="24"/>
        </w:rPr>
        <w:t>Department of Health (2007) “Guidance Statement on Fidelity and Best Practice for Crisis Serv</w:t>
      </w:r>
      <w:r w:rsidR="00D07F27">
        <w:rPr>
          <w:rFonts w:eastAsia="Calibri" w:cs="Times New Roman"/>
          <w:sz w:val="24"/>
          <w:szCs w:val="24"/>
        </w:rPr>
        <w:t>ices” Department of Health, London</w:t>
      </w:r>
    </w:p>
    <w:p w:rsidR="00107C95" w:rsidRDefault="00107C95" w:rsidP="00007F5B">
      <w:pPr>
        <w:jc w:val="both"/>
        <w:rPr>
          <w:rFonts w:eastAsia="Calibri" w:cs="Times New Roman"/>
          <w:sz w:val="24"/>
          <w:szCs w:val="24"/>
        </w:rPr>
      </w:pPr>
      <w:r>
        <w:rPr>
          <w:rFonts w:eastAsia="Calibri" w:cs="Times New Roman"/>
          <w:sz w:val="24"/>
          <w:szCs w:val="24"/>
        </w:rPr>
        <w:t xml:space="preserve">Department of Health (2014) </w:t>
      </w:r>
      <w:r>
        <w:rPr>
          <w:rFonts w:eastAsia="Calibri" w:cs="Times New Roman"/>
          <w:i/>
          <w:sz w:val="24"/>
          <w:szCs w:val="24"/>
        </w:rPr>
        <w:t xml:space="preserve">“Mental Health Crisis Care Concordat: Improving outcomes for people experiencing mental health crisis” </w:t>
      </w:r>
      <w:r>
        <w:rPr>
          <w:rFonts w:eastAsia="Calibri" w:cs="Times New Roman"/>
          <w:sz w:val="24"/>
          <w:szCs w:val="24"/>
        </w:rPr>
        <w:t>Department of Health, London</w:t>
      </w:r>
    </w:p>
    <w:p w:rsidR="000E4292" w:rsidRPr="000E4292" w:rsidRDefault="004900BB" w:rsidP="00007F5B">
      <w:pPr>
        <w:jc w:val="both"/>
        <w:rPr>
          <w:rFonts w:eastAsia="Calibri" w:cs="Times New Roman"/>
          <w:sz w:val="24"/>
          <w:szCs w:val="24"/>
        </w:rPr>
      </w:pPr>
      <w:r>
        <w:rPr>
          <w:rFonts w:eastAsia="Calibri" w:cs="Times New Roman"/>
          <w:sz w:val="24"/>
          <w:szCs w:val="24"/>
        </w:rPr>
        <w:t xml:space="preserve">Department of Health (2016) </w:t>
      </w:r>
      <w:r w:rsidR="000E4292">
        <w:rPr>
          <w:rFonts w:eastAsia="Calibri" w:cs="Times New Roman"/>
          <w:i/>
          <w:sz w:val="24"/>
          <w:szCs w:val="24"/>
        </w:rPr>
        <w:t xml:space="preserve">“Achieving Better Access to Mental Health Services by 2020” </w:t>
      </w:r>
      <w:r w:rsidR="000E4292" w:rsidRPr="000E4292">
        <w:rPr>
          <w:rFonts w:eastAsia="Calibri" w:cs="Times New Roman"/>
          <w:sz w:val="24"/>
          <w:szCs w:val="24"/>
        </w:rPr>
        <w:t>DH (web resource)</w:t>
      </w:r>
    </w:p>
    <w:p w:rsidR="004900BB" w:rsidRPr="000E4292" w:rsidRDefault="00500275" w:rsidP="00007F5B">
      <w:pPr>
        <w:jc w:val="both"/>
        <w:rPr>
          <w:rFonts w:eastAsia="Calibri" w:cs="Times New Roman"/>
          <w:sz w:val="24"/>
          <w:szCs w:val="24"/>
        </w:rPr>
      </w:pPr>
      <w:hyperlink r:id="rId10" w:history="1">
        <w:r w:rsidR="000E4292" w:rsidRPr="000E4292">
          <w:rPr>
            <w:rStyle w:val="Hyperlink"/>
            <w:rFonts w:eastAsia="Calibri" w:cs="Times New Roman"/>
            <w:sz w:val="24"/>
            <w:szCs w:val="24"/>
          </w:rPr>
          <w:t>https://www.gov.uk/government/uploads/system/uploads/attachment_data/file/361648/mental-health-access.pdf</w:t>
        </w:r>
      </w:hyperlink>
      <w:r w:rsidR="000E4292" w:rsidRPr="000E4292">
        <w:rPr>
          <w:rFonts w:eastAsia="Calibri" w:cs="Times New Roman"/>
          <w:sz w:val="24"/>
          <w:szCs w:val="24"/>
        </w:rPr>
        <w:t xml:space="preserve"> </w:t>
      </w:r>
      <w:r w:rsidR="000E4292">
        <w:rPr>
          <w:rFonts w:eastAsia="Calibri" w:cs="Times New Roman"/>
          <w:sz w:val="24"/>
          <w:szCs w:val="24"/>
        </w:rPr>
        <w:t>[Accessed 12/10/16]</w:t>
      </w:r>
    </w:p>
    <w:p w:rsidR="00BC12AA" w:rsidRPr="00BC12AA" w:rsidRDefault="00BC12AA" w:rsidP="00007F5B">
      <w:pPr>
        <w:jc w:val="both"/>
        <w:rPr>
          <w:rFonts w:eastAsia="Calibri" w:cs="Times New Roman"/>
          <w:sz w:val="24"/>
          <w:szCs w:val="24"/>
        </w:rPr>
      </w:pPr>
      <w:r>
        <w:rPr>
          <w:rFonts w:eastAsia="Calibri" w:cs="Times New Roman"/>
          <w:sz w:val="24"/>
          <w:szCs w:val="24"/>
        </w:rPr>
        <w:t xml:space="preserve">Drake,R. Bond,G. Essock,S. </w:t>
      </w:r>
      <w:r w:rsidR="00D07F27">
        <w:rPr>
          <w:rFonts w:eastAsia="Calibri" w:cs="Times New Roman"/>
          <w:sz w:val="24"/>
          <w:szCs w:val="24"/>
        </w:rPr>
        <w:t xml:space="preserve">(2009) </w:t>
      </w:r>
      <w:r>
        <w:rPr>
          <w:rFonts w:eastAsia="Calibri" w:cs="Times New Roman"/>
          <w:sz w:val="24"/>
          <w:szCs w:val="24"/>
        </w:rPr>
        <w:t xml:space="preserve">“Implementing evidence-based practices for people with schizophrenia” </w:t>
      </w:r>
      <w:r>
        <w:rPr>
          <w:rFonts w:eastAsia="Calibri" w:cs="Times New Roman"/>
          <w:i/>
          <w:sz w:val="24"/>
          <w:szCs w:val="24"/>
        </w:rPr>
        <w:t xml:space="preserve">Schizophrenia Bulletin </w:t>
      </w:r>
      <w:r>
        <w:rPr>
          <w:rFonts w:eastAsia="Calibri" w:cs="Times New Roman"/>
          <w:sz w:val="24"/>
          <w:szCs w:val="24"/>
        </w:rPr>
        <w:t>35(4) 704-713</w:t>
      </w:r>
    </w:p>
    <w:p w:rsidR="00077C80" w:rsidRPr="00E2564C" w:rsidRDefault="00077C80" w:rsidP="00077C80">
      <w:pPr>
        <w:jc w:val="both"/>
        <w:rPr>
          <w:sz w:val="24"/>
          <w:szCs w:val="24"/>
        </w:rPr>
      </w:pPr>
      <w:r w:rsidRPr="00E2564C">
        <w:rPr>
          <w:sz w:val="24"/>
          <w:szCs w:val="24"/>
        </w:rPr>
        <w:t xml:space="preserve">Glover G, Arts G, Babu KS (2006) “Crisis resolution/home treatment teams and psychiatric admission rates in England” </w:t>
      </w:r>
      <w:r w:rsidRPr="00E2564C">
        <w:rPr>
          <w:i/>
          <w:sz w:val="24"/>
          <w:szCs w:val="24"/>
        </w:rPr>
        <w:t>British Journal of Psychiatry</w:t>
      </w:r>
      <w:r w:rsidRPr="00E2564C">
        <w:rPr>
          <w:sz w:val="24"/>
          <w:szCs w:val="24"/>
        </w:rPr>
        <w:t>, 189:441-445</w:t>
      </w:r>
    </w:p>
    <w:p w:rsidR="00B92C08" w:rsidRPr="000E4292" w:rsidRDefault="00B92C08" w:rsidP="00077C80">
      <w:pPr>
        <w:jc w:val="both"/>
        <w:rPr>
          <w:rFonts w:eastAsia="Calibri" w:cs="Times New Roman"/>
          <w:sz w:val="24"/>
          <w:szCs w:val="24"/>
        </w:rPr>
      </w:pPr>
      <w:r>
        <w:rPr>
          <w:rFonts w:eastAsia="Calibri" w:cs="Times New Roman"/>
          <w:sz w:val="24"/>
          <w:szCs w:val="24"/>
        </w:rPr>
        <w:t>Glover,G. and Johnson,S. (2008)</w:t>
      </w:r>
      <w:r w:rsidR="000E4292">
        <w:rPr>
          <w:rFonts w:eastAsia="Calibri" w:cs="Times New Roman"/>
          <w:sz w:val="24"/>
          <w:szCs w:val="24"/>
        </w:rPr>
        <w:t xml:space="preserve"> </w:t>
      </w:r>
      <w:r w:rsidR="000E4292">
        <w:rPr>
          <w:rFonts w:eastAsia="Calibri" w:cs="Times New Roman"/>
          <w:i/>
          <w:sz w:val="24"/>
          <w:szCs w:val="24"/>
        </w:rPr>
        <w:t xml:space="preserve">“The Crisis Resolution Team model: recent developments and dissemination” </w:t>
      </w:r>
      <w:r w:rsidR="000E4292" w:rsidRPr="00E2564C">
        <w:rPr>
          <w:sz w:val="24"/>
          <w:szCs w:val="24"/>
        </w:rPr>
        <w:t>in Johnson,S. Needle,J. Bindman,J and Thornicroft,G. “Crisis resolution and home tre</w:t>
      </w:r>
      <w:r w:rsidR="000E4292">
        <w:rPr>
          <w:sz w:val="24"/>
          <w:szCs w:val="24"/>
        </w:rPr>
        <w:t>atment in mental health” pp 23-34</w:t>
      </w:r>
      <w:r w:rsidR="000E4292" w:rsidRPr="00E2564C">
        <w:rPr>
          <w:sz w:val="24"/>
          <w:szCs w:val="24"/>
        </w:rPr>
        <w:t xml:space="preserve"> Cambridge University Press, Cambridge</w:t>
      </w:r>
    </w:p>
    <w:p w:rsidR="00077C80" w:rsidRPr="00E2564C" w:rsidRDefault="00077C80" w:rsidP="00077C80">
      <w:pPr>
        <w:jc w:val="both"/>
        <w:rPr>
          <w:rFonts w:eastAsia="Calibri" w:cs="Times New Roman"/>
          <w:sz w:val="24"/>
          <w:szCs w:val="24"/>
        </w:rPr>
      </w:pPr>
      <w:r w:rsidRPr="00E2564C">
        <w:rPr>
          <w:rFonts w:eastAsia="Calibri" w:cs="Times New Roman"/>
          <w:sz w:val="24"/>
          <w:szCs w:val="24"/>
        </w:rPr>
        <w:t xml:space="preserve">Hasselberg,N. Grawe,R. Johnson,S. Ruud,T. (2011) “Treatment and outcomes of Crisis Resolution teams: a prospective, multi-centre study” </w:t>
      </w:r>
      <w:r w:rsidRPr="00E2564C">
        <w:rPr>
          <w:rFonts w:eastAsia="Calibri" w:cs="Times New Roman"/>
          <w:i/>
          <w:sz w:val="24"/>
          <w:szCs w:val="24"/>
        </w:rPr>
        <w:t xml:space="preserve">BMC Psychiatry </w:t>
      </w:r>
      <w:r w:rsidRPr="00E2564C">
        <w:rPr>
          <w:rFonts w:eastAsia="Calibri" w:cs="Times New Roman"/>
          <w:sz w:val="24"/>
          <w:szCs w:val="24"/>
        </w:rPr>
        <w:t xml:space="preserve">11:183 </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Health Research Authority (2013) </w:t>
      </w:r>
      <w:r w:rsidRPr="00567ED6">
        <w:rPr>
          <w:rFonts w:eastAsia="Calibri" w:cs="Times New Roman"/>
          <w:i/>
          <w:sz w:val="24"/>
          <w:szCs w:val="24"/>
        </w:rPr>
        <w:t>“Defining research: NRES guidance to help you decide if your project requires review by an ethics committee”</w:t>
      </w:r>
      <w:r w:rsidRPr="00E2564C">
        <w:rPr>
          <w:rFonts w:eastAsia="Calibri" w:cs="Times New Roman"/>
          <w:sz w:val="24"/>
          <w:szCs w:val="24"/>
        </w:rPr>
        <w:t xml:space="preserve">  </w:t>
      </w:r>
      <w:hyperlink r:id="rId11" w:history="1">
        <w:r w:rsidR="00567ED6" w:rsidRPr="00662B20">
          <w:rPr>
            <w:rStyle w:val="Hyperlink"/>
            <w:rFonts w:eastAsia="Calibri" w:cs="Times New Roman"/>
            <w:sz w:val="24"/>
            <w:szCs w:val="24"/>
          </w:rPr>
          <w:t>http://www.hra.nhs.uk/documents/2016/06/defining-research.pdf</w:t>
        </w:r>
      </w:hyperlink>
      <w:r w:rsidR="00567ED6">
        <w:rPr>
          <w:rFonts w:eastAsia="Calibri" w:cs="Times New Roman"/>
          <w:sz w:val="24"/>
          <w:szCs w:val="24"/>
        </w:rPr>
        <w:t xml:space="preserve"> </w:t>
      </w:r>
      <w:r w:rsidRPr="00E2564C">
        <w:rPr>
          <w:rFonts w:eastAsia="Calibri" w:cs="Times New Roman"/>
          <w:sz w:val="24"/>
          <w:szCs w:val="24"/>
        </w:rPr>
        <w:t xml:space="preserve">Accessed </w:t>
      </w:r>
      <w:r w:rsidR="00567ED6">
        <w:rPr>
          <w:rFonts w:eastAsia="Calibri" w:cs="Times New Roman"/>
          <w:sz w:val="24"/>
          <w:szCs w:val="24"/>
        </w:rPr>
        <w:t>1st July 2016</w:t>
      </w:r>
    </w:p>
    <w:p w:rsidR="00007F5B" w:rsidRPr="00E2564C" w:rsidRDefault="00007F5B" w:rsidP="00007F5B">
      <w:pPr>
        <w:rPr>
          <w:rFonts w:eastAsia="Calibri" w:cs="Times New Roman"/>
          <w:bCs/>
          <w:sz w:val="24"/>
          <w:szCs w:val="24"/>
        </w:rPr>
      </w:pPr>
      <w:r w:rsidRPr="00E2564C">
        <w:rPr>
          <w:rFonts w:eastAsia="Calibri" w:cs="Times New Roman"/>
          <w:sz w:val="24"/>
          <w:szCs w:val="24"/>
        </w:rPr>
        <w:t xml:space="preserve">Health and Social Care Information Centre  (2015) “ </w:t>
      </w:r>
      <w:r w:rsidRPr="00E2564C">
        <w:rPr>
          <w:rFonts w:eastAsia="Calibri" w:cs="Times New Roman"/>
          <w:bCs/>
          <w:sz w:val="24"/>
          <w:szCs w:val="24"/>
        </w:rPr>
        <w:t xml:space="preserve">Inpatients formally detained in hospitals under the Mental Health Act 1983, and patients subject to supervised community treatment: Uses of the Mental Health Act: Annual Statistics, 2014/15” HSCIC </w:t>
      </w:r>
      <w:hyperlink r:id="rId12" w:anchor="top" w:history="1">
        <w:r w:rsidRPr="00E2564C">
          <w:rPr>
            <w:rStyle w:val="Hyperlink"/>
            <w:rFonts w:eastAsia="Calibri" w:cs="Times New Roman"/>
            <w:bCs/>
            <w:sz w:val="24"/>
            <w:szCs w:val="24"/>
          </w:rPr>
          <w:t>http://www.hscic.gov.uk/searchcatalogue?productid=19118&amp;q=title%3a%22Inpatients+formally+detained+in+hospitals+under+the+Mental+Health+Act%22+&amp;sort=Most+recent&amp;size=10&amp;page=1#top</w:t>
        </w:r>
      </w:hyperlink>
      <w:r w:rsidRPr="00E2564C">
        <w:rPr>
          <w:rFonts w:eastAsia="Calibri" w:cs="Times New Roman"/>
          <w:bCs/>
          <w:sz w:val="24"/>
          <w:szCs w:val="24"/>
        </w:rPr>
        <w:t xml:space="preserve"> </w:t>
      </w:r>
      <w:r w:rsidR="00567ED6">
        <w:rPr>
          <w:rFonts w:eastAsia="Calibri" w:cs="Times New Roman"/>
          <w:bCs/>
          <w:sz w:val="24"/>
          <w:szCs w:val="24"/>
        </w:rPr>
        <w:t>Acessed 1</w:t>
      </w:r>
      <w:r w:rsidR="00567ED6" w:rsidRPr="00567ED6">
        <w:rPr>
          <w:rFonts w:eastAsia="Calibri" w:cs="Times New Roman"/>
          <w:bCs/>
          <w:sz w:val="24"/>
          <w:szCs w:val="24"/>
          <w:vertAlign w:val="superscript"/>
        </w:rPr>
        <w:t>st</w:t>
      </w:r>
      <w:r w:rsidR="00567ED6">
        <w:rPr>
          <w:rFonts w:eastAsia="Calibri" w:cs="Times New Roman"/>
          <w:bCs/>
          <w:sz w:val="24"/>
          <w:szCs w:val="24"/>
        </w:rPr>
        <w:t xml:space="preserve"> July 2016</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Hopkins C. &amp; Niemiec S. (2007) Mental health crisis at home: service user perspectives on what helps and what hinders. </w:t>
      </w:r>
      <w:r w:rsidRPr="00E2564C">
        <w:rPr>
          <w:rFonts w:eastAsia="Calibri" w:cs="Times New Roman"/>
          <w:i/>
          <w:sz w:val="24"/>
          <w:szCs w:val="24"/>
        </w:rPr>
        <w:t>Journal of Psychiatric and Mental Health Nursing</w:t>
      </w:r>
      <w:r w:rsidRPr="00E2564C">
        <w:rPr>
          <w:rFonts w:eastAsia="Calibri" w:cs="Times New Roman"/>
          <w:sz w:val="24"/>
          <w:szCs w:val="24"/>
        </w:rPr>
        <w:t xml:space="preserve"> 2007, 14(3):310-318.</w:t>
      </w:r>
    </w:p>
    <w:p w:rsidR="00B92C08" w:rsidRPr="000E4292" w:rsidRDefault="00B92C08" w:rsidP="00007F5B">
      <w:pPr>
        <w:jc w:val="both"/>
        <w:rPr>
          <w:rFonts w:eastAsia="Calibri" w:cs="Times New Roman"/>
          <w:sz w:val="24"/>
          <w:szCs w:val="24"/>
        </w:rPr>
      </w:pPr>
      <w:r>
        <w:rPr>
          <w:rFonts w:eastAsia="Calibri" w:cs="Times New Roman"/>
          <w:sz w:val="24"/>
          <w:szCs w:val="24"/>
        </w:rPr>
        <w:t>Hoult,J. (1991)</w:t>
      </w:r>
      <w:r w:rsidR="000E4292">
        <w:rPr>
          <w:rFonts w:eastAsia="Calibri" w:cs="Times New Roman"/>
          <w:sz w:val="24"/>
          <w:szCs w:val="24"/>
        </w:rPr>
        <w:t xml:space="preserve"> </w:t>
      </w:r>
      <w:r w:rsidR="000E4292">
        <w:rPr>
          <w:rFonts w:eastAsia="Calibri" w:cs="Times New Roman"/>
          <w:i/>
          <w:sz w:val="24"/>
          <w:szCs w:val="24"/>
        </w:rPr>
        <w:t xml:space="preserve">“Home treatment in New South Wales” </w:t>
      </w:r>
      <w:r w:rsidR="000E4292">
        <w:rPr>
          <w:rFonts w:eastAsia="Calibri" w:cs="Times New Roman"/>
          <w:sz w:val="24"/>
          <w:szCs w:val="24"/>
        </w:rPr>
        <w:t>in the Closure of Mental Hospitals ed. P.Hall and I. Brockington p107-14 London, Gaskell</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Jacobs R. &amp; Barrenho E. (2011) “The Impact of Crisis Resolution and Home Treatment Teams on Psychiatric Admissions in England” </w:t>
      </w:r>
      <w:r w:rsidRPr="00E2564C">
        <w:rPr>
          <w:rFonts w:eastAsia="Calibri" w:cs="Times New Roman"/>
          <w:i/>
          <w:sz w:val="24"/>
          <w:szCs w:val="24"/>
        </w:rPr>
        <w:t>Journal of Mental Health Policy and Economics</w:t>
      </w:r>
      <w:r w:rsidRPr="00E2564C">
        <w:rPr>
          <w:rFonts w:eastAsia="Calibri" w:cs="Times New Roman"/>
          <w:sz w:val="24"/>
          <w:szCs w:val="24"/>
        </w:rPr>
        <w:t xml:space="preserve"> 14:S13.</w:t>
      </w:r>
    </w:p>
    <w:p w:rsidR="00077C80" w:rsidRPr="00E2564C" w:rsidRDefault="00077C80" w:rsidP="00077C80">
      <w:pPr>
        <w:jc w:val="both"/>
        <w:rPr>
          <w:rFonts w:eastAsia="Calibri" w:cs="Times New Roman"/>
          <w:sz w:val="24"/>
          <w:szCs w:val="24"/>
        </w:rPr>
      </w:pPr>
      <w:r w:rsidRPr="00E2564C">
        <w:rPr>
          <w:rFonts w:eastAsia="Calibri" w:cs="Times New Roman"/>
          <w:sz w:val="24"/>
          <w:szCs w:val="24"/>
        </w:rPr>
        <w:t xml:space="preserve">Johnson S, Nolan F, Pilling S, Sandor A, Hoult J, McKenzie N, White IR, Thompson M, Bebbington P. (2005) “Randomised controlled trial of acute mental health care by a crisis resolution team: the north Islington crisis study” </w:t>
      </w:r>
      <w:r w:rsidRPr="00E2564C">
        <w:rPr>
          <w:rFonts w:eastAsia="Calibri" w:cs="Times New Roman"/>
          <w:i/>
          <w:sz w:val="24"/>
          <w:szCs w:val="24"/>
        </w:rPr>
        <w:t>British Medical Journal</w:t>
      </w:r>
      <w:r w:rsidRPr="00E2564C">
        <w:rPr>
          <w:rFonts w:eastAsia="Calibri" w:cs="Times New Roman"/>
          <w:sz w:val="24"/>
          <w:szCs w:val="24"/>
        </w:rPr>
        <w:t>, 331(7517):599.</w:t>
      </w:r>
    </w:p>
    <w:p w:rsidR="00077C80" w:rsidRPr="00E2564C" w:rsidRDefault="00077C80" w:rsidP="00077C80">
      <w:pPr>
        <w:jc w:val="both"/>
        <w:rPr>
          <w:sz w:val="24"/>
          <w:szCs w:val="24"/>
        </w:rPr>
      </w:pPr>
      <w:r w:rsidRPr="00E2564C">
        <w:rPr>
          <w:sz w:val="24"/>
          <w:szCs w:val="24"/>
        </w:rPr>
        <w:t>Johnson,S. and Thornicroft,G. (2008) “The development of crisis resolution and home treatment teams” in Johnson,S. Needle,J. Bindman,J and Thornicroft,G. “Crisis resolution and home treatment in mental health” pp 9-22 Cambridge University Press, Cambridge</w:t>
      </w:r>
    </w:p>
    <w:p w:rsidR="00007F5B" w:rsidRPr="00E2564C" w:rsidRDefault="00007F5B" w:rsidP="00007F5B">
      <w:pPr>
        <w:jc w:val="both"/>
        <w:rPr>
          <w:sz w:val="24"/>
          <w:szCs w:val="24"/>
        </w:rPr>
      </w:pPr>
      <w:r w:rsidRPr="00E2564C">
        <w:rPr>
          <w:sz w:val="24"/>
          <w:szCs w:val="24"/>
        </w:rPr>
        <w:t xml:space="preserve">Johnson, S., Gilburt, H., Lloyd-Evans, B., Boardman, H., Leese, M., Osborn, D., Shepherd, G., Thornicroft, G. and Slade, M. (2009) “Alternatives to hospital admission: emerging models and populations served.”  </w:t>
      </w:r>
      <w:r w:rsidRPr="00E2564C">
        <w:rPr>
          <w:i/>
          <w:iCs/>
          <w:sz w:val="24"/>
          <w:szCs w:val="24"/>
        </w:rPr>
        <w:t>British Journal of Psychiatry</w:t>
      </w:r>
      <w:r w:rsidRPr="00E2564C">
        <w:rPr>
          <w:sz w:val="24"/>
          <w:szCs w:val="24"/>
        </w:rPr>
        <w:t xml:space="preserve"> vol 194(5) pp 456-463</w:t>
      </w:r>
    </w:p>
    <w:p w:rsidR="00077C80" w:rsidRDefault="00077C80" w:rsidP="00077C80">
      <w:pPr>
        <w:jc w:val="both"/>
        <w:rPr>
          <w:sz w:val="24"/>
          <w:szCs w:val="24"/>
        </w:rPr>
      </w:pPr>
      <w:r>
        <w:rPr>
          <w:sz w:val="24"/>
          <w:szCs w:val="24"/>
        </w:rPr>
        <w:t xml:space="preserve">Johnson,S. (2013) “Crisis Resolution and Home Treatment Teams: an evolving model” </w:t>
      </w:r>
      <w:r>
        <w:rPr>
          <w:i/>
          <w:sz w:val="24"/>
          <w:szCs w:val="24"/>
        </w:rPr>
        <w:t xml:space="preserve">Advances in Psychiatric Treatment </w:t>
      </w:r>
      <w:r>
        <w:rPr>
          <w:sz w:val="24"/>
          <w:szCs w:val="24"/>
        </w:rPr>
        <w:t>19(2) 115-123</w:t>
      </w:r>
    </w:p>
    <w:p w:rsidR="00E2564C" w:rsidRPr="00E2564C" w:rsidRDefault="00E2564C" w:rsidP="00E2564C">
      <w:pPr>
        <w:jc w:val="both"/>
        <w:rPr>
          <w:sz w:val="24"/>
          <w:szCs w:val="24"/>
        </w:rPr>
      </w:pPr>
      <w:r w:rsidRPr="00E2564C">
        <w:rPr>
          <w:sz w:val="24"/>
          <w:szCs w:val="24"/>
        </w:rPr>
        <w:t>Joint Commissioning Panel for Mental Health (2013) “Guidance for commissioners of acute care – Inpatient and crisis home treatment”</w:t>
      </w:r>
      <w:r w:rsidRPr="00E2564C">
        <w:rPr>
          <w:i/>
          <w:sz w:val="24"/>
          <w:szCs w:val="24"/>
        </w:rPr>
        <w:t xml:space="preserve"> </w:t>
      </w:r>
      <w:hyperlink r:id="rId13" w:history="1">
        <w:r w:rsidRPr="00E2564C">
          <w:rPr>
            <w:rStyle w:val="Hyperlink"/>
            <w:sz w:val="24"/>
            <w:szCs w:val="24"/>
          </w:rPr>
          <w:t>http://www.jcpmh.info/wp-content/uploads/jcpmh-acutecare-guide.pdf</w:t>
        </w:r>
      </w:hyperlink>
      <w:r w:rsidRPr="00E2564C">
        <w:rPr>
          <w:sz w:val="24"/>
          <w:szCs w:val="24"/>
        </w:rPr>
        <w:t xml:space="preserve"> Accessed </w:t>
      </w:r>
      <w:r w:rsidR="00567ED6">
        <w:rPr>
          <w:sz w:val="24"/>
          <w:szCs w:val="24"/>
        </w:rPr>
        <w:t>1st July 2016</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Keown,P. Weich,S. Bhui,K. Scott,J. (2011) “Association between provision of mental illness beds and rate of involuntary admissions in the NHS 1988-2008: ecological study” </w:t>
      </w:r>
      <w:r w:rsidRPr="00E2564C">
        <w:rPr>
          <w:rFonts w:eastAsia="Calibri" w:cs="Times New Roman"/>
          <w:i/>
          <w:sz w:val="24"/>
          <w:szCs w:val="24"/>
        </w:rPr>
        <w:t xml:space="preserve">British Medical Journal </w:t>
      </w:r>
      <w:r w:rsidRPr="00E2564C">
        <w:rPr>
          <w:rFonts w:eastAsia="Calibri" w:cs="Times New Roman"/>
          <w:sz w:val="24"/>
          <w:szCs w:val="24"/>
        </w:rPr>
        <w:t>343 d.3736</w:t>
      </w:r>
    </w:p>
    <w:p w:rsidR="00007F5B" w:rsidRPr="00E2564C" w:rsidRDefault="00007F5B" w:rsidP="00007F5B">
      <w:pPr>
        <w:jc w:val="both"/>
        <w:rPr>
          <w:rFonts w:eastAsia="Calibri" w:cs="Times New Roman"/>
          <w:i/>
          <w:sz w:val="24"/>
          <w:szCs w:val="24"/>
        </w:rPr>
      </w:pPr>
      <w:r w:rsidRPr="00E2564C">
        <w:rPr>
          <w:rFonts w:eastAsia="Calibri" w:cs="Times New Roman"/>
          <w:sz w:val="24"/>
          <w:szCs w:val="24"/>
        </w:rPr>
        <w:t xml:space="preserve">Lloyd-Evans,B. &amp; Johnson,S. (2014) “Crisis Resolution Teams: how are they performing” </w:t>
      </w:r>
      <w:r w:rsidRPr="00E2564C">
        <w:rPr>
          <w:rFonts w:eastAsia="Calibri" w:cs="Times New Roman"/>
          <w:i/>
          <w:sz w:val="24"/>
          <w:szCs w:val="24"/>
        </w:rPr>
        <w:t xml:space="preserve">Mental Health Today </w:t>
      </w:r>
      <w:r w:rsidRPr="00E2564C">
        <w:rPr>
          <w:rFonts w:eastAsia="Calibri" w:cs="Times New Roman"/>
          <w:sz w:val="24"/>
          <w:szCs w:val="24"/>
        </w:rPr>
        <w:t>June 2014 pp 18-19</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Lyons C, Hopley P, Burton CR, Horrocks J (2009) “Mental health crisis and respite services: Service user and carer aspirations”</w:t>
      </w:r>
      <w:r w:rsidRPr="00E2564C">
        <w:rPr>
          <w:rFonts w:eastAsia="Calibri" w:cs="Times New Roman"/>
          <w:i/>
          <w:sz w:val="24"/>
          <w:szCs w:val="24"/>
        </w:rPr>
        <w:t xml:space="preserve"> Journal of Psychiatric and Mental Health Nursing </w:t>
      </w:r>
      <w:r w:rsidRPr="00E2564C">
        <w:rPr>
          <w:rFonts w:eastAsia="Calibri" w:cs="Times New Roman"/>
          <w:sz w:val="24"/>
          <w:szCs w:val="24"/>
        </w:rPr>
        <w:t>16(5):424-433.</w:t>
      </w:r>
    </w:p>
    <w:p w:rsidR="00077C80" w:rsidRPr="00E2564C" w:rsidRDefault="00077C80" w:rsidP="00077C80">
      <w:pPr>
        <w:jc w:val="both"/>
        <w:rPr>
          <w:rFonts w:eastAsia="Calibri" w:cs="Times New Roman"/>
          <w:sz w:val="24"/>
          <w:szCs w:val="24"/>
        </w:rPr>
      </w:pPr>
      <w:r w:rsidRPr="00E2564C">
        <w:rPr>
          <w:sz w:val="24"/>
          <w:szCs w:val="24"/>
        </w:rPr>
        <w:t xml:space="preserve">MIND (2011) </w:t>
      </w:r>
      <w:r w:rsidRPr="00565599">
        <w:rPr>
          <w:i/>
          <w:sz w:val="24"/>
          <w:szCs w:val="24"/>
        </w:rPr>
        <w:t>“</w:t>
      </w:r>
      <w:r w:rsidRPr="00565599">
        <w:rPr>
          <w:rFonts w:eastAsia="Calibri" w:cs="Times New Roman"/>
          <w:i/>
          <w:sz w:val="24"/>
          <w:szCs w:val="24"/>
        </w:rPr>
        <w:t xml:space="preserve">Listening to experience: An independent inquiry into acute and crisis mental healthcare” </w:t>
      </w:r>
      <w:r w:rsidRPr="00E2564C">
        <w:rPr>
          <w:rFonts w:eastAsia="Calibri" w:cs="Times New Roman"/>
          <w:sz w:val="24"/>
          <w:szCs w:val="24"/>
        </w:rPr>
        <w:t>MIND</w:t>
      </w:r>
      <w:r w:rsidR="00565599">
        <w:rPr>
          <w:rFonts w:eastAsia="Calibri" w:cs="Times New Roman"/>
          <w:sz w:val="24"/>
          <w:szCs w:val="24"/>
        </w:rPr>
        <w:t>, London</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 xml:space="preserve">McGlynn,P. (2006) </w:t>
      </w:r>
      <w:r w:rsidRPr="00565599">
        <w:rPr>
          <w:rFonts w:eastAsia="Calibri" w:cs="Times New Roman"/>
          <w:i/>
          <w:sz w:val="24"/>
          <w:szCs w:val="24"/>
        </w:rPr>
        <w:t>“Crisis Resolution and Home Treatment: A practical guide”</w:t>
      </w:r>
      <w:r w:rsidRPr="00E2564C">
        <w:rPr>
          <w:rFonts w:eastAsia="Calibri" w:cs="Times New Roman"/>
          <w:sz w:val="24"/>
          <w:szCs w:val="24"/>
        </w:rPr>
        <w:t xml:space="preserve"> </w:t>
      </w:r>
      <w:r w:rsidRPr="00565599">
        <w:rPr>
          <w:rFonts w:eastAsia="Calibri" w:cs="Times New Roman"/>
          <w:sz w:val="24"/>
          <w:szCs w:val="24"/>
        </w:rPr>
        <w:t>Sainsbury Centre for Mental Health</w:t>
      </w:r>
      <w:r w:rsidR="00565599">
        <w:rPr>
          <w:rFonts w:eastAsia="Calibri" w:cs="Times New Roman"/>
          <w:sz w:val="24"/>
          <w:szCs w:val="24"/>
        </w:rPr>
        <w:t>, London</w:t>
      </w:r>
    </w:p>
    <w:p w:rsidR="00534169" w:rsidRDefault="00534169" w:rsidP="00007F5B">
      <w:pPr>
        <w:jc w:val="both"/>
        <w:rPr>
          <w:rFonts w:eastAsia="Calibri" w:cs="Times New Roman"/>
          <w:sz w:val="24"/>
          <w:szCs w:val="24"/>
        </w:rPr>
      </w:pPr>
      <w:r>
        <w:rPr>
          <w:rFonts w:eastAsia="Calibri" w:cs="Times New Roman"/>
          <w:sz w:val="24"/>
          <w:szCs w:val="24"/>
        </w:rPr>
        <w:t>McNicol</w:t>
      </w:r>
      <w:r w:rsidR="003E7D4F">
        <w:rPr>
          <w:rFonts w:eastAsia="Calibri" w:cs="Times New Roman"/>
          <w:sz w:val="24"/>
          <w:szCs w:val="24"/>
        </w:rPr>
        <w:t>l</w:t>
      </w:r>
      <w:r>
        <w:rPr>
          <w:rFonts w:eastAsia="Calibri" w:cs="Times New Roman"/>
          <w:sz w:val="24"/>
          <w:szCs w:val="24"/>
        </w:rPr>
        <w:t>,A. (2016) “Mental Health Crisis Teams given too many high risk cases” Community Care 10</w:t>
      </w:r>
      <w:r w:rsidRPr="00534169">
        <w:rPr>
          <w:rFonts w:eastAsia="Calibri" w:cs="Times New Roman"/>
          <w:sz w:val="24"/>
          <w:szCs w:val="24"/>
          <w:vertAlign w:val="superscript"/>
        </w:rPr>
        <w:t>th</w:t>
      </w:r>
      <w:r>
        <w:rPr>
          <w:rFonts w:eastAsia="Calibri" w:cs="Times New Roman"/>
          <w:sz w:val="24"/>
          <w:szCs w:val="24"/>
        </w:rPr>
        <w:t xml:space="preserve"> June 2016 (web resource) </w:t>
      </w:r>
      <w:hyperlink r:id="rId14" w:history="1">
        <w:r w:rsidRPr="00DC5DBB">
          <w:rPr>
            <w:rStyle w:val="Hyperlink"/>
            <w:rFonts w:eastAsia="Calibri" w:cs="Times New Roman"/>
            <w:sz w:val="24"/>
            <w:szCs w:val="24"/>
          </w:rPr>
          <w:t>http://www.communitycare.co.uk/2016/10/06/mental-health-crisis-teams-given-many-high-risk-cases/</w:t>
        </w:r>
      </w:hyperlink>
      <w:r>
        <w:rPr>
          <w:rFonts w:eastAsia="Calibri" w:cs="Times New Roman"/>
          <w:sz w:val="24"/>
          <w:szCs w:val="24"/>
        </w:rPr>
        <w:t xml:space="preserve"> [Accessed 12/10/16]</w:t>
      </w:r>
    </w:p>
    <w:p w:rsidR="00007F5B" w:rsidRPr="00E2564C" w:rsidRDefault="00007F5B" w:rsidP="00007F5B">
      <w:pPr>
        <w:jc w:val="both"/>
        <w:rPr>
          <w:rFonts w:eastAsia="Calibri" w:cs="Times New Roman"/>
          <w:sz w:val="24"/>
          <w:szCs w:val="24"/>
        </w:rPr>
      </w:pPr>
      <w:r w:rsidRPr="00E2564C">
        <w:rPr>
          <w:rFonts w:eastAsia="Calibri" w:cs="Times New Roman"/>
          <w:sz w:val="24"/>
          <w:szCs w:val="24"/>
        </w:rPr>
        <w:t>Mueser, K.T., Torrey, W.C., Lynde, D., Singer, P., &amp; Drake, R.E. (2003). “Implementing evidence-based practices for people with severe mental illness” </w:t>
      </w:r>
      <w:r w:rsidRPr="00E2564C">
        <w:rPr>
          <w:rFonts w:eastAsia="Calibri" w:cs="Times New Roman"/>
          <w:i/>
          <w:iCs/>
          <w:sz w:val="24"/>
          <w:szCs w:val="24"/>
        </w:rPr>
        <w:t>Behavior Modification, 27</w:t>
      </w:r>
      <w:r w:rsidRPr="00E2564C">
        <w:rPr>
          <w:rFonts w:eastAsia="Calibri" w:cs="Times New Roman"/>
          <w:sz w:val="24"/>
          <w:szCs w:val="24"/>
        </w:rPr>
        <w:t>, 387-411 </w:t>
      </w:r>
    </w:p>
    <w:p w:rsidR="00E2564C" w:rsidRPr="006D4F2E" w:rsidRDefault="006D4F2E" w:rsidP="00E2564C">
      <w:pPr>
        <w:jc w:val="both"/>
        <w:rPr>
          <w:sz w:val="24"/>
          <w:szCs w:val="24"/>
        </w:rPr>
      </w:pPr>
      <w:r w:rsidRPr="006D4F2E">
        <w:rPr>
          <w:iCs/>
          <w:sz w:val="24"/>
          <w:szCs w:val="24"/>
        </w:rPr>
        <w:t xml:space="preserve">Murphy SM, Irving CB, Adams CE, Waqar M. </w:t>
      </w:r>
      <w:r>
        <w:rPr>
          <w:iCs/>
          <w:sz w:val="24"/>
          <w:szCs w:val="24"/>
        </w:rPr>
        <w:t xml:space="preserve">(2015) </w:t>
      </w:r>
      <w:r w:rsidRPr="006D4F2E">
        <w:rPr>
          <w:iCs/>
          <w:sz w:val="24"/>
          <w:szCs w:val="24"/>
        </w:rPr>
        <w:t xml:space="preserve">Crisis intervention for people with severe mental illnesses. </w:t>
      </w:r>
      <w:r w:rsidRPr="006D4F2E">
        <w:rPr>
          <w:i/>
          <w:iCs/>
          <w:sz w:val="24"/>
          <w:szCs w:val="24"/>
        </w:rPr>
        <w:t>Cochrane Database of Systematic Reviews</w:t>
      </w:r>
      <w:r w:rsidRPr="006D4F2E">
        <w:rPr>
          <w:iCs/>
          <w:sz w:val="24"/>
          <w:szCs w:val="24"/>
        </w:rPr>
        <w:t xml:space="preserve"> Issue 12. Art. No.: CD001087. DOI: 10.1002/14651858.CD001087.pub5.</w:t>
      </w:r>
    </w:p>
    <w:p w:rsidR="00007F5B" w:rsidRPr="00E2564C" w:rsidRDefault="00007F5B" w:rsidP="00007F5B">
      <w:pPr>
        <w:jc w:val="both"/>
        <w:rPr>
          <w:sz w:val="24"/>
          <w:szCs w:val="24"/>
        </w:rPr>
      </w:pPr>
      <w:r w:rsidRPr="00E2564C">
        <w:rPr>
          <w:sz w:val="24"/>
          <w:szCs w:val="24"/>
        </w:rPr>
        <w:t xml:space="preserve">National Audit Office (2007) </w:t>
      </w:r>
      <w:r w:rsidRPr="00007F5B">
        <w:rPr>
          <w:i/>
          <w:sz w:val="24"/>
          <w:szCs w:val="24"/>
        </w:rPr>
        <w:t>Helping people through mental health crisis: The role of Crisis Resolution and Home Treatment Services”</w:t>
      </w:r>
      <w:r>
        <w:rPr>
          <w:sz w:val="24"/>
          <w:szCs w:val="24"/>
        </w:rPr>
        <w:t xml:space="preserve"> National Audit Office, Londo</w:t>
      </w:r>
      <w:r w:rsidRPr="00E2564C">
        <w:rPr>
          <w:sz w:val="24"/>
          <w:szCs w:val="24"/>
        </w:rPr>
        <w:t xml:space="preserve">National Mental Health Development Unit (2010) </w:t>
      </w:r>
      <w:r w:rsidRPr="00007F5B">
        <w:rPr>
          <w:i/>
          <w:sz w:val="24"/>
          <w:szCs w:val="24"/>
        </w:rPr>
        <w:t>“Getting the medicines right 2: Medicines Management in Mental Health and Crisis Resolution and Home Treatment Teams”</w:t>
      </w:r>
      <w:r w:rsidRPr="00E2564C">
        <w:rPr>
          <w:sz w:val="24"/>
          <w:szCs w:val="24"/>
        </w:rPr>
        <w:t xml:space="preserve"> </w:t>
      </w:r>
      <w:r w:rsidRPr="00E2564C">
        <w:rPr>
          <w:i/>
          <w:sz w:val="24"/>
          <w:szCs w:val="24"/>
        </w:rPr>
        <w:t xml:space="preserve"> </w:t>
      </w:r>
      <w:r w:rsidRPr="00E2564C">
        <w:rPr>
          <w:sz w:val="24"/>
          <w:szCs w:val="24"/>
        </w:rPr>
        <w:t>National Menta</w:t>
      </w:r>
      <w:r>
        <w:rPr>
          <w:sz w:val="24"/>
          <w:szCs w:val="24"/>
        </w:rPr>
        <w:t>l Health Development Unit, London</w:t>
      </w:r>
    </w:p>
    <w:p w:rsidR="00007F5B" w:rsidRDefault="00E2564C" w:rsidP="00E2564C">
      <w:pPr>
        <w:jc w:val="both"/>
        <w:rPr>
          <w:sz w:val="24"/>
          <w:szCs w:val="24"/>
        </w:rPr>
      </w:pPr>
      <w:r w:rsidRPr="00E2564C">
        <w:rPr>
          <w:sz w:val="24"/>
          <w:szCs w:val="24"/>
        </w:rPr>
        <w:t>Onyett S, Linde K, Glover G, Loyd S, Bradley S, Middleton H. (2008) “Implementation of crisis resolution/home treatment teams in England: national survey 2005 -2006”</w:t>
      </w:r>
      <w:r w:rsidRPr="00E2564C">
        <w:rPr>
          <w:i/>
          <w:sz w:val="24"/>
          <w:szCs w:val="24"/>
        </w:rPr>
        <w:t xml:space="preserve"> Psychiatric Bulletin</w:t>
      </w:r>
      <w:r w:rsidR="00007F5B">
        <w:rPr>
          <w:sz w:val="24"/>
          <w:szCs w:val="24"/>
        </w:rPr>
        <w:t xml:space="preserve">  32:374-377.</w:t>
      </w:r>
    </w:p>
    <w:p w:rsidR="004B424F" w:rsidRPr="004B424F" w:rsidRDefault="004B424F" w:rsidP="00E2564C">
      <w:pPr>
        <w:jc w:val="both"/>
        <w:rPr>
          <w:sz w:val="24"/>
          <w:szCs w:val="24"/>
        </w:rPr>
      </w:pPr>
      <w:r>
        <w:rPr>
          <w:sz w:val="24"/>
          <w:szCs w:val="24"/>
        </w:rPr>
        <w:t xml:space="preserve">Pelosi,A. and Jackson,G. (2000) “Home treatment – enigmas and fantasies” </w:t>
      </w:r>
      <w:r>
        <w:rPr>
          <w:i/>
          <w:sz w:val="24"/>
          <w:szCs w:val="24"/>
        </w:rPr>
        <w:t xml:space="preserve">British Medical Journal </w:t>
      </w:r>
      <w:r>
        <w:rPr>
          <w:sz w:val="24"/>
          <w:szCs w:val="24"/>
        </w:rPr>
        <w:t>320: 308-316</w:t>
      </w:r>
    </w:p>
    <w:p w:rsidR="006D4F2E" w:rsidRPr="008D2EA8" w:rsidRDefault="006D4F2E" w:rsidP="00007F5B">
      <w:pPr>
        <w:rPr>
          <w:sz w:val="24"/>
          <w:szCs w:val="24"/>
        </w:rPr>
      </w:pPr>
      <w:r>
        <w:rPr>
          <w:sz w:val="24"/>
          <w:szCs w:val="24"/>
        </w:rPr>
        <w:t>Reynolds</w:t>
      </w:r>
      <w:r w:rsidR="000E4292">
        <w:rPr>
          <w:sz w:val="24"/>
          <w:szCs w:val="24"/>
        </w:rPr>
        <w:t>,I. Jones,J. Berry,D. Hoult,J.</w:t>
      </w:r>
      <w:r>
        <w:rPr>
          <w:sz w:val="24"/>
          <w:szCs w:val="24"/>
        </w:rPr>
        <w:t xml:space="preserve"> (1990)</w:t>
      </w:r>
      <w:r w:rsidR="000E4292">
        <w:rPr>
          <w:sz w:val="24"/>
          <w:szCs w:val="24"/>
        </w:rPr>
        <w:t xml:space="preserve"> “A crisis team for the mentally ill: the effect on patients, relatives and admissions”</w:t>
      </w:r>
      <w:r w:rsidR="008D2EA8">
        <w:rPr>
          <w:sz w:val="24"/>
          <w:szCs w:val="24"/>
        </w:rPr>
        <w:t xml:space="preserve"> </w:t>
      </w:r>
      <w:r w:rsidR="008D2EA8">
        <w:rPr>
          <w:i/>
          <w:sz w:val="24"/>
          <w:szCs w:val="24"/>
        </w:rPr>
        <w:t xml:space="preserve">Medical Journal of Australia </w:t>
      </w:r>
      <w:r w:rsidR="008D2EA8">
        <w:rPr>
          <w:sz w:val="24"/>
          <w:szCs w:val="24"/>
        </w:rPr>
        <w:t>152 p 646-52</w:t>
      </w:r>
    </w:p>
    <w:p w:rsidR="008D2EA8" w:rsidRPr="008D2EA8" w:rsidRDefault="00111FB3" w:rsidP="00007F5B">
      <w:pPr>
        <w:rPr>
          <w:sz w:val="24"/>
          <w:szCs w:val="24"/>
        </w:rPr>
      </w:pPr>
      <w:r>
        <w:rPr>
          <w:sz w:val="24"/>
          <w:szCs w:val="24"/>
        </w:rPr>
        <w:t>Royal College of Psyc</w:t>
      </w:r>
      <w:r w:rsidR="008D2EA8">
        <w:rPr>
          <w:sz w:val="24"/>
          <w:szCs w:val="24"/>
        </w:rPr>
        <w:t xml:space="preserve">hiatrists (2016) </w:t>
      </w:r>
      <w:r w:rsidR="008D2EA8">
        <w:rPr>
          <w:i/>
          <w:sz w:val="24"/>
          <w:szCs w:val="24"/>
        </w:rPr>
        <w:t xml:space="preserve">“Old problems, new solutions: improving acute psychiatric care for adults in England” </w:t>
      </w:r>
      <w:r w:rsidR="008D2EA8">
        <w:rPr>
          <w:sz w:val="24"/>
          <w:szCs w:val="24"/>
        </w:rPr>
        <w:t xml:space="preserve">Royal College of Psychiatrists, London (web resource) </w:t>
      </w:r>
      <w:hyperlink r:id="rId15" w:history="1">
        <w:r w:rsidR="008D2EA8" w:rsidRPr="00DC5DBB">
          <w:rPr>
            <w:rStyle w:val="Hyperlink"/>
            <w:sz w:val="24"/>
            <w:szCs w:val="24"/>
          </w:rPr>
          <w:t>http://media.wix.com/ugd/0e662e_aaca63ae4737410e9e2873dfde849841.pdf</w:t>
        </w:r>
      </w:hyperlink>
      <w:r w:rsidR="008D2EA8">
        <w:rPr>
          <w:sz w:val="24"/>
          <w:szCs w:val="24"/>
        </w:rPr>
        <w:t xml:space="preserve"> [Accessed 12/10/16]</w:t>
      </w:r>
    </w:p>
    <w:p w:rsidR="00007F5B" w:rsidRDefault="00007F5B" w:rsidP="00007F5B">
      <w:pPr>
        <w:rPr>
          <w:sz w:val="24"/>
          <w:szCs w:val="24"/>
        </w:rPr>
      </w:pPr>
      <w:r>
        <w:rPr>
          <w:sz w:val="24"/>
          <w:szCs w:val="24"/>
        </w:rPr>
        <w:t>Sandstrom,B. Willman,A. Svennson,B. Borglin,G. (2013) “</w:t>
      </w:r>
      <w:r w:rsidRPr="00C6537E">
        <w:rPr>
          <w:sz w:val="24"/>
          <w:szCs w:val="24"/>
        </w:rPr>
        <w:t>Perceptions of national guidelines and their (non) implementation in mental healthcare: a deductive and inductive content analysis</w:t>
      </w:r>
      <w:r>
        <w:rPr>
          <w:sz w:val="24"/>
          <w:szCs w:val="24"/>
        </w:rPr>
        <w:t xml:space="preserve">” </w:t>
      </w:r>
      <w:r>
        <w:rPr>
          <w:i/>
          <w:sz w:val="24"/>
          <w:szCs w:val="24"/>
        </w:rPr>
        <w:t xml:space="preserve">Implementation Science </w:t>
      </w:r>
      <w:r>
        <w:rPr>
          <w:sz w:val="24"/>
          <w:szCs w:val="24"/>
        </w:rPr>
        <w:t xml:space="preserve">10(43) </w:t>
      </w:r>
      <w:r>
        <w:t>DOI 10.1186/s13012-015-0234-0</w:t>
      </w:r>
      <w:r>
        <w:rPr>
          <w:sz w:val="24"/>
          <w:szCs w:val="24"/>
        </w:rPr>
        <w:t xml:space="preserve">  </w:t>
      </w:r>
    </w:p>
    <w:p w:rsidR="006D4F2E" w:rsidRPr="000E4292" w:rsidRDefault="006D4F2E" w:rsidP="00007F5B">
      <w:pPr>
        <w:jc w:val="both"/>
        <w:rPr>
          <w:sz w:val="24"/>
          <w:szCs w:val="24"/>
        </w:rPr>
      </w:pPr>
      <w:r>
        <w:rPr>
          <w:sz w:val="24"/>
          <w:szCs w:val="24"/>
        </w:rPr>
        <w:t>Stein</w:t>
      </w:r>
      <w:r w:rsidR="000E4292">
        <w:rPr>
          <w:sz w:val="24"/>
          <w:szCs w:val="24"/>
        </w:rPr>
        <w:t>,L.</w:t>
      </w:r>
      <w:r>
        <w:rPr>
          <w:sz w:val="24"/>
          <w:szCs w:val="24"/>
        </w:rPr>
        <w:t xml:space="preserve"> and Test</w:t>
      </w:r>
      <w:r w:rsidR="000E4292">
        <w:rPr>
          <w:sz w:val="24"/>
          <w:szCs w:val="24"/>
        </w:rPr>
        <w:t>,M.</w:t>
      </w:r>
      <w:r>
        <w:rPr>
          <w:sz w:val="24"/>
          <w:szCs w:val="24"/>
        </w:rPr>
        <w:t xml:space="preserve"> (1980)</w:t>
      </w:r>
      <w:r w:rsidR="000E4292">
        <w:rPr>
          <w:sz w:val="24"/>
          <w:szCs w:val="24"/>
        </w:rPr>
        <w:t xml:space="preserve"> “Alternatives to mental hospital treatment 1: Conceptual model, treatment program and clinical evaluation” </w:t>
      </w:r>
      <w:r w:rsidR="000E4292">
        <w:rPr>
          <w:i/>
          <w:sz w:val="24"/>
          <w:szCs w:val="24"/>
        </w:rPr>
        <w:t xml:space="preserve">Archives of General Psychiatry </w:t>
      </w:r>
      <w:r w:rsidR="000E4292">
        <w:rPr>
          <w:sz w:val="24"/>
          <w:szCs w:val="24"/>
        </w:rPr>
        <w:t>37 p392-7</w:t>
      </w:r>
    </w:p>
    <w:p w:rsidR="006D4F2E" w:rsidRDefault="006D4F2E" w:rsidP="00007F5B">
      <w:pPr>
        <w:jc w:val="both"/>
        <w:rPr>
          <w:sz w:val="24"/>
          <w:szCs w:val="24"/>
        </w:rPr>
      </w:pPr>
      <w:r>
        <w:rPr>
          <w:sz w:val="24"/>
          <w:szCs w:val="24"/>
        </w:rPr>
        <w:t>Stein</w:t>
      </w:r>
      <w:r w:rsidR="000E4292">
        <w:rPr>
          <w:sz w:val="24"/>
          <w:szCs w:val="24"/>
        </w:rPr>
        <w:t>,L.</w:t>
      </w:r>
      <w:r>
        <w:rPr>
          <w:sz w:val="24"/>
          <w:szCs w:val="24"/>
        </w:rPr>
        <w:t xml:space="preserve"> (1991)</w:t>
      </w:r>
      <w:r w:rsidR="000E4292">
        <w:rPr>
          <w:sz w:val="24"/>
          <w:szCs w:val="24"/>
        </w:rPr>
        <w:t xml:space="preserve"> </w:t>
      </w:r>
      <w:r w:rsidR="000E4292" w:rsidRPr="000E4292">
        <w:rPr>
          <w:i/>
          <w:sz w:val="24"/>
          <w:szCs w:val="24"/>
        </w:rPr>
        <w:t>“A systems approach to the treatment of chronic mental illness”</w:t>
      </w:r>
      <w:r w:rsidR="000E4292">
        <w:rPr>
          <w:sz w:val="24"/>
          <w:szCs w:val="24"/>
        </w:rPr>
        <w:t xml:space="preserve"> </w:t>
      </w:r>
      <w:r w:rsidR="000E4292">
        <w:rPr>
          <w:rFonts w:eastAsia="Calibri" w:cs="Times New Roman"/>
          <w:sz w:val="24"/>
          <w:szCs w:val="24"/>
        </w:rPr>
        <w:t>in the Closure of Mental Hospitals ed. P.Hall and I. Brockington p 99-106 London, Gaskell</w:t>
      </w:r>
    </w:p>
    <w:p w:rsidR="00007F5B" w:rsidRPr="00E2564C" w:rsidRDefault="00007F5B" w:rsidP="00007F5B">
      <w:pPr>
        <w:jc w:val="both"/>
        <w:rPr>
          <w:sz w:val="24"/>
          <w:szCs w:val="24"/>
        </w:rPr>
      </w:pPr>
      <w:r w:rsidRPr="00E2564C">
        <w:rPr>
          <w:sz w:val="24"/>
          <w:szCs w:val="24"/>
        </w:rPr>
        <w:t xml:space="preserve">Tansella,M &amp; Thornicroft,G. (2009) “Implementation science: understanding the translation of evidence into practice” </w:t>
      </w:r>
      <w:r w:rsidRPr="00E2564C">
        <w:rPr>
          <w:i/>
          <w:sz w:val="24"/>
          <w:szCs w:val="24"/>
        </w:rPr>
        <w:t>British Journal of Psychiatry</w:t>
      </w:r>
      <w:r w:rsidRPr="00E2564C">
        <w:rPr>
          <w:sz w:val="24"/>
          <w:szCs w:val="24"/>
        </w:rPr>
        <w:t xml:space="preserve"> 195: 283-285</w:t>
      </w:r>
    </w:p>
    <w:p w:rsidR="00E2564C" w:rsidRPr="00E2564C" w:rsidRDefault="00E2564C" w:rsidP="00E2564C">
      <w:pPr>
        <w:jc w:val="both"/>
        <w:rPr>
          <w:sz w:val="24"/>
          <w:szCs w:val="24"/>
        </w:rPr>
      </w:pPr>
      <w:r w:rsidRPr="00E2564C">
        <w:rPr>
          <w:sz w:val="24"/>
          <w:szCs w:val="24"/>
        </w:rPr>
        <w:t xml:space="preserve">Teague, G., G. R. Bond, and R. E. Drake (1998) “Program fidelity in assertive community treatment: Development and use of a measure” </w:t>
      </w:r>
      <w:r w:rsidRPr="00E2564C">
        <w:rPr>
          <w:i/>
          <w:sz w:val="24"/>
          <w:szCs w:val="24"/>
        </w:rPr>
        <w:t>American Journal of Orthopsychiatry</w:t>
      </w:r>
      <w:r w:rsidRPr="00E2564C">
        <w:rPr>
          <w:sz w:val="24"/>
          <w:szCs w:val="24"/>
        </w:rPr>
        <w:t xml:space="preserve"> 68 (2): 216-32</w:t>
      </w:r>
    </w:p>
    <w:p w:rsidR="00E2564C" w:rsidRPr="00E2564C" w:rsidRDefault="00E2564C" w:rsidP="00E2564C">
      <w:pPr>
        <w:jc w:val="both"/>
        <w:rPr>
          <w:sz w:val="24"/>
          <w:szCs w:val="24"/>
        </w:rPr>
      </w:pPr>
      <w:r w:rsidRPr="00E2564C">
        <w:rPr>
          <w:bCs/>
          <w:sz w:val="24"/>
          <w:szCs w:val="24"/>
        </w:rPr>
        <w:t xml:space="preserve">Torrey,W.C. Drake RE, Dixon L, Burns BJ, Flynn L, Rush AJ, Clark RE, Klatzker,D. </w:t>
      </w:r>
      <w:r w:rsidR="00567ED6">
        <w:rPr>
          <w:bCs/>
          <w:sz w:val="24"/>
          <w:szCs w:val="24"/>
        </w:rPr>
        <w:t xml:space="preserve">(2001) </w:t>
      </w:r>
      <w:r w:rsidRPr="00E2564C">
        <w:rPr>
          <w:bCs/>
          <w:sz w:val="24"/>
          <w:szCs w:val="24"/>
        </w:rPr>
        <w:t xml:space="preserve">“Implementing evidence-based practices for persons with severe mental illnesses” </w:t>
      </w:r>
      <w:r w:rsidRPr="00E2564C">
        <w:rPr>
          <w:bCs/>
          <w:i/>
          <w:sz w:val="24"/>
          <w:szCs w:val="24"/>
        </w:rPr>
        <w:t>Psychiatric Services</w:t>
      </w:r>
      <w:r w:rsidRPr="00E2564C">
        <w:rPr>
          <w:bCs/>
          <w:sz w:val="24"/>
          <w:szCs w:val="24"/>
        </w:rPr>
        <w:t xml:space="preserve"> 52(1): 45-50.</w:t>
      </w:r>
    </w:p>
    <w:p w:rsidR="00077C80" w:rsidRPr="00077C80" w:rsidRDefault="00077C80" w:rsidP="00077C80">
      <w:pPr>
        <w:jc w:val="both"/>
        <w:rPr>
          <w:bCs/>
          <w:sz w:val="24"/>
          <w:szCs w:val="24"/>
        </w:rPr>
      </w:pPr>
      <w:r w:rsidRPr="00E2564C">
        <w:rPr>
          <w:sz w:val="24"/>
          <w:szCs w:val="24"/>
        </w:rPr>
        <w:t>Wheeler,C. Lloyd-Evans,B. Churchard,A. et al. (2015) “</w:t>
      </w:r>
      <w:r w:rsidRPr="00E2564C">
        <w:rPr>
          <w:bCs/>
          <w:sz w:val="24"/>
          <w:szCs w:val="24"/>
        </w:rPr>
        <w:t xml:space="preserve">Implementation of the Crisis Resolution Team model in adult mental health settings: a systematic review” </w:t>
      </w:r>
      <w:r w:rsidRPr="00E2564C">
        <w:rPr>
          <w:bCs/>
          <w:i/>
          <w:sz w:val="24"/>
          <w:szCs w:val="24"/>
        </w:rPr>
        <w:t xml:space="preserve">BMC Psychiatry </w:t>
      </w:r>
      <w:r w:rsidRPr="00E2564C">
        <w:rPr>
          <w:bCs/>
          <w:sz w:val="24"/>
          <w:szCs w:val="24"/>
        </w:rPr>
        <w:t>15:74</w:t>
      </w:r>
      <w:r>
        <w:rPr>
          <w:bCs/>
          <w:sz w:val="24"/>
          <w:szCs w:val="24"/>
        </w:rPr>
        <w:t>  doi:10.1186/s12888-015-0441-x</w:t>
      </w:r>
    </w:p>
    <w:p w:rsidR="004A0257" w:rsidRDefault="00C6537E" w:rsidP="00D64A96">
      <w:pPr>
        <w:rPr>
          <w:sz w:val="24"/>
          <w:szCs w:val="24"/>
        </w:rPr>
        <w:sectPr w:rsidR="004A0257">
          <w:footerReference w:type="default" r:id="rId16"/>
          <w:pgSz w:w="11906" w:h="16838"/>
          <w:pgMar w:top="1440" w:right="1440" w:bottom="1440" w:left="1440" w:header="708" w:footer="708" w:gutter="0"/>
          <w:cols w:space="708"/>
          <w:docGrid w:linePitch="360"/>
        </w:sectPr>
      </w:pPr>
      <w:r>
        <w:rPr>
          <w:sz w:val="24"/>
          <w:szCs w:val="24"/>
        </w:rPr>
        <w:t xml:space="preserve">World Health Organisation (2008) “Scaling up health services: challenges and choices” </w:t>
      </w:r>
      <w:r w:rsidR="00132C7C">
        <w:rPr>
          <w:sz w:val="24"/>
          <w:szCs w:val="24"/>
        </w:rPr>
        <w:t>(World Health Organisation Technical Brief number 3 – June 12</w:t>
      </w:r>
      <w:r w:rsidR="00132C7C" w:rsidRPr="00132C7C">
        <w:rPr>
          <w:sz w:val="24"/>
          <w:szCs w:val="24"/>
          <w:vertAlign w:val="superscript"/>
        </w:rPr>
        <w:t>th</w:t>
      </w:r>
      <w:r w:rsidR="00132C7C">
        <w:rPr>
          <w:sz w:val="24"/>
          <w:szCs w:val="24"/>
        </w:rPr>
        <w:t xml:space="preserve"> 2008) web resource: </w:t>
      </w:r>
      <w:hyperlink r:id="rId17" w:history="1">
        <w:r w:rsidR="00132C7C" w:rsidRPr="007340C0">
          <w:rPr>
            <w:rStyle w:val="Hyperlink"/>
            <w:sz w:val="24"/>
            <w:szCs w:val="24"/>
          </w:rPr>
          <w:t>http://www.who.int/healthsystems/topics/delivery/technical_brief_scale-up_june12.pdf</w:t>
        </w:r>
      </w:hyperlink>
      <w:r w:rsidR="00132C7C">
        <w:rPr>
          <w:sz w:val="24"/>
          <w:szCs w:val="24"/>
        </w:rPr>
        <w:t xml:space="preserve"> [Accessed 5th April 2016]</w:t>
      </w:r>
      <w:r w:rsidR="00132C7C" w:rsidRPr="00132C7C">
        <w:rPr>
          <w:sz w:val="24"/>
          <w:szCs w:val="24"/>
        </w:rPr>
        <w:t xml:space="preserve"> </w:t>
      </w:r>
      <w:r w:rsidR="00132C7C">
        <w:rPr>
          <w:sz w:val="24"/>
          <w:szCs w:val="24"/>
        </w:rPr>
        <w:t xml:space="preserve"> </w:t>
      </w:r>
      <w:r w:rsidR="00EA5B71">
        <w:rPr>
          <w:sz w:val="24"/>
          <w:szCs w:val="24"/>
        </w:rPr>
        <w:br w:type="page"/>
      </w:r>
    </w:p>
    <w:p w:rsidR="00EA5B71" w:rsidRPr="005606C9" w:rsidRDefault="00EA5B71" w:rsidP="00647F09">
      <w:pPr>
        <w:jc w:val="both"/>
        <w:rPr>
          <w:b/>
          <w:sz w:val="20"/>
          <w:szCs w:val="20"/>
        </w:rPr>
      </w:pPr>
      <w:r w:rsidRPr="005606C9">
        <w:rPr>
          <w:b/>
          <w:sz w:val="20"/>
          <w:szCs w:val="20"/>
        </w:rPr>
        <w:t xml:space="preserve">Table 1: </w:t>
      </w:r>
      <w:r w:rsidR="004575B3">
        <w:rPr>
          <w:b/>
          <w:sz w:val="20"/>
          <w:szCs w:val="20"/>
        </w:rPr>
        <w:t xml:space="preserve">Survey </w:t>
      </w:r>
      <w:r w:rsidRPr="005606C9">
        <w:rPr>
          <w:b/>
          <w:sz w:val="20"/>
          <w:szCs w:val="20"/>
        </w:rPr>
        <w:t>responses used to assess adherence to DH guidance for CRTs</w:t>
      </w:r>
    </w:p>
    <w:tbl>
      <w:tblPr>
        <w:tblStyle w:val="TableGrid"/>
        <w:tblW w:w="13858" w:type="dxa"/>
        <w:tblLook w:val="04A0" w:firstRow="1" w:lastRow="0" w:firstColumn="1" w:lastColumn="0" w:noHBand="0" w:noVBand="1"/>
      </w:tblPr>
      <w:tblGrid>
        <w:gridCol w:w="4644"/>
        <w:gridCol w:w="6096"/>
        <w:gridCol w:w="1559"/>
        <w:gridCol w:w="1559"/>
      </w:tblGrid>
      <w:tr w:rsidR="00BF76B3" w:rsidRPr="00896511" w:rsidTr="00D64A96">
        <w:tc>
          <w:tcPr>
            <w:tcW w:w="4644" w:type="dxa"/>
          </w:tcPr>
          <w:p w:rsidR="00BF76B3" w:rsidRPr="00896511" w:rsidRDefault="00BF76B3" w:rsidP="00647F09">
            <w:pPr>
              <w:jc w:val="both"/>
              <w:rPr>
                <w:sz w:val="20"/>
                <w:szCs w:val="20"/>
              </w:rPr>
            </w:pPr>
            <w:r w:rsidRPr="00896511">
              <w:rPr>
                <w:sz w:val="20"/>
                <w:szCs w:val="20"/>
              </w:rPr>
              <w:t>DH recommendation*</w:t>
            </w:r>
          </w:p>
        </w:tc>
        <w:tc>
          <w:tcPr>
            <w:tcW w:w="6096" w:type="dxa"/>
          </w:tcPr>
          <w:p w:rsidR="00BF76B3" w:rsidRPr="00896511" w:rsidRDefault="00BF76B3" w:rsidP="00647F09">
            <w:pPr>
              <w:jc w:val="both"/>
              <w:rPr>
                <w:sz w:val="20"/>
                <w:szCs w:val="20"/>
              </w:rPr>
            </w:pPr>
            <w:r w:rsidRPr="00896511">
              <w:rPr>
                <w:sz w:val="20"/>
                <w:szCs w:val="20"/>
              </w:rPr>
              <w:t>Relevant survey question</w:t>
            </w:r>
          </w:p>
        </w:tc>
        <w:tc>
          <w:tcPr>
            <w:tcW w:w="1559" w:type="dxa"/>
          </w:tcPr>
          <w:p w:rsidR="00BF76B3" w:rsidRPr="00896511" w:rsidRDefault="00BF76B3" w:rsidP="00647F09">
            <w:pPr>
              <w:jc w:val="both"/>
              <w:rPr>
                <w:sz w:val="20"/>
                <w:szCs w:val="20"/>
              </w:rPr>
            </w:pPr>
            <w:r w:rsidRPr="00896511">
              <w:rPr>
                <w:sz w:val="20"/>
                <w:szCs w:val="20"/>
              </w:rPr>
              <w:t>New variable name</w:t>
            </w:r>
          </w:p>
        </w:tc>
        <w:tc>
          <w:tcPr>
            <w:tcW w:w="1559" w:type="dxa"/>
          </w:tcPr>
          <w:p w:rsidR="00BF76B3" w:rsidRPr="00896511" w:rsidRDefault="00BF76B3" w:rsidP="00647F09">
            <w:pPr>
              <w:jc w:val="both"/>
              <w:rPr>
                <w:sz w:val="20"/>
                <w:szCs w:val="20"/>
              </w:rPr>
            </w:pPr>
            <w:r w:rsidRPr="00896511">
              <w:rPr>
                <w:sz w:val="20"/>
                <w:szCs w:val="20"/>
              </w:rPr>
              <w:t>Service domain</w:t>
            </w:r>
          </w:p>
        </w:tc>
      </w:tr>
      <w:tr w:rsidR="00940735" w:rsidRPr="00896511" w:rsidTr="00D64A96">
        <w:tc>
          <w:tcPr>
            <w:tcW w:w="4644" w:type="dxa"/>
          </w:tcPr>
          <w:p w:rsidR="00940735" w:rsidRPr="00940735" w:rsidRDefault="00940735" w:rsidP="00647F09">
            <w:pPr>
              <w:jc w:val="both"/>
              <w:rPr>
                <w:sz w:val="16"/>
                <w:szCs w:val="16"/>
              </w:rPr>
            </w:pPr>
            <w:r w:rsidRPr="00940735">
              <w:rPr>
                <w:sz w:val="16"/>
                <w:szCs w:val="16"/>
              </w:rPr>
              <w:t>Provision of community-based treatment 24 hours a day, 7 days a week</w:t>
            </w:r>
          </w:p>
        </w:tc>
        <w:tc>
          <w:tcPr>
            <w:tcW w:w="6096" w:type="dxa"/>
          </w:tcPr>
          <w:p w:rsidR="00940735" w:rsidRPr="00940735" w:rsidRDefault="00940735" w:rsidP="00647F09">
            <w:pPr>
              <w:jc w:val="both"/>
              <w:rPr>
                <w:sz w:val="16"/>
                <w:szCs w:val="16"/>
              </w:rPr>
            </w:pPr>
            <w:r w:rsidRPr="00940735">
              <w:rPr>
                <w:sz w:val="16"/>
                <w:szCs w:val="16"/>
              </w:rPr>
              <w:t>Hours in which CRT can provide home visits to service users (Q82)</w:t>
            </w:r>
          </w:p>
          <w:p w:rsidR="00940735" w:rsidRPr="00940735" w:rsidRDefault="00940735" w:rsidP="00647F09">
            <w:pPr>
              <w:jc w:val="both"/>
              <w:rPr>
                <w:i/>
                <w:sz w:val="16"/>
                <w:szCs w:val="16"/>
              </w:rPr>
            </w:pPr>
            <w:r w:rsidRPr="00940735">
              <w:rPr>
                <w:i/>
                <w:sz w:val="16"/>
                <w:szCs w:val="16"/>
              </w:rPr>
              <w:t>(recoded to: 24 hour home visits – yes/no)</w:t>
            </w:r>
          </w:p>
        </w:tc>
        <w:tc>
          <w:tcPr>
            <w:tcW w:w="1559" w:type="dxa"/>
          </w:tcPr>
          <w:p w:rsidR="00940735" w:rsidRPr="00940735" w:rsidRDefault="00940735" w:rsidP="00647F09">
            <w:pPr>
              <w:jc w:val="both"/>
              <w:rPr>
                <w:sz w:val="16"/>
                <w:szCs w:val="16"/>
              </w:rPr>
            </w:pPr>
            <w:r w:rsidRPr="00940735">
              <w:rPr>
                <w:sz w:val="16"/>
                <w:szCs w:val="16"/>
              </w:rPr>
              <w:t>24 hour service</w:t>
            </w:r>
          </w:p>
        </w:tc>
        <w:tc>
          <w:tcPr>
            <w:tcW w:w="1559" w:type="dxa"/>
            <w:vMerge w:val="restart"/>
          </w:tcPr>
          <w:p w:rsidR="00940735" w:rsidRPr="00940735" w:rsidRDefault="00940735" w:rsidP="00647F09">
            <w:pPr>
              <w:jc w:val="both"/>
              <w:rPr>
                <w:sz w:val="16"/>
                <w:szCs w:val="16"/>
              </w:rPr>
            </w:pPr>
          </w:p>
          <w:p w:rsidR="00940735" w:rsidRPr="00940735" w:rsidRDefault="00940735" w:rsidP="00647F09">
            <w:pPr>
              <w:jc w:val="both"/>
              <w:rPr>
                <w:sz w:val="16"/>
                <w:szCs w:val="16"/>
              </w:rPr>
            </w:pPr>
          </w:p>
          <w:p w:rsidR="00940735" w:rsidRPr="00940735" w:rsidRDefault="00940735" w:rsidP="00647F09">
            <w:pPr>
              <w:jc w:val="both"/>
              <w:rPr>
                <w:sz w:val="16"/>
                <w:szCs w:val="16"/>
              </w:rPr>
            </w:pPr>
          </w:p>
          <w:p w:rsidR="00940735" w:rsidRPr="00940735" w:rsidRDefault="00940735" w:rsidP="00647F09">
            <w:pPr>
              <w:jc w:val="both"/>
              <w:rPr>
                <w:sz w:val="16"/>
                <w:szCs w:val="16"/>
              </w:rPr>
            </w:pPr>
          </w:p>
          <w:p w:rsidR="00940735" w:rsidRPr="00940735" w:rsidRDefault="00940735" w:rsidP="00647F09">
            <w:pPr>
              <w:jc w:val="both"/>
              <w:rPr>
                <w:sz w:val="16"/>
                <w:szCs w:val="16"/>
              </w:rPr>
            </w:pPr>
          </w:p>
          <w:p w:rsidR="00940735" w:rsidRPr="00940735" w:rsidRDefault="00940735" w:rsidP="00647F09">
            <w:pPr>
              <w:jc w:val="both"/>
              <w:rPr>
                <w:sz w:val="16"/>
                <w:szCs w:val="16"/>
              </w:rPr>
            </w:pPr>
          </w:p>
          <w:p w:rsidR="00940735" w:rsidRPr="00940735" w:rsidRDefault="00940735" w:rsidP="00647F09">
            <w:pPr>
              <w:jc w:val="both"/>
              <w:rPr>
                <w:sz w:val="16"/>
                <w:szCs w:val="16"/>
              </w:rPr>
            </w:pPr>
            <w:r w:rsidRPr="00940735">
              <w:rPr>
                <w:sz w:val="16"/>
                <w:szCs w:val="16"/>
              </w:rPr>
              <w:t>Role and Access</w:t>
            </w:r>
          </w:p>
        </w:tc>
      </w:tr>
      <w:tr w:rsidR="00940735" w:rsidRPr="00896511" w:rsidTr="00D64A96">
        <w:tc>
          <w:tcPr>
            <w:tcW w:w="4644" w:type="dxa"/>
          </w:tcPr>
          <w:p w:rsidR="00940735" w:rsidRPr="00940735" w:rsidRDefault="00940735" w:rsidP="00647F09">
            <w:pPr>
              <w:jc w:val="both"/>
              <w:rPr>
                <w:sz w:val="16"/>
                <w:szCs w:val="16"/>
              </w:rPr>
            </w:pPr>
            <w:r w:rsidRPr="00940735">
              <w:rPr>
                <w:sz w:val="16"/>
                <w:szCs w:val="16"/>
              </w:rPr>
              <w:t xml:space="preserve">Easy referral processes including direct referral from GPs and former service users and families </w:t>
            </w:r>
          </w:p>
        </w:tc>
        <w:tc>
          <w:tcPr>
            <w:tcW w:w="6096" w:type="dxa"/>
          </w:tcPr>
          <w:p w:rsidR="00940735" w:rsidRDefault="00940735" w:rsidP="00647F09">
            <w:pPr>
              <w:jc w:val="both"/>
              <w:rPr>
                <w:sz w:val="16"/>
                <w:szCs w:val="16"/>
              </w:rPr>
            </w:pPr>
            <w:r w:rsidRPr="00940735">
              <w:rPr>
                <w:sz w:val="16"/>
                <w:szCs w:val="16"/>
              </w:rPr>
              <w:t>Does the CRT accept referrals from GPs and self-referrals from known clients (Q4)</w:t>
            </w:r>
          </w:p>
          <w:p w:rsidR="005606C9" w:rsidRPr="005606C9" w:rsidRDefault="005606C9" w:rsidP="00647F09">
            <w:pPr>
              <w:jc w:val="both"/>
              <w:rPr>
                <w:i/>
                <w:sz w:val="16"/>
                <w:szCs w:val="16"/>
              </w:rPr>
            </w:pPr>
            <w:r>
              <w:rPr>
                <w:i/>
                <w:sz w:val="16"/>
                <w:szCs w:val="16"/>
              </w:rPr>
              <w:t>(recoded as: does the CRT accept referrals from GPs and known clients – yes/no)</w:t>
            </w:r>
          </w:p>
        </w:tc>
        <w:tc>
          <w:tcPr>
            <w:tcW w:w="1559" w:type="dxa"/>
          </w:tcPr>
          <w:p w:rsidR="00940735" w:rsidRPr="00940735" w:rsidRDefault="00940735" w:rsidP="00647F09">
            <w:pPr>
              <w:jc w:val="both"/>
              <w:rPr>
                <w:sz w:val="16"/>
                <w:szCs w:val="16"/>
              </w:rPr>
            </w:pPr>
            <w:r w:rsidRPr="00940735">
              <w:rPr>
                <w:sz w:val="16"/>
                <w:szCs w:val="16"/>
              </w:rPr>
              <w:t>Easy referral routes</w:t>
            </w:r>
          </w:p>
        </w:tc>
        <w:tc>
          <w:tcPr>
            <w:tcW w:w="1559" w:type="dxa"/>
            <w:vMerge/>
          </w:tcPr>
          <w:p w:rsidR="00940735" w:rsidRPr="00940735" w:rsidRDefault="00940735" w:rsidP="00647F09">
            <w:pPr>
              <w:jc w:val="both"/>
              <w:rPr>
                <w:sz w:val="16"/>
                <w:szCs w:val="16"/>
              </w:rPr>
            </w:pPr>
          </w:p>
        </w:tc>
      </w:tr>
      <w:tr w:rsidR="00940735" w:rsidRPr="00896511" w:rsidTr="00D64A96">
        <w:tc>
          <w:tcPr>
            <w:tcW w:w="4644" w:type="dxa"/>
          </w:tcPr>
          <w:p w:rsidR="00940735" w:rsidRPr="00940735" w:rsidRDefault="00940735" w:rsidP="00647F09">
            <w:pPr>
              <w:jc w:val="both"/>
              <w:rPr>
                <w:sz w:val="16"/>
                <w:szCs w:val="16"/>
              </w:rPr>
            </w:pPr>
            <w:r w:rsidRPr="00940735">
              <w:rPr>
                <w:sz w:val="16"/>
                <w:szCs w:val="16"/>
              </w:rPr>
              <w:t>CRT will work with adults age 16-65</w:t>
            </w:r>
          </w:p>
        </w:tc>
        <w:tc>
          <w:tcPr>
            <w:tcW w:w="6096" w:type="dxa"/>
          </w:tcPr>
          <w:p w:rsidR="00940735" w:rsidRPr="00940735" w:rsidRDefault="00940735" w:rsidP="00647F09">
            <w:pPr>
              <w:jc w:val="both"/>
              <w:rPr>
                <w:sz w:val="16"/>
                <w:szCs w:val="16"/>
              </w:rPr>
            </w:pPr>
            <w:r w:rsidRPr="00940735">
              <w:rPr>
                <w:sz w:val="16"/>
                <w:szCs w:val="16"/>
              </w:rPr>
              <w:t>What is the age range of service users accepted by the CRT (Q3)</w:t>
            </w:r>
          </w:p>
          <w:p w:rsidR="00940735" w:rsidRPr="00940735" w:rsidRDefault="00940735" w:rsidP="00647F09">
            <w:pPr>
              <w:jc w:val="both"/>
              <w:rPr>
                <w:i/>
                <w:sz w:val="16"/>
                <w:szCs w:val="16"/>
              </w:rPr>
            </w:pPr>
            <w:r w:rsidRPr="00940735">
              <w:rPr>
                <w:i/>
                <w:sz w:val="16"/>
                <w:szCs w:val="16"/>
              </w:rPr>
              <w:t>(recoded to: Accepts service users 16-65 – yes/no)</w:t>
            </w:r>
          </w:p>
        </w:tc>
        <w:tc>
          <w:tcPr>
            <w:tcW w:w="1559" w:type="dxa"/>
          </w:tcPr>
          <w:p w:rsidR="00940735" w:rsidRPr="00940735" w:rsidRDefault="00940735" w:rsidP="00647F09">
            <w:pPr>
              <w:jc w:val="both"/>
              <w:rPr>
                <w:sz w:val="16"/>
                <w:szCs w:val="16"/>
              </w:rPr>
            </w:pPr>
            <w:r w:rsidRPr="00940735">
              <w:rPr>
                <w:sz w:val="16"/>
                <w:szCs w:val="16"/>
              </w:rPr>
              <w:t xml:space="preserve">Works with adults 16-65 </w:t>
            </w:r>
          </w:p>
        </w:tc>
        <w:tc>
          <w:tcPr>
            <w:tcW w:w="1559" w:type="dxa"/>
            <w:vMerge/>
          </w:tcPr>
          <w:p w:rsidR="00940735" w:rsidRPr="00940735" w:rsidRDefault="00940735" w:rsidP="00647F09">
            <w:pPr>
              <w:jc w:val="both"/>
              <w:rPr>
                <w:sz w:val="16"/>
                <w:szCs w:val="16"/>
              </w:rPr>
            </w:pPr>
          </w:p>
        </w:tc>
      </w:tr>
      <w:tr w:rsidR="00940735" w:rsidRPr="00896511" w:rsidTr="00D64A96">
        <w:tc>
          <w:tcPr>
            <w:tcW w:w="4644" w:type="dxa"/>
          </w:tcPr>
          <w:p w:rsidR="00940735" w:rsidRPr="00940735" w:rsidRDefault="00940735" w:rsidP="00647F09">
            <w:pPr>
              <w:jc w:val="both"/>
              <w:rPr>
                <w:sz w:val="16"/>
                <w:szCs w:val="16"/>
              </w:rPr>
            </w:pPr>
            <w:r w:rsidRPr="00940735">
              <w:rPr>
                <w:sz w:val="16"/>
                <w:szCs w:val="16"/>
              </w:rPr>
              <w:t>CRT should act as “gatekeeper” to services, providing rapid assessment and referral for people with acute illness</w:t>
            </w:r>
          </w:p>
        </w:tc>
        <w:tc>
          <w:tcPr>
            <w:tcW w:w="6096" w:type="dxa"/>
          </w:tcPr>
          <w:p w:rsidR="00940735" w:rsidRPr="00940735" w:rsidRDefault="00940735" w:rsidP="00647F09">
            <w:pPr>
              <w:jc w:val="both"/>
              <w:rPr>
                <w:sz w:val="16"/>
                <w:szCs w:val="16"/>
              </w:rPr>
            </w:pPr>
            <w:r w:rsidRPr="00940735">
              <w:rPr>
                <w:sz w:val="16"/>
                <w:szCs w:val="16"/>
              </w:rPr>
              <w:t>Does the CRT assess patients in person before hospital admission (Q35)</w:t>
            </w:r>
          </w:p>
          <w:p w:rsidR="00940735" w:rsidRPr="00940735" w:rsidRDefault="00940735" w:rsidP="00647F09">
            <w:pPr>
              <w:jc w:val="both"/>
              <w:rPr>
                <w:i/>
                <w:sz w:val="16"/>
                <w:szCs w:val="16"/>
              </w:rPr>
            </w:pPr>
            <w:r w:rsidRPr="00940735">
              <w:rPr>
                <w:i/>
                <w:sz w:val="16"/>
                <w:szCs w:val="16"/>
              </w:rPr>
              <w:t>(recoded to: does the CRT usually or always assess in person before admission – yes/no)</w:t>
            </w:r>
          </w:p>
        </w:tc>
        <w:tc>
          <w:tcPr>
            <w:tcW w:w="1559" w:type="dxa"/>
          </w:tcPr>
          <w:p w:rsidR="00940735" w:rsidRPr="00940735" w:rsidRDefault="00940735" w:rsidP="00647F09">
            <w:pPr>
              <w:jc w:val="both"/>
              <w:rPr>
                <w:sz w:val="16"/>
                <w:szCs w:val="16"/>
              </w:rPr>
            </w:pPr>
            <w:r w:rsidRPr="00940735">
              <w:rPr>
                <w:sz w:val="16"/>
                <w:szCs w:val="16"/>
              </w:rPr>
              <w:t>Gatekeeping role</w:t>
            </w:r>
          </w:p>
        </w:tc>
        <w:tc>
          <w:tcPr>
            <w:tcW w:w="1559" w:type="dxa"/>
            <w:vMerge/>
          </w:tcPr>
          <w:p w:rsidR="00940735" w:rsidRPr="00940735" w:rsidRDefault="00940735" w:rsidP="00647F09">
            <w:pPr>
              <w:jc w:val="both"/>
              <w:rPr>
                <w:sz w:val="16"/>
                <w:szCs w:val="16"/>
              </w:rPr>
            </w:pPr>
          </w:p>
        </w:tc>
      </w:tr>
      <w:tr w:rsidR="00940735" w:rsidRPr="00896511" w:rsidTr="00D64A96">
        <w:tc>
          <w:tcPr>
            <w:tcW w:w="4644" w:type="dxa"/>
          </w:tcPr>
          <w:p w:rsidR="00940735" w:rsidRPr="00940735" w:rsidRDefault="00940735" w:rsidP="00647F09">
            <w:pPr>
              <w:jc w:val="both"/>
              <w:rPr>
                <w:sz w:val="16"/>
                <w:szCs w:val="16"/>
              </w:rPr>
            </w:pPr>
            <w:r w:rsidRPr="00940735">
              <w:rPr>
                <w:sz w:val="16"/>
                <w:szCs w:val="16"/>
              </w:rPr>
              <w:t>If hospitalisation is necessary, the CRT should provide intensive care at home to enable early discharge</w:t>
            </w:r>
          </w:p>
        </w:tc>
        <w:tc>
          <w:tcPr>
            <w:tcW w:w="6096" w:type="dxa"/>
          </w:tcPr>
          <w:p w:rsidR="00940735" w:rsidRPr="00940735" w:rsidRDefault="00940735" w:rsidP="00647F09">
            <w:pPr>
              <w:jc w:val="both"/>
              <w:rPr>
                <w:sz w:val="16"/>
                <w:szCs w:val="16"/>
              </w:rPr>
            </w:pPr>
            <w:r w:rsidRPr="00940735">
              <w:rPr>
                <w:sz w:val="16"/>
                <w:szCs w:val="16"/>
              </w:rPr>
              <w:t>What methods does the CRT use to identify people for early discharge (Q25 and 30)</w:t>
            </w:r>
          </w:p>
          <w:p w:rsidR="00940735" w:rsidRPr="00940735" w:rsidRDefault="00940735" w:rsidP="00647F09">
            <w:pPr>
              <w:jc w:val="both"/>
              <w:rPr>
                <w:sz w:val="16"/>
                <w:szCs w:val="16"/>
              </w:rPr>
            </w:pPr>
            <w:r w:rsidRPr="00940735">
              <w:rPr>
                <w:sz w:val="16"/>
                <w:szCs w:val="16"/>
              </w:rPr>
              <w:t>How effectively is early discharge being achieved (Q27 and Q33)</w:t>
            </w:r>
          </w:p>
          <w:p w:rsidR="00940735" w:rsidRPr="00940735" w:rsidRDefault="00940735" w:rsidP="00647F09">
            <w:pPr>
              <w:jc w:val="both"/>
              <w:rPr>
                <w:i/>
                <w:sz w:val="16"/>
                <w:szCs w:val="16"/>
              </w:rPr>
            </w:pPr>
            <w:r w:rsidRPr="00940735">
              <w:rPr>
                <w:i/>
                <w:sz w:val="16"/>
                <w:szCs w:val="16"/>
              </w:rPr>
              <w:t>(recoded to: some screening methods identified and early discharge arrangements rated as quite or very effective – yes/no)</w:t>
            </w:r>
          </w:p>
        </w:tc>
        <w:tc>
          <w:tcPr>
            <w:tcW w:w="1559" w:type="dxa"/>
          </w:tcPr>
          <w:p w:rsidR="00940735" w:rsidRPr="00940735" w:rsidRDefault="00940735" w:rsidP="00647F09">
            <w:pPr>
              <w:jc w:val="both"/>
              <w:rPr>
                <w:sz w:val="16"/>
                <w:szCs w:val="16"/>
              </w:rPr>
            </w:pPr>
            <w:r w:rsidRPr="00940735">
              <w:rPr>
                <w:sz w:val="16"/>
                <w:szCs w:val="16"/>
              </w:rPr>
              <w:t>Early Discharge service</w:t>
            </w:r>
          </w:p>
        </w:tc>
        <w:tc>
          <w:tcPr>
            <w:tcW w:w="1559" w:type="dxa"/>
            <w:vMerge/>
          </w:tcPr>
          <w:p w:rsidR="00940735" w:rsidRPr="00940735" w:rsidRDefault="00940735" w:rsidP="00647F09">
            <w:pPr>
              <w:jc w:val="both"/>
              <w:rPr>
                <w:sz w:val="16"/>
                <w:szCs w:val="16"/>
              </w:rPr>
            </w:pPr>
          </w:p>
        </w:tc>
      </w:tr>
      <w:tr w:rsidR="009B3B47" w:rsidRPr="00896511" w:rsidTr="00D64A96">
        <w:tc>
          <w:tcPr>
            <w:tcW w:w="4644" w:type="dxa"/>
          </w:tcPr>
          <w:p w:rsidR="009B3B47" w:rsidRPr="00940735" w:rsidRDefault="009B3B47" w:rsidP="00647F09">
            <w:pPr>
              <w:jc w:val="both"/>
              <w:rPr>
                <w:sz w:val="16"/>
                <w:szCs w:val="16"/>
              </w:rPr>
            </w:pPr>
            <w:r>
              <w:rPr>
                <w:sz w:val="16"/>
                <w:szCs w:val="16"/>
              </w:rPr>
              <w:t>CRT team should include both consultant and middle grade psychiatrists</w:t>
            </w:r>
          </w:p>
        </w:tc>
        <w:tc>
          <w:tcPr>
            <w:tcW w:w="6096" w:type="dxa"/>
          </w:tcPr>
          <w:p w:rsidR="009B3B47" w:rsidRDefault="009B3B47" w:rsidP="00647F09">
            <w:pPr>
              <w:jc w:val="both"/>
              <w:rPr>
                <w:sz w:val="16"/>
                <w:szCs w:val="16"/>
              </w:rPr>
            </w:pPr>
            <w:r>
              <w:rPr>
                <w:sz w:val="16"/>
                <w:szCs w:val="16"/>
              </w:rPr>
              <w:t>Team staffing (Q79)</w:t>
            </w:r>
          </w:p>
          <w:p w:rsidR="009B3B47" w:rsidRPr="00940735" w:rsidRDefault="009B3B47" w:rsidP="00647F09">
            <w:pPr>
              <w:jc w:val="both"/>
              <w:rPr>
                <w:i/>
                <w:sz w:val="16"/>
                <w:szCs w:val="16"/>
              </w:rPr>
            </w:pPr>
            <w:r>
              <w:rPr>
                <w:i/>
                <w:sz w:val="16"/>
                <w:szCs w:val="16"/>
              </w:rPr>
              <w:t>(recoded to: does team include consultant psychiatrist and other medical staff – yes/no)</w:t>
            </w:r>
          </w:p>
        </w:tc>
        <w:tc>
          <w:tcPr>
            <w:tcW w:w="1559" w:type="dxa"/>
          </w:tcPr>
          <w:p w:rsidR="009B3B47" w:rsidRPr="00940735" w:rsidRDefault="009B3B47" w:rsidP="00647F09">
            <w:pPr>
              <w:jc w:val="both"/>
              <w:rPr>
                <w:sz w:val="16"/>
                <w:szCs w:val="16"/>
              </w:rPr>
            </w:pPr>
            <w:r>
              <w:rPr>
                <w:sz w:val="16"/>
                <w:szCs w:val="16"/>
              </w:rPr>
              <w:t>Medical cover</w:t>
            </w:r>
          </w:p>
        </w:tc>
        <w:tc>
          <w:tcPr>
            <w:tcW w:w="1559" w:type="dxa"/>
            <w:vMerge w:val="restart"/>
          </w:tcPr>
          <w:p w:rsidR="009B3B47" w:rsidRDefault="009B3B47" w:rsidP="00647F09">
            <w:pPr>
              <w:jc w:val="both"/>
              <w:rPr>
                <w:sz w:val="16"/>
                <w:szCs w:val="16"/>
              </w:rPr>
            </w:pPr>
          </w:p>
          <w:p w:rsidR="009B3B47" w:rsidRDefault="009B3B47" w:rsidP="00647F09">
            <w:pPr>
              <w:jc w:val="both"/>
              <w:rPr>
                <w:sz w:val="16"/>
                <w:szCs w:val="16"/>
              </w:rPr>
            </w:pPr>
          </w:p>
          <w:p w:rsidR="009B3B47" w:rsidRDefault="009B3B47" w:rsidP="00647F09">
            <w:pPr>
              <w:jc w:val="both"/>
              <w:rPr>
                <w:sz w:val="16"/>
                <w:szCs w:val="16"/>
              </w:rPr>
            </w:pPr>
          </w:p>
          <w:p w:rsidR="009B3B47" w:rsidRPr="00940735" w:rsidRDefault="009B3B47" w:rsidP="00647F09">
            <w:pPr>
              <w:jc w:val="both"/>
              <w:rPr>
                <w:sz w:val="16"/>
                <w:szCs w:val="16"/>
              </w:rPr>
            </w:pPr>
            <w:r>
              <w:rPr>
                <w:sz w:val="16"/>
                <w:szCs w:val="16"/>
              </w:rPr>
              <w:t>Staffing</w:t>
            </w:r>
          </w:p>
        </w:tc>
      </w:tr>
      <w:tr w:rsidR="009B3B47" w:rsidRPr="00896511" w:rsidTr="00D64A96">
        <w:tc>
          <w:tcPr>
            <w:tcW w:w="4644" w:type="dxa"/>
          </w:tcPr>
          <w:p w:rsidR="009B3B47" w:rsidRPr="00940735" w:rsidRDefault="009B3B47" w:rsidP="00647F09">
            <w:pPr>
              <w:jc w:val="both"/>
              <w:rPr>
                <w:sz w:val="16"/>
                <w:szCs w:val="16"/>
              </w:rPr>
            </w:pPr>
            <w:r>
              <w:rPr>
                <w:sz w:val="16"/>
                <w:szCs w:val="16"/>
              </w:rPr>
              <w:t>CRT team should be multi-disciplinary, including Nurses, Occupational Therapists (OTs), Psychologists, ASWs/strong links to social services, Support Workers</w:t>
            </w:r>
          </w:p>
        </w:tc>
        <w:tc>
          <w:tcPr>
            <w:tcW w:w="6096" w:type="dxa"/>
          </w:tcPr>
          <w:p w:rsidR="009B3B47" w:rsidRDefault="009B3B47" w:rsidP="00647F09">
            <w:pPr>
              <w:jc w:val="both"/>
              <w:rPr>
                <w:sz w:val="16"/>
                <w:szCs w:val="16"/>
              </w:rPr>
            </w:pPr>
            <w:r>
              <w:rPr>
                <w:sz w:val="16"/>
                <w:szCs w:val="16"/>
              </w:rPr>
              <w:t>Team staffing (Q79)</w:t>
            </w:r>
          </w:p>
          <w:p w:rsidR="009B3B47" w:rsidRPr="009B3B47" w:rsidRDefault="009B3B47" w:rsidP="00647F09">
            <w:pPr>
              <w:jc w:val="both"/>
              <w:rPr>
                <w:i/>
                <w:sz w:val="16"/>
                <w:szCs w:val="16"/>
              </w:rPr>
            </w:pPr>
            <w:r w:rsidRPr="009B3B47">
              <w:rPr>
                <w:i/>
                <w:sz w:val="16"/>
                <w:szCs w:val="16"/>
              </w:rPr>
              <w:t>(recoded to: does team include: a nurse, an OT, a psychologist, a social worker or AMHP, a support worker – yes/no)</w:t>
            </w:r>
          </w:p>
        </w:tc>
        <w:tc>
          <w:tcPr>
            <w:tcW w:w="1559" w:type="dxa"/>
          </w:tcPr>
          <w:p w:rsidR="009B3B47" w:rsidRPr="00940735" w:rsidRDefault="009B3B47" w:rsidP="00647F09">
            <w:pPr>
              <w:jc w:val="both"/>
              <w:rPr>
                <w:sz w:val="16"/>
                <w:szCs w:val="16"/>
              </w:rPr>
            </w:pPr>
            <w:r>
              <w:rPr>
                <w:sz w:val="16"/>
                <w:szCs w:val="16"/>
              </w:rPr>
              <w:t>Multi-disciplinarity</w:t>
            </w:r>
          </w:p>
        </w:tc>
        <w:tc>
          <w:tcPr>
            <w:tcW w:w="1559" w:type="dxa"/>
            <w:vMerge/>
          </w:tcPr>
          <w:p w:rsidR="009B3B47" w:rsidRPr="00940735" w:rsidRDefault="009B3B47" w:rsidP="00647F09">
            <w:pPr>
              <w:jc w:val="both"/>
              <w:rPr>
                <w:sz w:val="16"/>
                <w:szCs w:val="16"/>
              </w:rPr>
            </w:pPr>
          </w:p>
        </w:tc>
      </w:tr>
      <w:tr w:rsidR="009B3B47" w:rsidRPr="00896511" w:rsidTr="00D64A96">
        <w:tc>
          <w:tcPr>
            <w:tcW w:w="4644" w:type="dxa"/>
          </w:tcPr>
          <w:p w:rsidR="009B3B47" w:rsidRPr="00940735" w:rsidRDefault="009B3B47" w:rsidP="00647F09">
            <w:pPr>
              <w:jc w:val="both"/>
              <w:rPr>
                <w:sz w:val="16"/>
                <w:szCs w:val="16"/>
              </w:rPr>
            </w:pPr>
            <w:r>
              <w:rPr>
                <w:sz w:val="16"/>
                <w:szCs w:val="16"/>
              </w:rPr>
              <w:t>CRT team should include 14 full time equivalent staff for a caseload of up to 30 service users</w:t>
            </w:r>
          </w:p>
        </w:tc>
        <w:tc>
          <w:tcPr>
            <w:tcW w:w="6096" w:type="dxa"/>
          </w:tcPr>
          <w:p w:rsidR="009B3B47" w:rsidRDefault="009B3B47" w:rsidP="00647F09">
            <w:pPr>
              <w:jc w:val="both"/>
              <w:rPr>
                <w:sz w:val="16"/>
                <w:szCs w:val="16"/>
              </w:rPr>
            </w:pPr>
            <w:r>
              <w:rPr>
                <w:sz w:val="16"/>
                <w:szCs w:val="16"/>
              </w:rPr>
              <w:t>Team staffing (Q79) and CRT caseload (Q86)</w:t>
            </w:r>
          </w:p>
          <w:p w:rsidR="009B3B47" w:rsidRPr="009B3B47" w:rsidRDefault="004B0BC3" w:rsidP="00647F09">
            <w:pPr>
              <w:jc w:val="both"/>
              <w:rPr>
                <w:i/>
                <w:sz w:val="16"/>
                <w:szCs w:val="16"/>
              </w:rPr>
            </w:pPr>
            <w:r>
              <w:rPr>
                <w:i/>
                <w:sz w:val="16"/>
                <w:szCs w:val="16"/>
              </w:rPr>
              <w:t>(Staffing level variable created to reflect caseload size per 14fte staff, then coded as</w:t>
            </w:r>
            <w:r w:rsidR="009B3B47">
              <w:rPr>
                <w:i/>
                <w:sz w:val="16"/>
                <w:szCs w:val="16"/>
              </w:rPr>
              <w:t>: is caseload size per 14 full time equivalent staff 30 or less – yes/no)</w:t>
            </w:r>
          </w:p>
        </w:tc>
        <w:tc>
          <w:tcPr>
            <w:tcW w:w="1559" w:type="dxa"/>
          </w:tcPr>
          <w:p w:rsidR="009B3B47" w:rsidRPr="00940735" w:rsidRDefault="009B3B47" w:rsidP="00647F09">
            <w:pPr>
              <w:jc w:val="both"/>
              <w:rPr>
                <w:sz w:val="16"/>
                <w:szCs w:val="16"/>
              </w:rPr>
            </w:pPr>
            <w:r>
              <w:rPr>
                <w:sz w:val="16"/>
                <w:szCs w:val="16"/>
              </w:rPr>
              <w:t>Staffing level</w:t>
            </w:r>
          </w:p>
        </w:tc>
        <w:tc>
          <w:tcPr>
            <w:tcW w:w="1559" w:type="dxa"/>
            <w:vMerge/>
          </w:tcPr>
          <w:p w:rsidR="009B3B47" w:rsidRPr="00940735" w:rsidRDefault="009B3B47" w:rsidP="00647F09">
            <w:pPr>
              <w:jc w:val="both"/>
              <w:rPr>
                <w:sz w:val="16"/>
                <w:szCs w:val="16"/>
              </w:rPr>
            </w:pPr>
          </w:p>
        </w:tc>
      </w:tr>
      <w:tr w:rsidR="00B235B1" w:rsidRPr="00896511" w:rsidTr="00D64A96">
        <w:tc>
          <w:tcPr>
            <w:tcW w:w="4644" w:type="dxa"/>
          </w:tcPr>
          <w:p w:rsidR="00B235B1" w:rsidRPr="00940735" w:rsidRDefault="00B235B1" w:rsidP="00647F09">
            <w:pPr>
              <w:jc w:val="both"/>
              <w:rPr>
                <w:sz w:val="16"/>
                <w:szCs w:val="16"/>
              </w:rPr>
            </w:pPr>
            <w:r>
              <w:rPr>
                <w:sz w:val="16"/>
                <w:szCs w:val="16"/>
              </w:rPr>
              <w:t>CRTs should provide delivery and administration of medication to service users where needed</w:t>
            </w:r>
          </w:p>
        </w:tc>
        <w:tc>
          <w:tcPr>
            <w:tcW w:w="6096" w:type="dxa"/>
          </w:tcPr>
          <w:p w:rsidR="00B235B1" w:rsidRDefault="00B235B1" w:rsidP="00647F09">
            <w:pPr>
              <w:jc w:val="both"/>
              <w:rPr>
                <w:sz w:val="16"/>
                <w:szCs w:val="16"/>
              </w:rPr>
            </w:pPr>
            <w:r>
              <w:rPr>
                <w:sz w:val="16"/>
                <w:szCs w:val="16"/>
              </w:rPr>
              <w:t>Interventions – delivering medication (Q61)</w:t>
            </w:r>
          </w:p>
          <w:p w:rsidR="00B235B1" w:rsidRPr="009B3B47" w:rsidRDefault="00B235B1" w:rsidP="00647F09">
            <w:pPr>
              <w:jc w:val="both"/>
              <w:rPr>
                <w:i/>
                <w:sz w:val="16"/>
                <w:szCs w:val="16"/>
              </w:rPr>
            </w:pPr>
            <w:r>
              <w:rPr>
                <w:i/>
                <w:sz w:val="16"/>
                <w:szCs w:val="16"/>
              </w:rPr>
              <w:t>(recoded to: does the CRT deliver medication to many or all service users who need it – yes/no)</w:t>
            </w:r>
          </w:p>
        </w:tc>
        <w:tc>
          <w:tcPr>
            <w:tcW w:w="1559" w:type="dxa"/>
          </w:tcPr>
          <w:p w:rsidR="00B235B1" w:rsidRPr="00940735" w:rsidRDefault="00B235B1" w:rsidP="00647F09">
            <w:pPr>
              <w:jc w:val="both"/>
              <w:rPr>
                <w:sz w:val="16"/>
                <w:szCs w:val="16"/>
              </w:rPr>
            </w:pPr>
            <w:r>
              <w:rPr>
                <w:sz w:val="16"/>
                <w:szCs w:val="16"/>
              </w:rPr>
              <w:t>Medication delivery</w:t>
            </w:r>
          </w:p>
        </w:tc>
        <w:tc>
          <w:tcPr>
            <w:tcW w:w="1559" w:type="dxa"/>
            <w:vMerge w:val="restart"/>
          </w:tcPr>
          <w:p w:rsidR="00B235B1" w:rsidRDefault="00B235B1" w:rsidP="00647F09">
            <w:pPr>
              <w:jc w:val="both"/>
              <w:rPr>
                <w:sz w:val="16"/>
                <w:szCs w:val="16"/>
              </w:rPr>
            </w:pPr>
          </w:p>
          <w:p w:rsidR="00B235B1" w:rsidRDefault="00B235B1" w:rsidP="00647F09">
            <w:pPr>
              <w:jc w:val="both"/>
              <w:rPr>
                <w:sz w:val="16"/>
                <w:szCs w:val="16"/>
              </w:rPr>
            </w:pPr>
          </w:p>
          <w:p w:rsidR="00B235B1" w:rsidRDefault="00B235B1" w:rsidP="00647F09">
            <w:pPr>
              <w:jc w:val="both"/>
              <w:rPr>
                <w:sz w:val="16"/>
                <w:szCs w:val="16"/>
              </w:rPr>
            </w:pPr>
          </w:p>
          <w:p w:rsidR="00B235B1" w:rsidRDefault="00B235B1" w:rsidP="00647F09">
            <w:pPr>
              <w:jc w:val="both"/>
              <w:rPr>
                <w:sz w:val="16"/>
                <w:szCs w:val="16"/>
              </w:rPr>
            </w:pPr>
          </w:p>
          <w:p w:rsidR="00B235B1" w:rsidRDefault="00B235B1" w:rsidP="00647F09">
            <w:pPr>
              <w:jc w:val="both"/>
              <w:rPr>
                <w:sz w:val="16"/>
                <w:szCs w:val="16"/>
              </w:rPr>
            </w:pPr>
          </w:p>
          <w:p w:rsidR="00B235B1" w:rsidRPr="00940735" w:rsidRDefault="00B235B1" w:rsidP="00647F09">
            <w:pPr>
              <w:jc w:val="both"/>
              <w:rPr>
                <w:sz w:val="16"/>
                <w:szCs w:val="16"/>
              </w:rPr>
            </w:pPr>
            <w:r>
              <w:rPr>
                <w:sz w:val="16"/>
                <w:szCs w:val="16"/>
              </w:rPr>
              <w:t>Interventions</w:t>
            </w:r>
          </w:p>
        </w:tc>
      </w:tr>
      <w:tr w:rsidR="00B235B1" w:rsidRPr="00896511" w:rsidTr="00D64A96">
        <w:tc>
          <w:tcPr>
            <w:tcW w:w="4644" w:type="dxa"/>
          </w:tcPr>
          <w:p w:rsidR="00B235B1" w:rsidRPr="00940735" w:rsidRDefault="00B235B1" w:rsidP="00647F09">
            <w:pPr>
              <w:jc w:val="both"/>
              <w:rPr>
                <w:sz w:val="16"/>
                <w:szCs w:val="16"/>
              </w:rPr>
            </w:pPr>
            <w:r>
              <w:rPr>
                <w:sz w:val="16"/>
                <w:szCs w:val="16"/>
              </w:rPr>
              <w:t>CRTs should provide help with benefits, housing and childcare etc</w:t>
            </w:r>
          </w:p>
        </w:tc>
        <w:tc>
          <w:tcPr>
            <w:tcW w:w="6096" w:type="dxa"/>
          </w:tcPr>
          <w:p w:rsidR="00B235B1" w:rsidRDefault="00B235B1" w:rsidP="00647F09">
            <w:pPr>
              <w:jc w:val="both"/>
              <w:rPr>
                <w:sz w:val="16"/>
                <w:szCs w:val="16"/>
              </w:rPr>
            </w:pPr>
            <w:r>
              <w:rPr>
                <w:sz w:val="16"/>
                <w:szCs w:val="16"/>
              </w:rPr>
              <w:t>Interventions – helping with benefits applications or problems (Q61)</w:t>
            </w:r>
          </w:p>
          <w:p w:rsidR="00B235B1" w:rsidRPr="009B3B47" w:rsidRDefault="00B235B1" w:rsidP="00647F09">
            <w:pPr>
              <w:jc w:val="both"/>
              <w:rPr>
                <w:i/>
                <w:sz w:val="16"/>
                <w:szCs w:val="16"/>
              </w:rPr>
            </w:pPr>
            <w:r>
              <w:rPr>
                <w:i/>
                <w:sz w:val="16"/>
                <w:szCs w:val="16"/>
              </w:rPr>
              <w:t>(recoded to: does the CRT provide help with benefits to many or all service users who need this – yes/no)</w:t>
            </w:r>
          </w:p>
        </w:tc>
        <w:tc>
          <w:tcPr>
            <w:tcW w:w="1559" w:type="dxa"/>
          </w:tcPr>
          <w:p w:rsidR="00B235B1" w:rsidRPr="00940735" w:rsidRDefault="00B235B1" w:rsidP="00647F09">
            <w:pPr>
              <w:jc w:val="both"/>
              <w:rPr>
                <w:sz w:val="16"/>
                <w:szCs w:val="16"/>
              </w:rPr>
            </w:pPr>
            <w:r>
              <w:rPr>
                <w:sz w:val="16"/>
                <w:szCs w:val="16"/>
              </w:rPr>
              <w:t>Benefits</w:t>
            </w:r>
          </w:p>
        </w:tc>
        <w:tc>
          <w:tcPr>
            <w:tcW w:w="1559" w:type="dxa"/>
            <w:vMerge/>
          </w:tcPr>
          <w:p w:rsidR="00B235B1" w:rsidRPr="00940735" w:rsidRDefault="00B235B1" w:rsidP="00647F09">
            <w:pPr>
              <w:jc w:val="both"/>
              <w:rPr>
                <w:sz w:val="16"/>
                <w:szCs w:val="16"/>
              </w:rPr>
            </w:pPr>
          </w:p>
        </w:tc>
      </w:tr>
      <w:tr w:rsidR="00B235B1" w:rsidRPr="00896511" w:rsidTr="00D64A96">
        <w:tc>
          <w:tcPr>
            <w:tcW w:w="4644" w:type="dxa"/>
          </w:tcPr>
          <w:p w:rsidR="00B235B1" w:rsidRPr="00940735" w:rsidRDefault="00B235B1" w:rsidP="004B0BC3">
            <w:pPr>
              <w:jc w:val="both"/>
              <w:rPr>
                <w:sz w:val="16"/>
                <w:szCs w:val="16"/>
              </w:rPr>
            </w:pPr>
            <w:r>
              <w:rPr>
                <w:sz w:val="16"/>
                <w:szCs w:val="16"/>
              </w:rPr>
              <w:t>CRTs should do relapse prevention work with service users and families</w:t>
            </w:r>
          </w:p>
        </w:tc>
        <w:tc>
          <w:tcPr>
            <w:tcW w:w="6096" w:type="dxa"/>
          </w:tcPr>
          <w:p w:rsidR="00B235B1" w:rsidRDefault="00B235B1" w:rsidP="00647F09">
            <w:pPr>
              <w:jc w:val="both"/>
              <w:rPr>
                <w:sz w:val="16"/>
                <w:szCs w:val="16"/>
              </w:rPr>
            </w:pPr>
            <w:r>
              <w:rPr>
                <w:sz w:val="16"/>
                <w:szCs w:val="16"/>
              </w:rPr>
              <w:t>Discharge arrangements – does the CRT formulate written relapse prevention plans with service users (Q58)</w:t>
            </w:r>
          </w:p>
          <w:p w:rsidR="00B235B1" w:rsidRPr="00D64A96" w:rsidRDefault="00B235B1" w:rsidP="00647F09">
            <w:pPr>
              <w:jc w:val="both"/>
              <w:rPr>
                <w:i/>
                <w:sz w:val="16"/>
                <w:szCs w:val="16"/>
              </w:rPr>
            </w:pPr>
            <w:r>
              <w:rPr>
                <w:i/>
                <w:sz w:val="16"/>
                <w:szCs w:val="16"/>
              </w:rPr>
              <w:t>(Recoded as: does the CRT complete written relapse prevention plans with most or all service users – yes/no)</w:t>
            </w:r>
          </w:p>
        </w:tc>
        <w:tc>
          <w:tcPr>
            <w:tcW w:w="1559" w:type="dxa"/>
          </w:tcPr>
          <w:p w:rsidR="00B235B1" w:rsidRPr="00940735" w:rsidRDefault="00B235B1" w:rsidP="00647F09">
            <w:pPr>
              <w:jc w:val="both"/>
              <w:rPr>
                <w:sz w:val="16"/>
                <w:szCs w:val="16"/>
              </w:rPr>
            </w:pPr>
            <w:r>
              <w:rPr>
                <w:sz w:val="16"/>
                <w:szCs w:val="16"/>
              </w:rPr>
              <w:t>Relapse prevention</w:t>
            </w:r>
          </w:p>
        </w:tc>
        <w:tc>
          <w:tcPr>
            <w:tcW w:w="1559" w:type="dxa"/>
            <w:vMerge/>
          </w:tcPr>
          <w:p w:rsidR="00B235B1" w:rsidRPr="00940735" w:rsidRDefault="00B235B1" w:rsidP="00647F09">
            <w:pPr>
              <w:jc w:val="both"/>
              <w:rPr>
                <w:sz w:val="16"/>
                <w:szCs w:val="16"/>
              </w:rPr>
            </w:pPr>
          </w:p>
        </w:tc>
      </w:tr>
      <w:tr w:rsidR="00B235B1" w:rsidRPr="00896511" w:rsidTr="00D64A96">
        <w:tc>
          <w:tcPr>
            <w:tcW w:w="4644" w:type="dxa"/>
          </w:tcPr>
          <w:p w:rsidR="00B235B1" w:rsidRDefault="00B235B1" w:rsidP="004B0BC3">
            <w:pPr>
              <w:jc w:val="both"/>
              <w:rPr>
                <w:sz w:val="16"/>
                <w:szCs w:val="16"/>
              </w:rPr>
            </w:pPr>
            <w:r>
              <w:rPr>
                <w:sz w:val="16"/>
                <w:szCs w:val="16"/>
              </w:rPr>
              <w:t>CRTs should offer access to residential or day care respite facilities</w:t>
            </w:r>
          </w:p>
        </w:tc>
        <w:tc>
          <w:tcPr>
            <w:tcW w:w="6096" w:type="dxa"/>
          </w:tcPr>
          <w:p w:rsidR="00B235B1" w:rsidRDefault="00B235B1" w:rsidP="00647F09">
            <w:pPr>
              <w:jc w:val="both"/>
              <w:rPr>
                <w:sz w:val="16"/>
                <w:szCs w:val="16"/>
              </w:rPr>
            </w:pPr>
            <w:r>
              <w:rPr>
                <w:sz w:val="16"/>
                <w:szCs w:val="16"/>
              </w:rPr>
              <w:t>Can the CRT access beds in a crisis house or equivalent (Q45) or an acute Day Hosptial (Q51)</w:t>
            </w:r>
          </w:p>
          <w:p w:rsidR="00B235B1" w:rsidRPr="00D64A96" w:rsidRDefault="00B235B1" w:rsidP="00647F09">
            <w:pPr>
              <w:jc w:val="both"/>
              <w:rPr>
                <w:i/>
                <w:sz w:val="16"/>
                <w:szCs w:val="16"/>
              </w:rPr>
            </w:pPr>
            <w:r>
              <w:rPr>
                <w:i/>
                <w:sz w:val="16"/>
                <w:szCs w:val="16"/>
              </w:rPr>
              <w:t>(Recoded as can the CRT access a crisis house or acute day hospital – yes/no)</w:t>
            </w:r>
          </w:p>
        </w:tc>
        <w:tc>
          <w:tcPr>
            <w:tcW w:w="1559" w:type="dxa"/>
          </w:tcPr>
          <w:p w:rsidR="00B235B1" w:rsidRPr="00940735" w:rsidRDefault="00B235B1" w:rsidP="00647F09">
            <w:pPr>
              <w:jc w:val="both"/>
              <w:rPr>
                <w:sz w:val="16"/>
                <w:szCs w:val="16"/>
              </w:rPr>
            </w:pPr>
            <w:r>
              <w:rPr>
                <w:sz w:val="16"/>
                <w:szCs w:val="16"/>
              </w:rPr>
              <w:t>Crisis alternatives</w:t>
            </w:r>
          </w:p>
        </w:tc>
        <w:tc>
          <w:tcPr>
            <w:tcW w:w="1559" w:type="dxa"/>
            <w:vMerge/>
          </w:tcPr>
          <w:p w:rsidR="00B235B1" w:rsidRPr="00940735" w:rsidRDefault="00B235B1" w:rsidP="00647F09">
            <w:pPr>
              <w:jc w:val="both"/>
              <w:rPr>
                <w:sz w:val="16"/>
                <w:szCs w:val="16"/>
              </w:rPr>
            </w:pPr>
          </w:p>
        </w:tc>
      </w:tr>
    </w:tbl>
    <w:p w:rsidR="00EA5B71" w:rsidRPr="00D64A96" w:rsidRDefault="00BF76B3" w:rsidP="00BF76B3">
      <w:pPr>
        <w:jc w:val="both"/>
        <w:rPr>
          <w:sz w:val="16"/>
          <w:szCs w:val="16"/>
        </w:rPr>
      </w:pPr>
      <w:r w:rsidRPr="00D64A96">
        <w:rPr>
          <w:sz w:val="16"/>
          <w:szCs w:val="16"/>
        </w:rPr>
        <w:t>* Department of Health Policy Implementation Guide 2001</w:t>
      </w:r>
    </w:p>
    <w:p w:rsidR="004A0257" w:rsidRDefault="004A0257" w:rsidP="00BF76B3">
      <w:pPr>
        <w:jc w:val="both"/>
        <w:rPr>
          <w:sz w:val="24"/>
          <w:szCs w:val="24"/>
        </w:rPr>
      </w:pPr>
    </w:p>
    <w:p w:rsidR="0077617A" w:rsidRDefault="0077617A" w:rsidP="00BF76B3">
      <w:pPr>
        <w:jc w:val="both"/>
        <w:rPr>
          <w:sz w:val="24"/>
          <w:szCs w:val="24"/>
        </w:rPr>
        <w:sectPr w:rsidR="0077617A" w:rsidSect="004A0257">
          <w:pgSz w:w="16838" w:h="11906" w:orient="landscape"/>
          <w:pgMar w:top="1440" w:right="1440" w:bottom="1440" w:left="1440" w:header="709" w:footer="709" w:gutter="0"/>
          <w:cols w:space="708"/>
          <w:docGrid w:linePitch="360"/>
        </w:sectPr>
      </w:pPr>
    </w:p>
    <w:p w:rsidR="004A0257" w:rsidRDefault="004A0257" w:rsidP="00BF76B3">
      <w:pPr>
        <w:jc w:val="both"/>
        <w:rPr>
          <w:sz w:val="24"/>
          <w:szCs w:val="24"/>
        </w:rPr>
      </w:pPr>
    </w:p>
    <w:p w:rsidR="004A0257" w:rsidRDefault="0077617A" w:rsidP="00BF76B3">
      <w:pPr>
        <w:jc w:val="both"/>
        <w:rPr>
          <w:b/>
          <w:sz w:val="24"/>
          <w:szCs w:val="24"/>
        </w:rPr>
      </w:pPr>
      <w:r>
        <w:rPr>
          <w:b/>
          <w:sz w:val="24"/>
          <w:szCs w:val="24"/>
        </w:rPr>
        <w:t>Table 2: Staffing in CRTs</w:t>
      </w:r>
    </w:p>
    <w:tbl>
      <w:tblPr>
        <w:tblStyle w:val="TableGrid"/>
        <w:tblW w:w="0" w:type="auto"/>
        <w:tblLook w:val="04A0" w:firstRow="1" w:lastRow="0" w:firstColumn="1" w:lastColumn="0" w:noHBand="0" w:noVBand="1"/>
      </w:tblPr>
      <w:tblGrid>
        <w:gridCol w:w="4621"/>
        <w:gridCol w:w="4621"/>
      </w:tblGrid>
      <w:tr w:rsidR="0077617A" w:rsidTr="0077617A">
        <w:tc>
          <w:tcPr>
            <w:tcW w:w="4621" w:type="dxa"/>
          </w:tcPr>
          <w:p w:rsidR="0077617A" w:rsidRDefault="0077617A" w:rsidP="00BF76B3">
            <w:pPr>
              <w:jc w:val="both"/>
              <w:rPr>
                <w:sz w:val="24"/>
                <w:szCs w:val="24"/>
              </w:rPr>
            </w:pPr>
            <w:r>
              <w:rPr>
                <w:sz w:val="24"/>
                <w:szCs w:val="24"/>
              </w:rPr>
              <w:t>Staff professional group/type</w:t>
            </w:r>
          </w:p>
        </w:tc>
        <w:tc>
          <w:tcPr>
            <w:tcW w:w="4621" w:type="dxa"/>
          </w:tcPr>
          <w:p w:rsidR="0077617A" w:rsidRDefault="0077617A" w:rsidP="00BF76B3">
            <w:pPr>
              <w:jc w:val="both"/>
              <w:rPr>
                <w:sz w:val="24"/>
                <w:szCs w:val="24"/>
              </w:rPr>
            </w:pPr>
            <w:r>
              <w:rPr>
                <w:sz w:val="24"/>
                <w:szCs w:val="24"/>
              </w:rPr>
              <w:t>CRTs teams employing, or with dedicated time from,  staff of this type</w:t>
            </w:r>
            <w:r w:rsidR="009D242A">
              <w:rPr>
                <w:sz w:val="24"/>
                <w:szCs w:val="24"/>
              </w:rPr>
              <w:t xml:space="preserve"> </w:t>
            </w:r>
          </w:p>
          <w:p w:rsidR="0077617A" w:rsidRDefault="0077617A" w:rsidP="009D242A">
            <w:pPr>
              <w:jc w:val="both"/>
              <w:rPr>
                <w:sz w:val="24"/>
                <w:szCs w:val="24"/>
              </w:rPr>
            </w:pPr>
            <w:r>
              <w:rPr>
                <w:sz w:val="24"/>
                <w:szCs w:val="24"/>
              </w:rPr>
              <w:t>n</w:t>
            </w:r>
            <w:r w:rsidR="009D242A">
              <w:rPr>
                <w:sz w:val="24"/>
                <w:szCs w:val="24"/>
              </w:rPr>
              <w:t>/N</w:t>
            </w:r>
            <w:r>
              <w:rPr>
                <w:sz w:val="24"/>
                <w:szCs w:val="24"/>
              </w:rPr>
              <w:t xml:space="preserve"> (%)</w:t>
            </w:r>
          </w:p>
        </w:tc>
      </w:tr>
      <w:tr w:rsidR="0077617A" w:rsidTr="0077617A">
        <w:tc>
          <w:tcPr>
            <w:tcW w:w="4621" w:type="dxa"/>
          </w:tcPr>
          <w:p w:rsidR="0077617A" w:rsidRDefault="0077617A" w:rsidP="00BF76B3">
            <w:pPr>
              <w:jc w:val="both"/>
              <w:rPr>
                <w:sz w:val="24"/>
                <w:szCs w:val="24"/>
              </w:rPr>
            </w:pPr>
            <w:r>
              <w:rPr>
                <w:sz w:val="24"/>
                <w:szCs w:val="24"/>
              </w:rPr>
              <w:t>Consultant Psychiatrist</w:t>
            </w:r>
          </w:p>
        </w:tc>
        <w:tc>
          <w:tcPr>
            <w:tcW w:w="4621" w:type="dxa"/>
          </w:tcPr>
          <w:p w:rsidR="0077617A" w:rsidRDefault="0077617A" w:rsidP="009D242A">
            <w:pPr>
              <w:jc w:val="both"/>
              <w:rPr>
                <w:sz w:val="24"/>
                <w:szCs w:val="24"/>
              </w:rPr>
            </w:pPr>
            <w:r>
              <w:rPr>
                <w:sz w:val="24"/>
                <w:szCs w:val="24"/>
              </w:rPr>
              <w:t>148</w:t>
            </w:r>
            <w:r w:rsidR="009D242A">
              <w:rPr>
                <w:sz w:val="24"/>
                <w:szCs w:val="24"/>
              </w:rPr>
              <w:t>/171 (87</w:t>
            </w:r>
            <w:r>
              <w:rPr>
                <w:sz w:val="24"/>
                <w:szCs w:val="24"/>
              </w:rPr>
              <w:t>%)</w:t>
            </w:r>
          </w:p>
        </w:tc>
      </w:tr>
      <w:tr w:rsidR="0077617A" w:rsidTr="0077617A">
        <w:tc>
          <w:tcPr>
            <w:tcW w:w="4621" w:type="dxa"/>
          </w:tcPr>
          <w:p w:rsidR="0077617A" w:rsidRDefault="0077617A" w:rsidP="00BF76B3">
            <w:pPr>
              <w:jc w:val="both"/>
              <w:rPr>
                <w:sz w:val="24"/>
                <w:szCs w:val="24"/>
              </w:rPr>
            </w:pPr>
            <w:r>
              <w:rPr>
                <w:sz w:val="24"/>
                <w:szCs w:val="24"/>
              </w:rPr>
              <w:t>Psychiatrist (other grade)</w:t>
            </w:r>
          </w:p>
        </w:tc>
        <w:tc>
          <w:tcPr>
            <w:tcW w:w="4621" w:type="dxa"/>
          </w:tcPr>
          <w:p w:rsidR="0077617A" w:rsidRDefault="0077617A" w:rsidP="009D242A">
            <w:pPr>
              <w:jc w:val="both"/>
              <w:rPr>
                <w:sz w:val="24"/>
                <w:szCs w:val="24"/>
              </w:rPr>
            </w:pPr>
            <w:r>
              <w:rPr>
                <w:sz w:val="24"/>
                <w:szCs w:val="24"/>
              </w:rPr>
              <w:t>129</w:t>
            </w:r>
            <w:r w:rsidR="009D242A">
              <w:rPr>
                <w:sz w:val="24"/>
                <w:szCs w:val="24"/>
              </w:rPr>
              <w:t>/171 (75</w:t>
            </w:r>
            <w:r>
              <w:rPr>
                <w:sz w:val="24"/>
                <w:szCs w:val="24"/>
              </w:rPr>
              <w:t>%)</w:t>
            </w:r>
          </w:p>
        </w:tc>
      </w:tr>
      <w:tr w:rsidR="0077617A" w:rsidTr="0077617A">
        <w:tc>
          <w:tcPr>
            <w:tcW w:w="4621" w:type="dxa"/>
          </w:tcPr>
          <w:p w:rsidR="0077617A" w:rsidRDefault="0077617A" w:rsidP="00BF76B3">
            <w:pPr>
              <w:jc w:val="both"/>
              <w:rPr>
                <w:sz w:val="24"/>
                <w:szCs w:val="24"/>
              </w:rPr>
            </w:pPr>
            <w:r>
              <w:rPr>
                <w:sz w:val="24"/>
                <w:szCs w:val="24"/>
              </w:rPr>
              <w:t>Nurse</w:t>
            </w:r>
          </w:p>
        </w:tc>
        <w:tc>
          <w:tcPr>
            <w:tcW w:w="4621" w:type="dxa"/>
          </w:tcPr>
          <w:p w:rsidR="0077617A" w:rsidRDefault="00331C3F" w:rsidP="009D242A">
            <w:pPr>
              <w:jc w:val="both"/>
              <w:rPr>
                <w:sz w:val="24"/>
                <w:szCs w:val="24"/>
              </w:rPr>
            </w:pPr>
            <w:r>
              <w:rPr>
                <w:sz w:val="24"/>
                <w:szCs w:val="24"/>
              </w:rPr>
              <w:t>171</w:t>
            </w:r>
            <w:r w:rsidR="009D242A">
              <w:rPr>
                <w:sz w:val="24"/>
                <w:szCs w:val="24"/>
              </w:rPr>
              <w:t>/171</w:t>
            </w:r>
            <w:r>
              <w:rPr>
                <w:sz w:val="24"/>
                <w:szCs w:val="24"/>
              </w:rPr>
              <w:t xml:space="preserve"> (100%)</w:t>
            </w:r>
          </w:p>
        </w:tc>
      </w:tr>
      <w:tr w:rsidR="0077617A" w:rsidTr="0077617A">
        <w:tc>
          <w:tcPr>
            <w:tcW w:w="4621" w:type="dxa"/>
          </w:tcPr>
          <w:p w:rsidR="0077617A" w:rsidRDefault="0077617A" w:rsidP="00BF76B3">
            <w:pPr>
              <w:jc w:val="both"/>
              <w:rPr>
                <w:sz w:val="24"/>
                <w:szCs w:val="24"/>
              </w:rPr>
            </w:pPr>
            <w:r>
              <w:rPr>
                <w:sz w:val="24"/>
                <w:szCs w:val="24"/>
              </w:rPr>
              <w:t>Social Worker</w:t>
            </w:r>
          </w:p>
        </w:tc>
        <w:tc>
          <w:tcPr>
            <w:tcW w:w="4621" w:type="dxa"/>
          </w:tcPr>
          <w:p w:rsidR="0077617A" w:rsidRDefault="00331C3F" w:rsidP="009D242A">
            <w:pPr>
              <w:jc w:val="both"/>
              <w:rPr>
                <w:sz w:val="24"/>
                <w:szCs w:val="24"/>
              </w:rPr>
            </w:pPr>
            <w:r>
              <w:rPr>
                <w:sz w:val="24"/>
                <w:szCs w:val="24"/>
              </w:rPr>
              <w:t>122</w:t>
            </w:r>
            <w:r w:rsidR="009D242A">
              <w:rPr>
                <w:sz w:val="24"/>
                <w:szCs w:val="24"/>
              </w:rPr>
              <w:t>/171 (71</w:t>
            </w:r>
            <w:r>
              <w:rPr>
                <w:sz w:val="24"/>
                <w:szCs w:val="24"/>
              </w:rPr>
              <w:t>%)</w:t>
            </w:r>
          </w:p>
        </w:tc>
      </w:tr>
      <w:tr w:rsidR="0077617A" w:rsidTr="0077617A">
        <w:tc>
          <w:tcPr>
            <w:tcW w:w="4621" w:type="dxa"/>
          </w:tcPr>
          <w:p w:rsidR="0077617A" w:rsidRDefault="0077617A" w:rsidP="00BF76B3">
            <w:pPr>
              <w:jc w:val="both"/>
              <w:rPr>
                <w:sz w:val="24"/>
                <w:szCs w:val="24"/>
              </w:rPr>
            </w:pPr>
            <w:r>
              <w:rPr>
                <w:sz w:val="24"/>
                <w:szCs w:val="24"/>
              </w:rPr>
              <w:t>Occupational Therapist</w:t>
            </w:r>
          </w:p>
        </w:tc>
        <w:tc>
          <w:tcPr>
            <w:tcW w:w="4621" w:type="dxa"/>
          </w:tcPr>
          <w:p w:rsidR="0077617A" w:rsidRDefault="00331C3F" w:rsidP="009D242A">
            <w:pPr>
              <w:jc w:val="both"/>
              <w:rPr>
                <w:sz w:val="24"/>
                <w:szCs w:val="24"/>
              </w:rPr>
            </w:pPr>
            <w:r>
              <w:rPr>
                <w:sz w:val="24"/>
                <w:szCs w:val="24"/>
              </w:rPr>
              <w:t>72</w:t>
            </w:r>
            <w:r w:rsidR="009D242A">
              <w:rPr>
                <w:sz w:val="24"/>
                <w:szCs w:val="24"/>
              </w:rPr>
              <w:t>/171 (42</w:t>
            </w:r>
            <w:r>
              <w:rPr>
                <w:sz w:val="24"/>
                <w:szCs w:val="24"/>
              </w:rPr>
              <w:t>%)</w:t>
            </w:r>
          </w:p>
        </w:tc>
      </w:tr>
      <w:tr w:rsidR="0077617A" w:rsidTr="0077617A">
        <w:tc>
          <w:tcPr>
            <w:tcW w:w="4621" w:type="dxa"/>
          </w:tcPr>
          <w:p w:rsidR="0077617A" w:rsidRDefault="0077617A" w:rsidP="00BF76B3">
            <w:pPr>
              <w:jc w:val="both"/>
              <w:rPr>
                <w:sz w:val="24"/>
                <w:szCs w:val="24"/>
              </w:rPr>
            </w:pPr>
            <w:r>
              <w:rPr>
                <w:sz w:val="24"/>
                <w:szCs w:val="24"/>
              </w:rPr>
              <w:t>Psychologist</w:t>
            </w:r>
          </w:p>
        </w:tc>
        <w:tc>
          <w:tcPr>
            <w:tcW w:w="4621" w:type="dxa"/>
          </w:tcPr>
          <w:p w:rsidR="0077617A" w:rsidRDefault="00331C3F" w:rsidP="009D242A">
            <w:pPr>
              <w:jc w:val="both"/>
              <w:rPr>
                <w:sz w:val="24"/>
                <w:szCs w:val="24"/>
              </w:rPr>
            </w:pPr>
            <w:r>
              <w:rPr>
                <w:sz w:val="24"/>
                <w:szCs w:val="24"/>
              </w:rPr>
              <w:t>50</w:t>
            </w:r>
            <w:r w:rsidR="009D242A">
              <w:rPr>
                <w:sz w:val="24"/>
                <w:szCs w:val="24"/>
              </w:rPr>
              <w:t>/171 (29</w:t>
            </w:r>
            <w:r>
              <w:rPr>
                <w:sz w:val="24"/>
                <w:szCs w:val="24"/>
              </w:rPr>
              <w:t>%)</w:t>
            </w:r>
          </w:p>
        </w:tc>
      </w:tr>
      <w:tr w:rsidR="0077617A" w:rsidTr="0077617A">
        <w:tc>
          <w:tcPr>
            <w:tcW w:w="4621" w:type="dxa"/>
          </w:tcPr>
          <w:p w:rsidR="0077617A" w:rsidRDefault="0077617A" w:rsidP="00BF76B3">
            <w:pPr>
              <w:jc w:val="both"/>
              <w:rPr>
                <w:sz w:val="24"/>
                <w:szCs w:val="24"/>
              </w:rPr>
            </w:pPr>
            <w:r>
              <w:rPr>
                <w:sz w:val="24"/>
                <w:szCs w:val="24"/>
              </w:rPr>
              <w:t>Pharmacist</w:t>
            </w:r>
          </w:p>
        </w:tc>
        <w:tc>
          <w:tcPr>
            <w:tcW w:w="4621" w:type="dxa"/>
          </w:tcPr>
          <w:p w:rsidR="0077617A" w:rsidRDefault="00331C3F" w:rsidP="009D242A">
            <w:pPr>
              <w:jc w:val="both"/>
              <w:rPr>
                <w:sz w:val="24"/>
                <w:szCs w:val="24"/>
              </w:rPr>
            </w:pPr>
            <w:r>
              <w:rPr>
                <w:sz w:val="24"/>
                <w:szCs w:val="24"/>
              </w:rPr>
              <w:t>29</w:t>
            </w:r>
            <w:r w:rsidR="009D242A">
              <w:rPr>
                <w:sz w:val="24"/>
                <w:szCs w:val="24"/>
              </w:rPr>
              <w:t>/171</w:t>
            </w:r>
            <w:r>
              <w:rPr>
                <w:sz w:val="24"/>
                <w:szCs w:val="24"/>
              </w:rPr>
              <w:t xml:space="preserve"> (</w:t>
            </w:r>
            <w:r w:rsidR="009D242A">
              <w:rPr>
                <w:sz w:val="24"/>
                <w:szCs w:val="24"/>
              </w:rPr>
              <w:t>17</w:t>
            </w:r>
            <w:r>
              <w:rPr>
                <w:sz w:val="24"/>
                <w:szCs w:val="24"/>
              </w:rPr>
              <w:t>%)</w:t>
            </w:r>
          </w:p>
        </w:tc>
      </w:tr>
      <w:tr w:rsidR="009B3182" w:rsidTr="0077617A">
        <w:tc>
          <w:tcPr>
            <w:tcW w:w="4621" w:type="dxa"/>
          </w:tcPr>
          <w:p w:rsidR="009B3182" w:rsidRDefault="009B3182" w:rsidP="00672347">
            <w:pPr>
              <w:jc w:val="both"/>
              <w:rPr>
                <w:sz w:val="24"/>
                <w:szCs w:val="24"/>
              </w:rPr>
            </w:pPr>
            <w:r>
              <w:rPr>
                <w:sz w:val="24"/>
                <w:szCs w:val="24"/>
              </w:rPr>
              <w:t>Graduate Mental Health Worker</w:t>
            </w:r>
          </w:p>
        </w:tc>
        <w:tc>
          <w:tcPr>
            <w:tcW w:w="4621" w:type="dxa"/>
          </w:tcPr>
          <w:p w:rsidR="009B3182" w:rsidRDefault="009D242A" w:rsidP="009D242A">
            <w:pPr>
              <w:jc w:val="both"/>
              <w:rPr>
                <w:sz w:val="24"/>
                <w:szCs w:val="24"/>
              </w:rPr>
            </w:pPr>
            <w:r>
              <w:rPr>
                <w:sz w:val="24"/>
                <w:szCs w:val="24"/>
              </w:rPr>
              <w:t>10/171 (6</w:t>
            </w:r>
            <w:r w:rsidR="009B3182">
              <w:rPr>
                <w:sz w:val="24"/>
                <w:szCs w:val="24"/>
              </w:rPr>
              <w:t>%)</w:t>
            </w:r>
          </w:p>
        </w:tc>
      </w:tr>
      <w:tr w:rsidR="009B3182" w:rsidTr="0077617A">
        <w:tc>
          <w:tcPr>
            <w:tcW w:w="4621" w:type="dxa"/>
          </w:tcPr>
          <w:p w:rsidR="009B3182" w:rsidRDefault="009B3182" w:rsidP="0077617A">
            <w:pPr>
              <w:jc w:val="both"/>
              <w:rPr>
                <w:sz w:val="24"/>
                <w:szCs w:val="24"/>
              </w:rPr>
            </w:pPr>
            <w:r>
              <w:rPr>
                <w:sz w:val="24"/>
                <w:szCs w:val="24"/>
              </w:rPr>
              <w:t>Other support worker / staff without a mental health professional qualification</w:t>
            </w:r>
          </w:p>
        </w:tc>
        <w:tc>
          <w:tcPr>
            <w:tcW w:w="4621" w:type="dxa"/>
          </w:tcPr>
          <w:p w:rsidR="009B3182" w:rsidRDefault="009D242A" w:rsidP="009D242A">
            <w:pPr>
              <w:jc w:val="both"/>
              <w:rPr>
                <w:sz w:val="24"/>
                <w:szCs w:val="24"/>
              </w:rPr>
            </w:pPr>
            <w:r>
              <w:rPr>
                <w:sz w:val="24"/>
                <w:szCs w:val="24"/>
              </w:rPr>
              <w:t>145/171 (85</w:t>
            </w:r>
            <w:r w:rsidR="009B3182">
              <w:rPr>
                <w:sz w:val="24"/>
                <w:szCs w:val="24"/>
              </w:rPr>
              <w:t>%)</w:t>
            </w:r>
          </w:p>
        </w:tc>
      </w:tr>
      <w:tr w:rsidR="009B3182" w:rsidTr="0077617A">
        <w:tc>
          <w:tcPr>
            <w:tcW w:w="4621" w:type="dxa"/>
          </w:tcPr>
          <w:p w:rsidR="009B3182" w:rsidRDefault="009B3182" w:rsidP="00BF76B3">
            <w:pPr>
              <w:jc w:val="both"/>
              <w:rPr>
                <w:sz w:val="24"/>
                <w:szCs w:val="24"/>
              </w:rPr>
            </w:pPr>
            <w:r>
              <w:rPr>
                <w:sz w:val="24"/>
                <w:szCs w:val="24"/>
              </w:rPr>
              <w:t>Approved Mental Health Professional (AMHP)*</w:t>
            </w:r>
          </w:p>
        </w:tc>
        <w:tc>
          <w:tcPr>
            <w:tcW w:w="4621" w:type="dxa"/>
          </w:tcPr>
          <w:p w:rsidR="009B3182" w:rsidRDefault="009B3182" w:rsidP="00BF76B3">
            <w:pPr>
              <w:jc w:val="both"/>
              <w:rPr>
                <w:sz w:val="24"/>
                <w:szCs w:val="24"/>
              </w:rPr>
            </w:pPr>
            <w:r>
              <w:rPr>
                <w:sz w:val="24"/>
                <w:szCs w:val="24"/>
              </w:rPr>
              <w:t>109/173 (63%)</w:t>
            </w:r>
          </w:p>
        </w:tc>
      </w:tr>
      <w:tr w:rsidR="009B3182" w:rsidTr="0077617A">
        <w:tc>
          <w:tcPr>
            <w:tcW w:w="4621" w:type="dxa"/>
          </w:tcPr>
          <w:p w:rsidR="009B3182" w:rsidRDefault="009B3182" w:rsidP="00BF76B3">
            <w:pPr>
              <w:jc w:val="both"/>
              <w:rPr>
                <w:sz w:val="24"/>
                <w:szCs w:val="24"/>
              </w:rPr>
            </w:pPr>
            <w:r>
              <w:rPr>
                <w:sz w:val="24"/>
                <w:szCs w:val="24"/>
              </w:rPr>
              <w:t>Non-medical prescriber</w:t>
            </w:r>
          </w:p>
        </w:tc>
        <w:tc>
          <w:tcPr>
            <w:tcW w:w="4621" w:type="dxa"/>
          </w:tcPr>
          <w:p w:rsidR="009B3182" w:rsidRDefault="009B3182" w:rsidP="00BF76B3">
            <w:pPr>
              <w:jc w:val="both"/>
              <w:rPr>
                <w:sz w:val="24"/>
                <w:szCs w:val="24"/>
              </w:rPr>
            </w:pPr>
            <w:r>
              <w:rPr>
                <w:sz w:val="24"/>
                <w:szCs w:val="24"/>
              </w:rPr>
              <w:t>79/168 (47%)</w:t>
            </w:r>
          </w:p>
        </w:tc>
      </w:tr>
      <w:tr w:rsidR="009B3182" w:rsidTr="0077617A">
        <w:tc>
          <w:tcPr>
            <w:tcW w:w="4621" w:type="dxa"/>
            <w:shd w:val="clear" w:color="auto" w:fill="D9D9D9" w:themeFill="background1" w:themeFillShade="D9"/>
          </w:tcPr>
          <w:p w:rsidR="009B3182" w:rsidRDefault="009B3182" w:rsidP="00BF76B3">
            <w:pPr>
              <w:jc w:val="both"/>
              <w:rPr>
                <w:sz w:val="24"/>
                <w:szCs w:val="24"/>
              </w:rPr>
            </w:pPr>
          </w:p>
        </w:tc>
        <w:tc>
          <w:tcPr>
            <w:tcW w:w="4621" w:type="dxa"/>
            <w:shd w:val="clear" w:color="auto" w:fill="D9D9D9" w:themeFill="background1" w:themeFillShade="D9"/>
          </w:tcPr>
          <w:p w:rsidR="009B3182" w:rsidRDefault="009B3182" w:rsidP="00BF76B3">
            <w:pPr>
              <w:jc w:val="both"/>
              <w:rPr>
                <w:sz w:val="24"/>
                <w:szCs w:val="24"/>
              </w:rPr>
            </w:pPr>
          </w:p>
        </w:tc>
      </w:tr>
      <w:tr w:rsidR="009B3182" w:rsidTr="0077617A">
        <w:tc>
          <w:tcPr>
            <w:tcW w:w="4621" w:type="dxa"/>
          </w:tcPr>
          <w:p w:rsidR="009B3182" w:rsidRDefault="009D242A" w:rsidP="00BF76B3">
            <w:pPr>
              <w:jc w:val="both"/>
              <w:rPr>
                <w:sz w:val="24"/>
                <w:szCs w:val="24"/>
              </w:rPr>
            </w:pPr>
            <w:r>
              <w:rPr>
                <w:sz w:val="24"/>
                <w:szCs w:val="24"/>
              </w:rPr>
              <w:t>N</w:t>
            </w:r>
            <w:r w:rsidR="009B3182">
              <w:rPr>
                <w:sz w:val="24"/>
                <w:szCs w:val="24"/>
              </w:rPr>
              <w:t xml:space="preserve">umber of </w:t>
            </w:r>
            <w:r w:rsidR="009C6727">
              <w:rPr>
                <w:sz w:val="24"/>
                <w:szCs w:val="24"/>
              </w:rPr>
              <w:t xml:space="preserve">clinical </w:t>
            </w:r>
            <w:r w:rsidR="009B3182">
              <w:rPr>
                <w:sz w:val="24"/>
                <w:szCs w:val="24"/>
              </w:rPr>
              <w:t>staff in CRT team (full time equivalent)</w:t>
            </w:r>
            <w:r>
              <w:rPr>
                <w:sz w:val="24"/>
                <w:szCs w:val="24"/>
              </w:rPr>
              <w:t xml:space="preserve"> (n=171)</w:t>
            </w:r>
          </w:p>
        </w:tc>
        <w:tc>
          <w:tcPr>
            <w:tcW w:w="4621" w:type="dxa"/>
          </w:tcPr>
          <w:p w:rsidR="009B3182" w:rsidRDefault="009D242A" w:rsidP="00BF76B3">
            <w:pPr>
              <w:jc w:val="both"/>
              <w:rPr>
                <w:sz w:val="24"/>
                <w:szCs w:val="24"/>
              </w:rPr>
            </w:pPr>
            <w:r>
              <w:rPr>
                <w:sz w:val="24"/>
                <w:szCs w:val="24"/>
              </w:rPr>
              <w:t>mean = 20.8 fte (s.d. = 8.7; range 4.4 – 53.6)</w:t>
            </w:r>
          </w:p>
          <w:p w:rsidR="009D242A" w:rsidRDefault="009D242A" w:rsidP="00BF76B3">
            <w:pPr>
              <w:jc w:val="both"/>
              <w:rPr>
                <w:sz w:val="24"/>
                <w:szCs w:val="24"/>
              </w:rPr>
            </w:pPr>
            <w:r>
              <w:rPr>
                <w:sz w:val="24"/>
                <w:szCs w:val="24"/>
              </w:rPr>
              <w:t>median = 19.5fte</w:t>
            </w:r>
          </w:p>
        </w:tc>
      </w:tr>
      <w:tr w:rsidR="009B3182" w:rsidTr="0077617A">
        <w:tc>
          <w:tcPr>
            <w:tcW w:w="4621" w:type="dxa"/>
          </w:tcPr>
          <w:p w:rsidR="009B3182" w:rsidRDefault="009D242A" w:rsidP="00BF76B3">
            <w:pPr>
              <w:jc w:val="both"/>
              <w:rPr>
                <w:sz w:val="24"/>
                <w:szCs w:val="24"/>
              </w:rPr>
            </w:pPr>
            <w:r>
              <w:rPr>
                <w:sz w:val="24"/>
                <w:szCs w:val="24"/>
              </w:rPr>
              <w:t>C</w:t>
            </w:r>
            <w:r w:rsidR="009B3182">
              <w:rPr>
                <w:sz w:val="24"/>
                <w:szCs w:val="24"/>
              </w:rPr>
              <w:t>aseload size</w:t>
            </w:r>
          </w:p>
          <w:p w:rsidR="009D242A" w:rsidRDefault="009D242A" w:rsidP="00BF76B3">
            <w:pPr>
              <w:jc w:val="both"/>
              <w:rPr>
                <w:sz w:val="24"/>
                <w:szCs w:val="24"/>
              </w:rPr>
            </w:pPr>
            <w:r>
              <w:rPr>
                <w:sz w:val="24"/>
                <w:szCs w:val="24"/>
              </w:rPr>
              <w:t>(n=136)</w:t>
            </w:r>
          </w:p>
        </w:tc>
        <w:tc>
          <w:tcPr>
            <w:tcW w:w="4621" w:type="dxa"/>
          </w:tcPr>
          <w:p w:rsidR="009B3182" w:rsidRDefault="009D242A" w:rsidP="00BF76B3">
            <w:pPr>
              <w:jc w:val="both"/>
              <w:rPr>
                <w:sz w:val="24"/>
                <w:szCs w:val="24"/>
              </w:rPr>
            </w:pPr>
            <w:r>
              <w:rPr>
                <w:sz w:val="24"/>
                <w:szCs w:val="24"/>
              </w:rPr>
              <w:t>mean = 29.1 (s.d. = 13.9; range 10-80)</w:t>
            </w:r>
          </w:p>
          <w:p w:rsidR="009D242A" w:rsidRDefault="009D242A" w:rsidP="00BF76B3">
            <w:pPr>
              <w:jc w:val="both"/>
              <w:rPr>
                <w:sz w:val="24"/>
                <w:szCs w:val="24"/>
              </w:rPr>
            </w:pPr>
            <w:r>
              <w:rPr>
                <w:sz w:val="24"/>
                <w:szCs w:val="24"/>
              </w:rPr>
              <w:t>median = 26.5</w:t>
            </w:r>
          </w:p>
        </w:tc>
      </w:tr>
    </w:tbl>
    <w:p w:rsidR="0077617A" w:rsidRDefault="00F74FDD" w:rsidP="00F74FDD">
      <w:pPr>
        <w:jc w:val="both"/>
        <w:rPr>
          <w:sz w:val="24"/>
          <w:szCs w:val="24"/>
        </w:rPr>
      </w:pPr>
      <w:r w:rsidRPr="00F74FDD">
        <w:rPr>
          <w:sz w:val="24"/>
          <w:szCs w:val="24"/>
        </w:rPr>
        <w:t>*</w:t>
      </w:r>
      <w:r w:rsidR="00FF7510">
        <w:rPr>
          <w:sz w:val="24"/>
          <w:szCs w:val="24"/>
        </w:rPr>
        <w:t xml:space="preserve"> Role defined in</w:t>
      </w:r>
      <w:r>
        <w:rPr>
          <w:sz w:val="24"/>
          <w:szCs w:val="24"/>
        </w:rPr>
        <w:t xml:space="preserve"> 2007 amendment to the Mental Health Act 1983 for a mental health professional with training and responsibility for assessing need for compulsory detention in hospital </w:t>
      </w:r>
    </w:p>
    <w:p w:rsidR="0049494D" w:rsidRDefault="0049494D" w:rsidP="00F74FDD">
      <w:pPr>
        <w:jc w:val="both"/>
        <w:rPr>
          <w:sz w:val="24"/>
          <w:szCs w:val="24"/>
        </w:rPr>
      </w:pPr>
    </w:p>
    <w:p w:rsidR="0049494D" w:rsidRDefault="0049494D">
      <w:pPr>
        <w:rPr>
          <w:b/>
          <w:sz w:val="24"/>
          <w:szCs w:val="24"/>
        </w:rPr>
      </w:pPr>
      <w:r>
        <w:rPr>
          <w:b/>
          <w:sz w:val="24"/>
          <w:szCs w:val="24"/>
        </w:rPr>
        <w:br w:type="page"/>
      </w:r>
    </w:p>
    <w:p w:rsidR="0049494D" w:rsidRDefault="0049494D" w:rsidP="00F74FDD">
      <w:pPr>
        <w:jc w:val="both"/>
        <w:rPr>
          <w:b/>
          <w:sz w:val="24"/>
          <w:szCs w:val="24"/>
        </w:rPr>
      </w:pPr>
      <w:r>
        <w:rPr>
          <w:b/>
          <w:sz w:val="24"/>
          <w:szCs w:val="24"/>
        </w:rPr>
        <w:t xml:space="preserve">Table 3: </w:t>
      </w:r>
      <w:r w:rsidR="00EF6B52">
        <w:rPr>
          <w:b/>
          <w:sz w:val="24"/>
          <w:szCs w:val="24"/>
        </w:rPr>
        <w:t xml:space="preserve">Content of care </w:t>
      </w:r>
      <w:r>
        <w:rPr>
          <w:b/>
          <w:sz w:val="24"/>
          <w:szCs w:val="24"/>
        </w:rPr>
        <w:t>provided in CRTs</w:t>
      </w:r>
    </w:p>
    <w:tbl>
      <w:tblPr>
        <w:tblStyle w:val="TableGrid"/>
        <w:tblW w:w="0" w:type="auto"/>
        <w:tblLook w:val="04A0" w:firstRow="1" w:lastRow="0" w:firstColumn="1" w:lastColumn="0" w:noHBand="0" w:noVBand="1"/>
      </w:tblPr>
      <w:tblGrid>
        <w:gridCol w:w="5353"/>
        <w:gridCol w:w="3889"/>
      </w:tblGrid>
      <w:tr w:rsidR="0049494D" w:rsidTr="00556DEA">
        <w:tc>
          <w:tcPr>
            <w:tcW w:w="5353" w:type="dxa"/>
          </w:tcPr>
          <w:p w:rsidR="0049494D" w:rsidRDefault="0049494D" w:rsidP="00F74FDD">
            <w:pPr>
              <w:jc w:val="both"/>
              <w:rPr>
                <w:sz w:val="24"/>
                <w:szCs w:val="24"/>
              </w:rPr>
            </w:pPr>
            <w:r>
              <w:rPr>
                <w:sz w:val="24"/>
                <w:szCs w:val="24"/>
              </w:rPr>
              <w:t>Type of intervention</w:t>
            </w:r>
          </w:p>
        </w:tc>
        <w:tc>
          <w:tcPr>
            <w:tcW w:w="3889" w:type="dxa"/>
          </w:tcPr>
          <w:p w:rsidR="0049494D" w:rsidRDefault="0049494D" w:rsidP="00F74FDD">
            <w:pPr>
              <w:jc w:val="both"/>
              <w:rPr>
                <w:sz w:val="24"/>
                <w:szCs w:val="24"/>
              </w:rPr>
            </w:pPr>
            <w:r>
              <w:rPr>
                <w:sz w:val="24"/>
                <w:szCs w:val="24"/>
              </w:rPr>
              <w:t>Number of CRTs reporting providing this intervention to most o</w:t>
            </w:r>
            <w:r w:rsidR="00556DEA">
              <w:rPr>
                <w:sz w:val="24"/>
                <w:szCs w:val="24"/>
              </w:rPr>
              <w:t xml:space="preserve">r all service users who need it   </w:t>
            </w:r>
            <w:r>
              <w:rPr>
                <w:sz w:val="24"/>
                <w:szCs w:val="24"/>
              </w:rPr>
              <w:t>n/N (%)</w:t>
            </w:r>
          </w:p>
        </w:tc>
      </w:tr>
      <w:tr w:rsidR="00922D87" w:rsidTr="00672347">
        <w:tc>
          <w:tcPr>
            <w:tcW w:w="9242" w:type="dxa"/>
            <w:gridSpan w:val="2"/>
          </w:tcPr>
          <w:p w:rsidR="00922D87" w:rsidRPr="008E6AC0" w:rsidRDefault="00922D87" w:rsidP="00F74FDD">
            <w:pPr>
              <w:jc w:val="both"/>
              <w:rPr>
                <w:i/>
                <w:sz w:val="24"/>
                <w:szCs w:val="24"/>
              </w:rPr>
            </w:pPr>
            <w:r w:rsidRPr="008E6AC0">
              <w:rPr>
                <w:i/>
                <w:sz w:val="24"/>
                <w:szCs w:val="24"/>
              </w:rPr>
              <w:t>During CRT care</w:t>
            </w:r>
          </w:p>
        </w:tc>
      </w:tr>
      <w:tr w:rsidR="0049494D" w:rsidTr="00556DEA">
        <w:tc>
          <w:tcPr>
            <w:tcW w:w="5353" w:type="dxa"/>
          </w:tcPr>
          <w:p w:rsidR="0049494D" w:rsidRDefault="0049494D" w:rsidP="00F74FDD">
            <w:pPr>
              <w:jc w:val="both"/>
              <w:rPr>
                <w:sz w:val="24"/>
                <w:szCs w:val="24"/>
              </w:rPr>
            </w:pPr>
            <w:r>
              <w:rPr>
                <w:sz w:val="24"/>
                <w:szCs w:val="24"/>
              </w:rPr>
              <w:t>Prescribing medication</w:t>
            </w:r>
          </w:p>
        </w:tc>
        <w:tc>
          <w:tcPr>
            <w:tcW w:w="3889" w:type="dxa"/>
          </w:tcPr>
          <w:p w:rsidR="0049494D" w:rsidRDefault="00556DEA" w:rsidP="00F74FDD">
            <w:pPr>
              <w:jc w:val="both"/>
              <w:rPr>
                <w:sz w:val="24"/>
                <w:szCs w:val="24"/>
              </w:rPr>
            </w:pPr>
            <w:r>
              <w:rPr>
                <w:sz w:val="24"/>
                <w:szCs w:val="24"/>
              </w:rPr>
              <w:t>164/181 (91%)</w:t>
            </w:r>
          </w:p>
        </w:tc>
      </w:tr>
      <w:tr w:rsidR="0049494D" w:rsidTr="00556DEA">
        <w:tc>
          <w:tcPr>
            <w:tcW w:w="5353" w:type="dxa"/>
          </w:tcPr>
          <w:p w:rsidR="0049494D" w:rsidRDefault="0049494D" w:rsidP="00F74FDD">
            <w:pPr>
              <w:jc w:val="both"/>
              <w:rPr>
                <w:sz w:val="24"/>
                <w:szCs w:val="24"/>
              </w:rPr>
            </w:pPr>
            <w:r>
              <w:rPr>
                <w:sz w:val="24"/>
                <w:szCs w:val="24"/>
              </w:rPr>
              <w:t>Delivering medication</w:t>
            </w:r>
          </w:p>
        </w:tc>
        <w:tc>
          <w:tcPr>
            <w:tcW w:w="3889" w:type="dxa"/>
          </w:tcPr>
          <w:p w:rsidR="0049494D" w:rsidRDefault="000B601C" w:rsidP="00F74FDD">
            <w:pPr>
              <w:jc w:val="both"/>
              <w:rPr>
                <w:sz w:val="24"/>
                <w:szCs w:val="24"/>
              </w:rPr>
            </w:pPr>
            <w:r>
              <w:rPr>
                <w:sz w:val="24"/>
                <w:szCs w:val="24"/>
              </w:rPr>
              <w:t>139/181 (77%)</w:t>
            </w:r>
          </w:p>
        </w:tc>
      </w:tr>
      <w:tr w:rsidR="0049494D" w:rsidTr="00556DEA">
        <w:tc>
          <w:tcPr>
            <w:tcW w:w="5353" w:type="dxa"/>
          </w:tcPr>
          <w:p w:rsidR="0049494D" w:rsidRDefault="0049494D" w:rsidP="00F74FDD">
            <w:pPr>
              <w:jc w:val="both"/>
              <w:rPr>
                <w:sz w:val="24"/>
                <w:szCs w:val="24"/>
              </w:rPr>
            </w:pPr>
            <w:r>
              <w:rPr>
                <w:sz w:val="24"/>
                <w:szCs w:val="24"/>
              </w:rPr>
              <w:t>Supervising service users taking medication</w:t>
            </w:r>
          </w:p>
        </w:tc>
        <w:tc>
          <w:tcPr>
            <w:tcW w:w="3889" w:type="dxa"/>
          </w:tcPr>
          <w:p w:rsidR="0049494D" w:rsidRDefault="000B601C" w:rsidP="00F74FDD">
            <w:pPr>
              <w:jc w:val="both"/>
              <w:rPr>
                <w:sz w:val="24"/>
                <w:szCs w:val="24"/>
              </w:rPr>
            </w:pPr>
            <w:r>
              <w:rPr>
                <w:sz w:val="24"/>
                <w:szCs w:val="24"/>
              </w:rPr>
              <w:t>147/181 (81%)</w:t>
            </w:r>
          </w:p>
        </w:tc>
      </w:tr>
      <w:tr w:rsidR="0049494D" w:rsidTr="00556DEA">
        <w:tc>
          <w:tcPr>
            <w:tcW w:w="5353" w:type="dxa"/>
          </w:tcPr>
          <w:p w:rsidR="0049494D" w:rsidRDefault="0049494D" w:rsidP="00F74FDD">
            <w:pPr>
              <w:jc w:val="both"/>
              <w:rPr>
                <w:sz w:val="24"/>
                <w:szCs w:val="24"/>
              </w:rPr>
            </w:pPr>
            <w:r>
              <w:rPr>
                <w:sz w:val="24"/>
                <w:szCs w:val="24"/>
              </w:rPr>
              <w:t>Going shopping with/for service users</w:t>
            </w:r>
          </w:p>
        </w:tc>
        <w:tc>
          <w:tcPr>
            <w:tcW w:w="3889" w:type="dxa"/>
          </w:tcPr>
          <w:p w:rsidR="0049494D" w:rsidRDefault="000B601C" w:rsidP="00F74FDD">
            <w:pPr>
              <w:jc w:val="both"/>
              <w:rPr>
                <w:sz w:val="24"/>
                <w:szCs w:val="24"/>
              </w:rPr>
            </w:pPr>
            <w:r>
              <w:rPr>
                <w:sz w:val="24"/>
                <w:szCs w:val="24"/>
              </w:rPr>
              <w:t>74/181 (41%)</w:t>
            </w:r>
          </w:p>
        </w:tc>
      </w:tr>
      <w:tr w:rsidR="0049494D" w:rsidTr="00556DEA">
        <w:tc>
          <w:tcPr>
            <w:tcW w:w="5353" w:type="dxa"/>
          </w:tcPr>
          <w:p w:rsidR="0049494D" w:rsidRDefault="0049494D" w:rsidP="00F74FDD">
            <w:pPr>
              <w:jc w:val="both"/>
              <w:rPr>
                <w:sz w:val="24"/>
                <w:szCs w:val="24"/>
              </w:rPr>
            </w:pPr>
            <w:r>
              <w:rPr>
                <w:sz w:val="24"/>
                <w:szCs w:val="24"/>
              </w:rPr>
              <w:t>Preparing food with service users</w:t>
            </w:r>
          </w:p>
        </w:tc>
        <w:tc>
          <w:tcPr>
            <w:tcW w:w="3889" w:type="dxa"/>
          </w:tcPr>
          <w:p w:rsidR="0049494D" w:rsidRDefault="000B601C" w:rsidP="00F74FDD">
            <w:pPr>
              <w:jc w:val="both"/>
              <w:rPr>
                <w:sz w:val="24"/>
                <w:szCs w:val="24"/>
              </w:rPr>
            </w:pPr>
            <w:r>
              <w:rPr>
                <w:sz w:val="24"/>
                <w:szCs w:val="24"/>
              </w:rPr>
              <w:t>35/181 (19%)</w:t>
            </w:r>
          </w:p>
        </w:tc>
      </w:tr>
      <w:tr w:rsidR="0049494D" w:rsidTr="00556DEA">
        <w:tc>
          <w:tcPr>
            <w:tcW w:w="5353" w:type="dxa"/>
          </w:tcPr>
          <w:p w:rsidR="0049494D" w:rsidRDefault="00556DEA" w:rsidP="00F74FDD">
            <w:pPr>
              <w:jc w:val="both"/>
              <w:rPr>
                <w:sz w:val="24"/>
                <w:szCs w:val="24"/>
              </w:rPr>
            </w:pPr>
            <w:r>
              <w:rPr>
                <w:sz w:val="24"/>
                <w:szCs w:val="24"/>
              </w:rPr>
              <w:t>Helping service users to clean their home</w:t>
            </w:r>
          </w:p>
        </w:tc>
        <w:tc>
          <w:tcPr>
            <w:tcW w:w="3889" w:type="dxa"/>
          </w:tcPr>
          <w:p w:rsidR="0049494D" w:rsidRDefault="000B601C" w:rsidP="00F74FDD">
            <w:pPr>
              <w:jc w:val="both"/>
              <w:rPr>
                <w:sz w:val="24"/>
                <w:szCs w:val="24"/>
              </w:rPr>
            </w:pPr>
            <w:r>
              <w:rPr>
                <w:sz w:val="24"/>
                <w:szCs w:val="24"/>
              </w:rPr>
              <w:t>23/181(12%)</w:t>
            </w:r>
          </w:p>
        </w:tc>
      </w:tr>
      <w:tr w:rsidR="0049494D" w:rsidTr="00556DEA">
        <w:tc>
          <w:tcPr>
            <w:tcW w:w="5353" w:type="dxa"/>
          </w:tcPr>
          <w:p w:rsidR="0049494D" w:rsidRDefault="00556DEA" w:rsidP="00F74FDD">
            <w:pPr>
              <w:jc w:val="both"/>
              <w:rPr>
                <w:sz w:val="24"/>
                <w:szCs w:val="24"/>
              </w:rPr>
            </w:pPr>
            <w:r>
              <w:rPr>
                <w:sz w:val="24"/>
                <w:szCs w:val="24"/>
              </w:rPr>
              <w:t>Helping with problems with welfare benefits</w:t>
            </w:r>
          </w:p>
        </w:tc>
        <w:tc>
          <w:tcPr>
            <w:tcW w:w="3889" w:type="dxa"/>
          </w:tcPr>
          <w:p w:rsidR="0049494D" w:rsidRDefault="000B601C" w:rsidP="00F74FDD">
            <w:pPr>
              <w:jc w:val="both"/>
              <w:rPr>
                <w:sz w:val="24"/>
                <w:szCs w:val="24"/>
              </w:rPr>
            </w:pPr>
            <w:r>
              <w:rPr>
                <w:sz w:val="24"/>
                <w:szCs w:val="24"/>
              </w:rPr>
              <w:t>106/181 (59%)</w:t>
            </w:r>
          </w:p>
        </w:tc>
      </w:tr>
      <w:tr w:rsidR="0049494D" w:rsidTr="00556DEA">
        <w:tc>
          <w:tcPr>
            <w:tcW w:w="5353" w:type="dxa"/>
          </w:tcPr>
          <w:p w:rsidR="0049494D" w:rsidRDefault="00556DEA" w:rsidP="00F74FDD">
            <w:pPr>
              <w:jc w:val="both"/>
              <w:rPr>
                <w:sz w:val="24"/>
                <w:szCs w:val="24"/>
              </w:rPr>
            </w:pPr>
            <w:r>
              <w:rPr>
                <w:sz w:val="24"/>
                <w:szCs w:val="24"/>
              </w:rPr>
              <w:t>Helping with debt problems</w:t>
            </w:r>
          </w:p>
        </w:tc>
        <w:tc>
          <w:tcPr>
            <w:tcW w:w="3889" w:type="dxa"/>
          </w:tcPr>
          <w:p w:rsidR="0049494D" w:rsidRDefault="00922D87" w:rsidP="00F74FDD">
            <w:pPr>
              <w:jc w:val="both"/>
              <w:rPr>
                <w:sz w:val="24"/>
                <w:szCs w:val="24"/>
              </w:rPr>
            </w:pPr>
            <w:r>
              <w:rPr>
                <w:sz w:val="24"/>
                <w:szCs w:val="24"/>
              </w:rPr>
              <w:t>94/181 (52%)</w:t>
            </w:r>
          </w:p>
        </w:tc>
      </w:tr>
      <w:tr w:rsidR="0049494D" w:rsidTr="00556DEA">
        <w:tc>
          <w:tcPr>
            <w:tcW w:w="5353" w:type="dxa"/>
          </w:tcPr>
          <w:p w:rsidR="0049494D" w:rsidRDefault="00556DEA" w:rsidP="00556DEA">
            <w:pPr>
              <w:jc w:val="both"/>
              <w:rPr>
                <w:sz w:val="24"/>
                <w:szCs w:val="24"/>
              </w:rPr>
            </w:pPr>
            <w:r>
              <w:rPr>
                <w:sz w:val="24"/>
                <w:szCs w:val="24"/>
              </w:rPr>
              <w:t>Accompanying service users to the police station or court</w:t>
            </w:r>
          </w:p>
        </w:tc>
        <w:tc>
          <w:tcPr>
            <w:tcW w:w="3889" w:type="dxa"/>
          </w:tcPr>
          <w:p w:rsidR="0049494D" w:rsidRDefault="00922D87" w:rsidP="00F74FDD">
            <w:pPr>
              <w:jc w:val="both"/>
              <w:rPr>
                <w:sz w:val="24"/>
                <w:szCs w:val="24"/>
              </w:rPr>
            </w:pPr>
            <w:r>
              <w:rPr>
                <w:sz w:val="24"/>
                <w:szCs w:val="24"/>
              </w:rPr>
              <w:t>30/181 (17%)</w:t>
            </w:r>
          </w:p>
        </w:tc>
      </w:tr>
      <w:tr w:rsidR="0049494D" w:rsidTr="00556DEA">
        <w:tc>
          <w:tcPr>
            <w:tcW w:w="5353" w:type="dxa"/>
          </w:tcPr>
          <w:p w:rsidR="0049494D" w:rsidRDefault="00556DEA" w:rsidP="00556DEA">
            <w:pPr>
              <w:jc w:val="both"/>
              <w:rPr>
                <w:sz w:val="24"/>
                <w:szCs w:val="24"/>
              </w:rPr>
            </w:pPr>
            <w:r>
              <w:rPr>
                <w:sz w:val="24"/>
                <w:szCs w:val="24"/>
              </w:rPr>
              <w:t>Accompanying service users to GP appointments</w:t>
            </w:r>
          </w:p>
        </w:tc>
        <w:tc>
          <w:tcPr>
            <w:tcW w:w="3889" w:type="dxa"/>
          </w:tcPr>
          <w:p w:rsidR="0049494D" w:rsidRDefault="00922D87" w:rsidP="00F74FDD">
            <w:pPr>
              <w:jc w:val="both"/>
              <w:rPr>
                <w:sz w:val="24"/>
                <w:szCs w:val="24"/>
              </w:rPr>
            </w:pPr>
            <w:r>
              <w:rPr>
                <w:sz w:val="24"/>
                <w:szCs w:val="24"/>
              </w:rPr>
              <w:t>58/181 (32%)</w:t>
            </w:r>
          </w:p>
        </w:tc>
      </w:tr>
      <w:tr w:rsidR="0049494D" w:rsidTr="00556DEA">
        <w:tc>
          <w:tcPr>
            <w:tcW w:w="5353" w:type="dxa"/>
          </w:tcPr>
          <w:p w:rsidR="0049494D" w:rsidRDefault="00556DEA" w:rsidP="00F74FDD">
            <w:pPr>
              <w:jc w:val="both"/>
              <w:rPr>
                <w:sz w:val="24"/>
                <w:szCs w:val="24"/>
              </w:rPr>
            </w:pPr>
            <w:r>
              <w:rPr>
                <w:sz w:val="24"/>
                <w:szCs w:val="24"/>
              </w:rPr>
              <w:t>Physical health checks</w:t>
            </w:r>
          </w:p>
        </w:tc>
        <w:tc>
          <w:tcPr>
            <w:tcW w:w="3889" w:type="dxa"/>
          </w:tcPr>
          <w:p w:rsidR="0049494D" w:rsidRDefault="00922D87" w:rsidP="00F74FDD">
            <w:pPr>
              <w:jc w:val="both"/>
              <w:rPr>
                <w:sz w:val="24"/>
                <w:szCs w:val="24"/>
              </w:rPr>
            </w:pPr>
            <w:r>
              <w:rPr>
                <w:sz w:val="24"/>
                <w:szCs w:val="24"/>
              </w:rPr>
              <w:t>118/181 (65%)</w:t>
            </w:r>
          </w:p>
        </w:tc>
      </w:tr>
      <w:tr w:rsidR="0049494D" w:rsidTr="00556DEA">
        <w:tc>
          <w:tcPr>
            <w:tcW w:w="5353" w:type="dxa"/>
          </w:tcPr>
          <w:p w:rsidR="0049494D" w:rsidRDefault="00556DEA" w:rsidP="00F74FDD">
            <w:pPr>
              <w:jc w:val="both"/>
              <w:rPr>
                <w:sz w:val="24"/>
                <w:szCs w:val="24"/>
              </w:rPr>
            </w:pPr>
            <w:r>
              <w:rPr>
                <w:sz w:val="24"/>
                <w:szCs w:val="24"/>
              </w:rPr>
              <w:t xml:space="preserve">Staying with service users for extended periods to ensure safety or mitigate isolation </w:t>
            </w:r>
          </w:p>
        </w:tc>
        <w:tc>
          <w:tcPr>
            <w:tcW w:w="3889" w:type="dxa"/>
          </w:tcPr>
          <w:p w:rsidR="0049494D" w:rsidRDefault="00922D87" w:rsidP="00F74FDD">
            <w:pPr>
              <w:jc w:val="both"/>
              <w:rPr>
                <w:sz w:val="24"/>
                <w:szCs w:val="24"/>
              </w:rPr>
            </w:pPr>
            <w:r>
              <w:rPr>
                <w:sz w:val="24"/>
                <w:szCs w:val="24"/>
              </w:rPr>
              <w:t>64/181 (35%)</w:t>
            </w:r>
          </w:p>
        </w:tc>
      </w:tr>
      <w:tr w:rsidR="00922D87" w:rsidTr="00672347">
        <w:tc>
          <w:tcPr>
            <w:tcW w:w="9242" w:type="dxa"/>
            <w:gridSpan w:val="2"/>
          </w:tcPr>
          <w:p w:rsidR="00922D87" w:rsidRPr="008E6AC0" w:rsidRDefault="00922D87" w:rsidP="00F74FDD">
            <w:pPr>
              <w:jc w:val="both"/>
              <w:rPr>
                <w:i/>
                <w:sz w:val="24"/>
                <w:szCs w:val="24"/>
              </w:rPr>
            </w:pPr>
            <w:r w:rsidRPr="008E6AC0">
              <w:rPr>
                <w:i/>
                <w:sz w:val="24"/>
                <w:szCs w:val="24"/>
              </w:rPr>
              <w:t>Discharge support</w:t>
            </w:r>
          </w:p>
        </w:tc>
      </w:tr>
      <w:tr w:rsidR="0049494D" w:rsidTr="00556DEA">
        <w:tc>
          <w:tcPr>
            <w:tcW w:w="5353" w:type="dxa"/>
          </w:tcPr>
          <w:p w:rsidR="0049494D" w:rsidRDefault="00556DEA" w:rsidP="00F74FDD">
            <w:pPr>
              <w:jc w:val="both"/>
              <w:rPr>
                <w:sz w:val="24"/>
                <w:szCs w:val="24"/>
              </w:rPr>
            </w:pPr>
            <w:r>
              <w:rPr>
                <w:sz w:val="24"/>
                <w:szCs w:val="24"/>
              </w:rPr>
              <w:t>Formulating written relapse prevention plans with service users</w:t>
            </w:r>
          </w:p>
        </w:tc>
        <w:tc>
          <w:tcPr>
            <w:tcW w:w="3889" w:type="dxa"/>
          </w:tcPr>
          <w:p w:rsidR="0049494D" w:rsidRDefault="00556DEA" w:rsidP="00F74FDD">
            <w:pPr>
              <w:jc w:val="both"/>
              <w:rPr>
                <w:sz w:val="24"/>
                <w:szCs w:val="24"/>
              </w:rPr>
            </w:pPr>
            <w:r>
              <w:rPr>
                <w:sz w:val="24"/>
                <w:szCs w:val="24"/>
              </w:rPr>
              <w:t>116/184 (63%)</w:t>
            </w:r>
          </w:p>
        </w:tc>
      </w:tr>
      <w:tr w:rsidR="0049494D" w:rsidTr="00556DEA">
        <w:tc>
          <w:tcPr>
            <w:tcW w:w="5353" w:type="dxa"/>
          </w:tcPr>
          <w:p w:rsidR="0049494D" w:rsidRDefault="00556DEA" w:rsidP="00F74FDD">
            <w:pPr>
              <w:jc w:val="both"/>
              <w:rPr>
                <w:sz w:val="24"/>
                <w:szCs w:val="24"/>
              </w:rPr>
            </w:pPr>
            <w:r>
              <w:rPr>
                <w:sz w:val="24"/>
                <w:szCs w:val="24"/>
              </w:rPr>
              <w:t>Using advance directives or crisis cards</w:t>
            </w:r>
          </w:p>
        </w:tc>
        <w:tc>
          <w:tcPr>
            <w:tcW w:w="3889" w:type="dxa"/>
          </w:tcPr>
          <w:p w:rsidR="0049494D" w:rsidRDefault="00556DEA" w:rsidP="00F74FDD">
            <w:pPr>
              <w:jc w:val="both"/>
              <w:rPr>
                <w:sz w:val="24"/>
                <w:szCs w:val="24"/>
              </w:rPr>
            </w:pPr>
            <w:r>
              <w:rPr>
                <w:sz w:val="24"/>
                <w:szCs w:val="24"/>
              </w:rPr>
              <w:t>68/184 (37%)</w:t>
            </w:r>
          </w:p>
        </w:tc>
      </w:tr>
      <w:tr w:rsidR="0049494D" w:rsidTr="00556DEA">
        <w:tc>
          <w:tcPr>
            <w:tcW w:w="5353" w:type="dxa"/>
          </w:tcPr>
          <w:p w:rsidR="0049494D" w:rsidRDefault="008E6AC0" w:rsidP="00556DEA">
            <w:pPr>
              <w:jc w:val="both"/>
              <w:rPr>
                <w:sz w:val="24"/>
                <w:szCs w:val="24"/>
              </w:rPr>
            </w:pPr>
            <w:r>
              <w:rPr>
                <w:sz w:val="24"/>
                <w:szCs w:val="24"/>
              </w:rPr>
              <w:t>Using self-</w:t>
            </w:r>
            <w:r w:rsidR="00556DEA">
              <w:rPr>
                <w:sz w:val="24"/>
                <w:szCs w:val="24"/>
              </w:rPr>
              <w:t>management programmes (e.g. a Wellness Recovery Action Plan)</w:t>
            </w:r>
          </w:p>
        </w:tc>
        <w:tc>
          <w:tcPr>
            <w:tcW w:w="3889" w:type="dxa"/>
          </w:tcPr>
          <w:p w:rsidR="0049494D" w:rsidRDefault="00556DEA" w:rsidP="00F74FDD">
            <w:pPr>
              <w:jc w:val="both"/>
              <w:rPr>
                <w:sz w:val="24"/>
                <w:szCs w:val="24"/>
              </w:rPr>
            </w:pPr>
            <w:r>
              <w:rPr>
                <w:sz w:val="24"/>
                <w:szCs w:val="24"/>
              </w:rPr>
              <w:t>68/184 (37%)</w:t>
            </w:r>
          </w:p>
        </w:tc>
      </w:tr>
      <w:tr w:rsidR="0049494D" w:rsidTr="00556DEA">
        <w:tc>
          <w:tcPr>
            <w:tcW w:w="5353" w:type="dxa"/>
          </w:tcPr>
          <w:p w:rsidR="0049494D" w:rsidRDefault="00556DEA" w:rsidP="00F74FDD">
            <w:pPr>
              <w:jc w:val="both"/>
              <w:rPr>
                <w:sz w:val="24"/>
                <w:szCs w:val="24"/>
              </w:rPr>
            </w:pPr>
            <w:r>
              <w:rPr>
                <w:sz w:val="24"/>
                <w:szCs w:val="24"/>
              </w:rPr>
              <w:t>Offering follow-up phone calls or visits post-discharge</w:t>
            </w:r>
          </w:p>
        </w:tc>
        <w:tc>
          <w:tcPr>
            <w:tcW w:w="3889" w:type="dxa"/>
          </w:tcPr>
          <w:p w:rsidR="0049494D" w:rsidRDefault="00556DEA" w:rsidP="00F74FDD">
            <w:pPr>
              <w:jc w:val="both"/>
              <w:rPr>
                <w:sz w:val="24"/>
                <w:szCs w:val="24"/>
              </w:rPr>
            </w:pPr>
            <w:r>
              <w:rPr>
                <w:sz w:val="24"/>
                <w:szCs w:val="24"/>
              </w:rPr>
              <w:t>83/184 (45%)</w:t>
            </w:r>
          </w:p>
        </w:tc>
      </w:tr>
    </w:tbl>
    <w:p w:rsidR="0049494D" w:rsidRPr="0049494D" w:rsidRDefault="0049494D" w:rsidP="00F74FDD">
      <w:pPr>
        <w:jc w:val="both"/>
        <w:rPr>
          <w:sz w:val="24"/>
          <w:szCs w:val="24"/>
        </w:rPr>
      </w:pPr>
    </w:p>
    <w:p w:rsidR="00793775" w:rsidRDefault="00793775">
      <w:pPr>
        <w:rPr>
          <w:b/>
          <w:sz w:val="24"/>
          <w:szCs w:val="24"/>
        </w:rPr>
      </w:pPr>
      <w:r>
        <w:rPr>
          <w:b/>
          <w:sz w:val="24"/>
          <w:szCs w:val="24"/>
        </w:rPr>
        <w:br w:type="page"/>
      </w:r>
    </w:p>
    <w:p w:rsidR="00793775" w:rsidRDefault="00793775">
      <w:pPr>
        <w:rPr>
          <w:b/>
          <w:sz w:val="24"/>
          <w:szCs w:val="24"/>
        </w:rPr>
      </w:pPr>
      <w:r>
        <w:rPr>
          <w:b/>
          <w:sz w:val="24"/>
          <w:szCs w:val="24"/>
        </w:rPr>
        <w:t xml:space="preserve">Table 4: </w:t>
      </w:r>
      <w:r w:rsidR="00F61177">
        <w:rPr>
          <w:b/>
          <w:sz w:val="24"/>
          <w:szCs w:val="24"/>
        </w:rPr>
        <w:t>I</w:t>
      </w:r>
      <w:r>
        <w:rPr>
          <w:b/>
          <w:sz w:val="24"/>
          <w:szCs w:val="24"/>
        </w:rPr>
        <w:t xml:space="preserve">nitiatives to improve service users’ and carers’ experience of </w:t>
      </w:r>
      <w:r w:rsidR="00F61177">
        <w:rPr>
          <w:b/>
          <w:sz w:val="24"/>
          <w:szCs w:val="24"/>
        </w:rPr>
        <w:t>CRTs</w:t>
      </w:r>
    </w:p>
    <w:tbl>
      <w:tblPr>
        <w:tblW w:w="9039" w:type="dxa"/>
        <w:tblCellMar>
          <w:left w:w="0" w:type="dxa"/>
          <w:right w:w="0" w:type="dxa"/>
        </w:tblCellMar>
        <w:tblLook w:val="04A0" w:firstRow="1" w:lastRow="0" w:firstColumn="1" w:lastColumn="0" w:noHBand="0" w:noVBand="1"/>
      </w:tblPr>
      <w:tblGrid>
        <w:gridCol w:w="6062"/>
        <w:gridCol w:w="2977"/>
      </w:tblGrid>
      <w:tr w:rsidR="00D73E12" w:rsidRPr="00D73E12" w:rsidTr="00D73E12">
        <w:trPr>
          <w:cantSplit/>
          <w:tblHeader/>
        </w:trPr>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Initiative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Number of teams using the initiative  n/N (%)</w:t>
            </w:r>
          </w:p>
        </w:tc>
      </w:tr>
      <w:tr w:rsidR="00D73E12" w:rsidRPr="00D73E12" w:rsidTr="00D73E12">
        <w:trPr>
          <w:cantSplit/>
          <w:trHeight w:val="481"/>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Named / key worker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102/175  (58%)</w:t>
            </w:r>
          </w:p>
        </w:tc>
      </w:tr>
      <w:tr w:rsidR="00D73E12" w:rsidRPr="00D73E12" w:rsidTr="00D73E12">
        <w:trPr>
          <w:cantSplit/>
          <w:trHeight w:val="530"/>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Limiting number of staff working with each service user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120/175  (69%)</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Minimum duration for staff visits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21/175 (12%)</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Minimum frequency for staff visits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65/175 (37%)</w:t>
            </w:r>
          </w:p>
        </w:tc>
      </w:tr>
      <w:tr w:rsidR="00D73E12" w:rsidRPr="00D73E12" w:rsidTr="00D73E12">
        <w:trPr>
          <w:cantSplit/>
          <w:trHeight w:val="510"/>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Collecting service user feedback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144/175 (82%)</w:t>
            </w:r>
          </w:p>
        </w:tc>
      </w:tr>
      <w:tr w:rsidR="00D73E12" w:rsidRPr="00D73E12" w:rsidTr="00D73E12">
        <w:trPr>
          <w:cantSplit/>
          <w:trHeight w:val="560"/>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Collecting carer feedback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101/175 (57%)</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Involving service users in service management / advisory groups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120/175 (69%)</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Involving carers in service management / advisory groups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94/175 (54%)</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672347">
            <w:pPr>
              <w:spacing w:line="240" w:lineRule="auto"/>
              <w:rPr>
                <w:bCs/>
                <w:sz w:val="24"/>
                <w:szCs w:val="24"/>
              </w:rPr>
            </w:pPr>
            <w:r w:rsidRPr="00D73E12">
              <w:rPr>
                <w:bCs/>
                <w:sz w:val="24"/>
                <w:szCs w:val="24"/>
              </w:rPr>
              <w:t>Employing prior service users as staff</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45/175 (26%)</w:t>
            </w:r>
          </w:p>
        </w:tc>
      </w:tr>
      <w:tr w:rsidR="00D73E12" w:rsidRPr="00D73E12" w:rsidTr="00D73E12">
        <w:trPr>
          <w:cantSplit/>
          <w:trHeight w:val="552"/>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Employing carers as staff</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27/175 (15%)</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Involving service users in staff recruitment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124/175 (71%)</w:t>
            </w:r>
          </w:p>
        </w:tc>
      </w:tr>
      <w:tr w:rsidR="00D73E12" w:rsidRPr="00D73E12" w:rsidTr="00D73E12">
        <w:trPr>
          <w:cantSplit/>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Involving service users in staff training</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143/175 (82%)</w:t>
            </w:r>
          </w:p>
        </w:tc>
      </w:tr>
      <w:tr w:rsidR="00D73E12" w:rsidRPr="00D73E12" w:rsidTr="00D73E12">
        <w:trPr>
          <w:cantSplit/>
          <w:trHeight w:val="518"/>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Client-held records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76/175 (43%)</w:t>
            </w:r>
          </w:p>
        </w:tc>
      </w:tr>
      <w:tr w:rsidR="00D73E12" w:rsidRPr="00D73E12" w:rsidTr="00D73E12">
        <w:trPr>
          <w:cantSplit/>
          <w:trHeight w:val="540"/>
        </w:trPr>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bCs/>
                <w:sz w:val="24"/>
                <w:szCs w:val="24"/>
              </w:rPr>
            </w:pPr>
            <w:r w:rsidRPr="00D73E12">
              <w:rPr>
                <w:bCs/>
                <w:sz w:val="24"/>
                <w:szCs w:val="24"/>
              </w:rPr>
              <w:t>Other initiative to improve service user / carer experiences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73E12" w:rsidRPr="00D73E12" w:rsidRDefault="00D73E12" w:rsidP="00D73E12">
            <w:pPr>
              <w:spacing w:line="240" w:lineRule="auto"/>
              <w:rPr>
                <w:sz w:val="24"/>
                <w:szCs w:val="24"/>
              </w:rPr>
            </w:pPr>
            <w:r w:rsidRPr="00D73E12">
              <w:rPr>
                <w:sz w:val="24"/>
                <w:szCs w:val="24"/>
              </w:rPr>
              <w:t>69/164 (42%)</w:t>
            </w:r>
          </w:p>
        </w:tc>
      </w:tr>
    </w:tbl>
    <w:p w:rsidR="00793775" w:rsidRDefault="00793775">
      <w:pPr>
        <w:rPr>
          <w:b/>
          <w:sz w:val="24"/>
          <w:szCs w:val="24"/>
        </w:rPr>
      </w:pPr>
    </w:p>
    <w:p w:rsidR="00793775" w:rsidRDefault="00793775">
      <w:pPr>
        <w:rPr>
          <w:b/>
          <w:sz w:val="24"/>
          <w:szCs w:val="24"/>
        </w:rPr>
      </w:pPr>
    </w:p>
    <w:p w:rsidR="009C6727" w:rsidRDefault="009C6727">
      <w:pPr>
        <w:rPr>
          <w:b/>
          <w:sz w:val="24"/>
          <w:szCs w:val="24"/>
        </w:rPr>
      </w:pPr>
      <w:r>
        <w:rPr>
          <w:b/>
          <w:sz w:val="24"/>
          <w:szCs w:val="24"/>
        </w:rPr>
        <w:br w:type="page"/>
      </w:r>
    </w:p>
    <w:p w:rsidR="005606C9" w:rsidRDefault="00922D87" w:rsidP="00BF76B3">
      <w:pPr>
        <w:jc w:val="both"/>
        <w:rPr>
          <w:b/>
          <w:sz w:val="24"/>
          <w:szCs w:val="24"/>
        </w:rPr>
      </w:pPr>
      <w:r>
        <w:rPr>
          <w:b/>
          <w:sz w:val="24"/>
          <w:szCs w:val="24"/>
        </w:rPr>
        <w:t>Table 5</w:t>
      </w:r>
      <w:r w:rsidR="005606C9">
        <w:rPr>
          <w:b/>
          <w:sz w:val="24"/>
          <w:szCs w:val="24"/>
        </w:rPr>
        <w:t>: CRTs’ adherence to original Department of Health 2001 guidance*</w:t>
      </w:r>
    </w:p>
    <w:tbl>
      <w:tblPr>
        <w:tblStyle w:val="TableGrid"/>
        <w:tblW w:w="0" w:type="auto"/>
        <w:tblLook w:val="04A0" w:firstRow="1" w:lastRow="0" w:firstColumn="1" w:lastColumn="0" w:noHBand="0" w:noVBand="1"/>
      </w:tblPr>
      <w:tblGrid>
        <w:gridCol w:w="3080"/>
        <w:gridCol w:w="3081"/>
        <w:gridCol w:w="3081"/>
      </w:tblGrid>
      <w:tr w:rsidR="005606C9" w:rsidTr="005606C9">
        <w:tc>
          <w:tcPr>
            <w:tcW w:w="3080" w:type="dxa"/>
          </w:tcPr>
          <w:p w:rsidR="005606C9" w:rsidRDefault="005606C9" w:rsidP="00BF76B3">
            <w:pPr>
              <w:jc w:val="both"/>
              <w:rPr>
                <w:sz w:val="24"/>
                <w:szCs w:val="24"/>
              </w:rPr>
            </w:pPr>
            <w:r>
              <w:rPr>
                <w:sz w:val="24"/>
                <w:szCs w:val="24"/>
              </w:rPr>
              <w:t>CRT Domain</w:t>
            </w:r>
          </w:p>
        </w:tc>
        <w:tc>
          <w:tcPr>
            <w:tcW w:w="3081" w:type="dxa"/>
          </w:tcPr>
          <w:p w:rsidR="005606C9" w:rsidRDefault="005606C9" w:rsidP="00744DCA">
            <w:pPr>
              <w:jc w:val="both"/>
              <w:rPr>
                <w:sz w:val="24"/>
                <w:szCs w:val="24"/>
              </w:rPr>
            </w:pPr>
            <w:r>
              <w:rPr>
                <w:sz w:val="24"/>
                <w:szCs w:val="24"/>
              </w:rPr>
              <w:t xml:space="preserve">CRT </w:t>
            </w:r>
            <w:r w:rsidR="00744DCA">
              <w:rPr>
                <w:sz w:val="24"/>
                <w:szCs w:val="24"/>
              </w:rPr>
              <w:t>service aspect</w:t>
            </w:r>
          </w:p>
        </w:tc>
        <w:tc>
          <w:tcPr>
            <w:tcW w:w="3081" w:type="dxa"/>
          </w:tcPr>
          <w:p w:rsidR="005606C9" w:rsidRDefault="005606C9" w:rsidP="00BF76B3">
            <w:pPr>
              <w:jc w:val="both"/>
              <w:rPr>
                <w:sz w:val="24"/>
                <w:szCs w:val="24"/>
              </w:rPr>
            </w:pPr>
            <w:r>
              <w:rPr>
                <w:sz w:val="24"/>
                <w:szCs w:val="24"/>
              </w:rPr>
              <w:t>Proportion of CRTs meeting DH guidance</w:t>
            </w:r>
          </w:p>
          <w:p w:rsidR="005606C9" w:rsidRDefault="005606C9" w:rsidP="00BF76B3">
            <w:pPr>
              <w:jc w:val="both"/>
              <w:rPr>
                <w:sz w:val="24"/>
                <w:szCs w:val="24"/>
              </w:rPr>
            </w:pPr>
            <w:r>
              <w:rPr>
                <w:sz w:val="24"/>
                <w:szCs w:val="24"/>
              </w:rPr>
              <w:t>n/N (%)</w:t>
            </w:r>
          </w:p>
        </w:tc>
      </w:tr>
      <w:tr w:rsidR="005606C9" w:rsidTr="005606C9">
        <w:tc>
          <w:tcPr>
            <w:tcW w:w="3080" w:type="dxa"/>
            <w:vMerge w:val="restart"/>
          </w:tcPr>
          <w:p w:rsidR="005606C9" w:rsidRDefault="005606C9" w:rsidP="00BF76B3">
            <w:pPr>
              <w:jc w:val="both"/>
              <w:rPr>
                <w:sz w:val="24"/>
                <w:szCs w:val="24"/>
              </w:rPr>
            </w:pPr>
          </w:p>
          <w:p w:rsidR="005606C9" w:rsidRDefault="005606C9" w:rsidP="00BF76B3">
            <w:pPr>
              <w:jc w:val="both"/>
              <w:rPr>
                <w:sz w:val="24"/>
                <w:szCs w:val="24"/>
              </w:rPr>
            </w:pPr>
          </w:p>
          <w:p w:rsidR="005606C9" w:rsidRDefault="005606C9" w:rsidP="00BF76B3">
            <w:pPr>
              <w:jc w:val="both"/>
              <w:rPr>
                <w:sz w:val="24"/>
                <w:szCs w:val="24"/>
              </w:rPr>
            </w:pPr>
            <w:r>
              <w:rPr>
                <w:sz w:val="24"/>
                <w:szCs w:val="24"/>
              </w:rPr>
              <w:t>Role and access</w:t>
            </w:r>
          </w:p>
        </w:tc>
        <w:tc>
          <w:tcPr>
            <w:tcW w:w="3081" w:type="dxa"/>
          </w:tcPr>
          <w:p w:rsidR="005606C9" w:rsidRPr="00D73E12" w:rsidRDefault="005606C9" w:rsidP="00672347">
            <w:pPr>
              <w:jc w:val="both"/>
              <w:rPr>
                <w:sz w:val="20"/>
                <w:szCs w:val="20"/>
              </w:rPr>
            </w:pPr>
            <w:r w:rsidRPr="00D73E12">
              <w:rPr>
                <w:sz w:val="20"/>
                <w:szCs w:val="20"/>
              </w:rPr>
              <w:t>24 hour service</w:t>
            </w:r>
          </w:p>
        </w:tc>
        <w:tc>
          <w:tcPr>
            <w:tcW w:w="3081" w:type="dxa"/>
          </w:tcPr>
          <w:p w:rsidR="005606C9" w:rsidRPr="00D73E12" w:rsidRDefault="0081334F" w:rsidP="00BF76B3">
            <w:pPr>
              <w:jc w:val="both"/>
              <w:rPr>
                <w:sz w:val="20"/>
                <w:szCs w:val="20"/>
              </w:rPr>
            </w:pPr>
            <w:r w:rsidRPr="00D73E12">
              <w:rPr>
                <w:sz w:val="20"/>
                <w:szCs w:val="20"/>
              </w:rPr>
              <w:t>65/166 (39%)</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Easy referral routes</w:t>
            </w:r>
          </w:p>
        </w:tc>
        <w:tc>
          <w:tcPr>
            <w:tcW w:w="3081" w:type="dxa"/>
          </w:tcPr>
          <w:p w:rsidR="005606C9" w:rsidRPr="00D73E12" w:rsidRDefault="0081334F" w:rsidP="00BF76B3">
            <w:pPr>
              <w:jc w:val="both"/>
              <w:rPr>
                <w:sz w:val="20"/>
                <w:szCs w:val="20"/>
              </w:rPr>
            </w:pPr>
            <w:r w:rsidRPr="00D73E12">
              <w:rPr>
                <w:sz w:val="20"/>
                <w:szCs w:val="20"/>
              </w:rPr>
              <w:t>94/191 (49%)</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 xml:space="preserve">Works with adults 16-65 </w:t>
            </w:r>
          </w:p>
        </w:tc>
        <w:tc>
          <w:tcPr>
            <w:tcW w:w="3081" w:type="dxa"/>
          </w:tcPr>
          <w:p w:rsidR="005606C9" w:rsidRPr="00D73E12" w:rsidRDefault="0081334F" w:rsidP="00BF76B3">
            <w:pPr>
              <w:jc w:val="both"/>
              <w:rPr>
                <w:sz w:val="20"/>
                <w:szCs w:val="20"/>
              </w:rPr>
            </w:pPr>
            <w:r w:rsidRPr="00D73E12">
              <w:rPr>
                <w:sz w:val="20"/>
                <w:szCs w:val="20"/>
              </w:rPr>
              <w:t>97/192 (51%)</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Gatekeeping role</w:t>
            </w:r>
          </w:p>
        </w:tc>
        <w:tc>
          <w:tcPr>
            <w:tcW w:w="3081" w:type="dxa"/>
          </w:tcPr>
          <w:p w:rsidR="005606C9" w:rsidRPr="00D73E12" w:rsidRDefault="0081334F" w:rsidP="00BF76B3">
            <w:pPr>
              <w:jc w:val="both"/>
              <w:rPr>
                <w:sz w:val="20"/>
                <w:szCs w:val="20"/>
              </w:rPr>
            </w:pPr>
            <w:r w:rsidRPr="00D73E12">
              <w:rPr>
                <w:sz w:val="20"/>
                <w:szCs w:val="20"/>
              </w:rPr>
              <w:t>167/187 (89%)</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Early Discharge service</w:t>
            </w:r>
          </w:p>
        </w:tc>
        <w:tc>
          <w:tcPr>
            <w:tcW w:w="3081" w:type="dxa"/>
          </w:tcPr>
          <w:p w:rsidR="005606C9" w:rsidRPr="00D73E12" w:rsidRDefault="0081334F" w:rsidP="00BF76B3">
            <w:pPr>
              <w:jc w:val="both"/>
              <w:rPr>
                <w:sz w:val="20"/>
                <w:szCs w:val="20"/>
              </w:rPr>
            </w:pPr>
            <w:r w:rsidRPr="00D73E12">
              <w:rPr>
                <w:sz w:val="20"/>
                <w:szCs w:val="20"/>
              </w:rPr>
              <w:t>100/121 (83%)</w:t>
            </w:r>
          </w:p>
        </w:tc>
      </w:tr>
      <w:tr w:rsidR="005606C9" w:rsidTr="00800786">
        <w:tc>
          <w:tcPr>
            <w:tcW w:w="3080" w:type="dxa"/>
            <w:vMerge/>
          </w:tcPr>
          <w:p w:rsidR="005606C9" w:rsidRDefault="005606C9" w:rsidP="00BF76B3">
            <w:pPr>
              <w:jc w:val="both"/>
              <w:rPr>
                <w:sz w:val="24"/>
                <w:szCs w:val="24"/>
              </w:rPr>
            </w:pPr>
          </w:p>
        </w:tc>
        <w:tc>
          <w:tcPr>
            <w:tcW w:w="3081" w:type="dxa"/>
            <w:shd w:val="clear" w:color="auto" w:fill="D9D9D9" w:themeFill="background1" w:themeFillShade="D9"/>
          </w:tcPr>
          <w:p w:rsidR="005606C9" w:rsidRPr="00D73E12" w:rsidRDefault="005606C9" w:rsidP="00672347">
            <w:pPr>
              <w:jc w:val="both"/>
              <w:rPr>
                <w:sz w:val="20"/>
                <w:szCs w:val="20"/>
              </w:rPr>
            </w:pPr>
            <w:r w:rsidRPr="00D73E12">
              <w:rPr>
                <w:sz w:val="20"/>
                <w:szCs w:val="20"/>
              </w:rPr>
              <w:t>All role and access variables</w:t>
            </w:r>
          </w:p>
        </w:tc>
        <w:tc>
          <w:tcPr>
            <w:tcW w:w="3081" w:type="dxa"/>
            <w:shd w:val="clear" w:color="auto" w:fill="D9D9D9" w:themeFill="background1" w:themeFillShade="D9"/>
          </w:tcPr>
          <w:p w:rsidR="005606C9" w:rsidRPr="00D73E12" w:rsidRDefault="0081334F" w:rsidP="00BF76B3">
            <w:pPr>
              <w:jc w:val="both"/>
              <w:rPr>
                <w:sz w:val="20"/>
                <w:szCs w:val="20"/>
              </w:rPr>
            </w:pPr>
            <w:r w:rsidRPr="00D73E12">
              <w:rPr>
                <w:sz w:val="20"/>
                <w:szCs w:val="20"/>
              </w:rPr>
              <w:t>7/110 (6%)</w:t>
            </w:r>
          </w:p>
        </w:tc>
      </w:tr>
      <w:tr w:rsidR="005606C9" w:rsidTr="005606C9">
        <w:tc>
          <w:tcPr>
            <w:tcW w:w="3080" w:type="dxa"/>
            <w:vMerge w:val="restart"/>
          </w:tcPr>
          <w:p w:rsidR="005606C9" w:rsidRDefault="005606C9" w:rsidP="00BF76B3">
            <w:pPr>
              <w:jc w:val="both"/>
              <w:rPr>
                <w:sz w:val="24"/>
                <w:szCs w:val="24"/>
              </w:rPr>
            </w:pPr>
          </w:p>
          <w:p w:rsidR="005606C9" w:rsidRDefault="005606C9" w:rsidP="00BF76B3">
            <w:pPr>
              <w:jc w:val="both"/>
              <w:rPr>
                <w:sz w:val="24"/>
                <w:szCs w:val="24"/>
              </w:rPr>
            </w:pPr>
            <w:r>
              <w:rPr>
                <w:sz w:val="24"/>
                <w:szCs w:val="24"/>
              </w:rPr>
              <w:t>Staffing</w:t>
            </w:r>
          </w:p>
        </w:tc>
        <w:tc>
          <w:tcPr>
            <w:tcW w:w="3081" w:type="dxa"/>
          </w:tcPr>
          <w:p w:rsidR="005606C9" w:rsidRPr="00D73E12" w:rsidRDefault="005606C9" w:rsidP="00672347">
            <w:pPr>
              <w:jc w:val="both"/>
              <w:rPr>
                <w:sz w:val="20"/>
                <w:szCs w:val="20"/>
              </w:rPr>
            </w:pPr>
            <w:r w:rsidRPr="00D73E12">
              <w:rPr>
                <w:sz w:val="20"/>
                <w:szCs w:val="20"/>
              </w:rPr>
              <w:t>Medical cover</w:t>
            </w:r>
          </w:p>
        </w:tc>
        <w:tc>
          <w:tcPr>
            <w:tcW w:w="3081" w:type="dxa"/>
          </w:tcPr>
          <w:p w:rsidR="005606C9" w:rsidRPr="00D73E12" w:rsidRDefault="00800786" w:rsidP="00BF76B3">
            <w:pPr>
              <w:jc w:val="both"/>
              <w:rPr>
                <w:sz w:val="20"/>
                <w:szCs w:val="20"/>
              </w:rPr>
            </w:pPr>
            <w:r w:rsidRPr="00D73E12">
              <w:rPr>
                <w:sz w:val="20"/>
                <w:szCs w:val="20"/>
              </w:rPr>
              <w:t>121/158 (77%)</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Multi-disciplinarity</w:t>
            </w:r>
          </w:p>
        </w:tc>
        <w:tc>
          <w:tcPr>
            <w:tcW w:w="3081" w:type="dxa"/>
          </w:tcPr>
          <w:p w:rsidR="005606C9" w:rsidRPr="00D73E12" w:rsidRDefault="00800786" w:rsidP="00BF76B3">
            <w:pPr>
              <w:jc w:val="both"/>
              <w:rPr>
                <w:sz w:val="20"/>
                <w:szCs w:val="20"/>
              </w:rPr>
            </w:pPr>
            <w:r w:rsidRPr="00D73E12">
              <w:rPr>
                <w:sz w:val="20"/>
                <w:szCs w:val="20"/>
              </w:rPr>
              <w:t>17/150 (11%)</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Staffing level</w:t>
            </w:r>
          </w:p>
        </w:tc>
        <w:tc>
          <w:tcPr>
            <w:tcW w:w="3081" w:type="dxa"/>
          </w:tcPr>
          <w:p w:rsidR="005606C9" w:rsidRPr="00D73E12" w:rsidRDefault="00800786" w:rsidP="00BF76B3">
            <w:pPr>
              <w:jc w:val="both"/>
              <w:rPr>
                <w:sz w:val="20"/>
                <w:szCs w:val="20"/>
              </w:rPr>
            </w:pPr>
            <w:r w:rsidRPr="00D73E12">
              <w:rPr>
                <w:sz w:val="20"/>
                <w:szCs w:val="20"/>
              </w:rPr>
              <w:t>116/134 (87%)</w:t>
            </w:r>
          </w:p>
        </w:tc>
      </w:tr>
      <w:tr w:rsidR="005606C9" w:rsidTr="00800786">
        <w:tc>
          <w:tcPr>
            <w:tcW w:w="3080" w:type="dxa"/>
            <w:vMerge/>
          </w:tcPr>
          <w:p w:rsidR="005606C9" w:rsidRDefault="005606C9" w:rsidP="00BF76B3">
            <w:pPr>
              <w:jc w:val="both"/>
              <w:rPr>
                <w:sz w:val="24"/>
                <w:szCs w:val="24"/>
              </w:rPr>
            </w:pPr>
          </w:p>
        </w:tc>
        <w:tc>
          <w:tcPr>
            <w:tcW w:w="3081" w:type="dxa"/>
            <w:shd w:val="clear" w:color="auto" w:fill="D9D9D9" w:themeFill="background1" w:themeFillShade="D9"/>
          </w:tcPr>
          <w:p w:rsidR="005606C9" w:rsidRPr="00D73E12" w:rsidRDefault="005606C9" w:rsidP="00672347">
            <w:pPr>
              <w:jc w:val="both"/>
              <w:rPr>
                <w:sz w:val="20"/>
                <w:szCs w:val="20"/>
              </w:rPr>
            </w:pPr>
            <w:r w:rsidRPr="00D73E12">
              <w:rPr>
                <w:sz w:val="20"/>
                <w:szCs w:val="20"/>
              </w:rPr>
              <w:t>All staffing variables</w:t>
            </w:r>
          </w:p>
        </w:tc>
        <w:tc>
          <w:tcPr>
            <w:tcW w:w="3081" w:type="dxa"/>
            <w:shd w:val="clear" w:color="auto" w:fill="D9D9D9" w:themeFill="background1" w:themeFillShade="D9"/>
          </w:tcPr>
          <w:p w:rsidR="005606C9" w:rsidRPr="00D73E12" w:rsidRDefault="00800786" w:rsidP="00BF76B3">
            <w:pPr>
              <w:jc w:val="both"/>
              <w:rPr>
                <w:sz w:val="20"/>
                <w:szCs w:val="20"/>
              </w:rPr>
            </w:pPr>
            <w:r w:rsidRPr="00D73E12">
              <w:rPr>
                <w:sz w:val="20"/>
                <w:szCs w:val="20"/>
              </w:rPr>
              <w:t>8/114 (7%)</w:t>
            </w:r>
          </w:p>
        </w:tc>
      </w:tr>
      <w:tr w:rsidR="005606C9" w:rsidTr="005606C9">
        <w:tc>
          <w:tcPr>
            <w:tcW w:w="3080" w:type="dxa"/>
            <w:vMerge w:val="restart"/>
          </w:tcPr>
          <w:p w:rsidR="005606C9" w:rsidRDefault="005606C9" w:rsidP="00BF76B3">
            <w:pPr>
              <w:jc w:val="both"/>
              <w:rPr>
                <w:sz w:val="24"/>
                <w:szCs w:val="24"/>
              </w:rPr>
            </w:pPr>
          </w:p>
          <w:p w:rsidR="005606C9" w:rsidRDefault="005606C9" w:rsidP="00BF76B3">
            <w:pPr>
              <w:jc w:val="both"/>
              <w:rPr>
                <w:sz w:val="24"/>
                <w:szCs w:val="24"/>
              </w:rPr>
            </w:pPr>
          </w:p>
          <w:p w:rsidR="005606C9" w:rsidRDefault="005606C9" w:rsidP="00BF76B3">
            <w:pPr>
              <w:jc w:val="both"/>
              <w:rPr>
                <w:sz w:val="24"/>
                <w:szCs w:val="24"/>
              </w:rPr>
            </w:pPr>
          </w:p>
          <w:p w:rsidR="005606C9" w:rsidRDefault="00E9696E" w:rsidP="00BF76B3">
            <w:pPr>
              <w:jc w:val="both"/>
              <w:rPr>
                <w:sz w:val="24"/>
                <w:szCs w:val="24"/>
              </w:rPr>
            </w:pPr>
            <w:r>
              <w:rPr>
                <w:sz w:val="24"/>
                <w:szCs w:val="24"/>
              </w:rPr>
              <w:t>Interventions</w:t>
            </w:r>
          </w:p>
        </w:tc>
        <w:tc>
          <w:tcPr>
            <w:tcW w:w="3081" w:type="dxa"/>
          </w:tcPr>
          <w:p w:rsidR="005606C9" w:rsidRPr="00D73E12" w:rsidRDefault="005606C9" w:rsidP="00672347">
            <w:pPr>
              <w:jc w:val="both"/>
              <w:rPr>
                <w:sz w:val="20"/>
                <w:szCs w:val="20"/>
              </w:rPr>
            </w:pPr>
            <w:r w:rsidRPr="00D73E12">
              <w:rPr>
                <w:sz w:val="20"/>
                <w:szCs w:val="20"/>
              </w:rPr>
              <w:t>Medication delivery</w:t>
            </w:r>
          </w:p>
        </w:tc>
        <w:tc>
          <w:tcPr>
            <w:tcW w:w="3081" w:type="dxa"/>
          </w:tcPr>
          <w:p w:rsidR="005606C9" w:rsidRPr="00D73E12" w:rsidRDefault="00171D7C" w:rsidP="00BF76B3">
            <w:pPr>
              <w:jc w:val="both"/>
              <w:rPr>
                <w:sz w:val="20"/>
                <w:szCs w:val="20"/>
              </w:rPr>
            </w:pPr>
            <w:r w:rsidRPr="00D73E12">
              <w:rPr>
                <w:sz w:val="20"/>
                <w:szCs w:val="20"/>
              </w:rPr>
              <w:t>147/181 (81%)</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8E78E2" w:rsidP="00672347">
            <w:pPr>
              <w:jc w:val="both"/>
              <w:rPr>
                <w:sz w:val="20"/>
                <w:szCs w:val="20"/>
              </w:rPr>
            </w:pPr>
            <w:r>
              <w:rPr>
                <w:sz w:val="20"/>
                <w:szCs w:val="20"/>
              </w:rPr>
              <w:t>Support with accessing welfare b</w:t>
            </w:r>
            <w:r w:rsidR="005606C9" w:rsidRPr="00D73E12">
              <w:rPr>
                <w:sz w:val="20"/>
                <w:szCs w:val="20"/>
              </w:rPr>
              <w:t>enefits</w:t>
            </w:r>
          </w:p>
        </w:tc>
        <w:tc>
          <w:tcPr>
            <w:tcW w:w="3081" w:type="dxa"/>
          </w:tcPr>
          <w:p w:rsidR="005606C9" w:rsidRPr="00D73E12" w:rsidRDefault="00171D7C" w:rsidP="00BF76B3">
            <w:pPr>
              <w:jc w:val="both"/>
              <w:rPr>
                <w:sz w:val="20"/>
                <w:szCs w:val="20"/>
              </w:rPr>
            </w:pPr>
            <w:r w:rsidRPr="00D73E12">
              <w:rPr>
                <w:sz w:val="20"/>
                <w:szCs w:val="20"/>
              </w:rPr>
              <w:t>106/179 (59%)</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8E78E2" w:rsidP="00672347">
            <w:pPr>
              <w:jc w:val="both"/>
              <w:rPr>
                <w:sz w:val="20"/>
                <w:szCs w:val="20"/>
              </w:rPr>
            </w:pPr>
            <w:r>
              <w:rPr>
                <w:sz w:val="20"/>
                <w:szCs w:val="20"/>
              </w:rPr>
              <w:t>Developing r</w:t>
            </w:r>
            <w:r w:rsidR="005606C9" w:rsidRPr="00D73E12">
              <w:rPr>
                <w:sz w:val="20"/>
                <w:szCs w:val="20"/>
              </w:rPr>
              <w:t>elapse prevention</w:t>
            </w:r>
            <w:r>
              <w:rPr>
                <w:sz w:val="20"/>
                <w:szCs w:val="20"/>
              </w:rPr>
              <w:t xml:space="preserve"> plans</w:t>
            </w:r>
          </w:p>
        </w:tc>
        <w:tc>
          <w:tcPr>
            <w:tcW w:w="3081" w:type="dxa"/>
          </w:tcPr>
          <w:p w:rsidR="005606C9" w:rsidRPr="00D73E12" w:rsidRDefault="00171D7C" w:rsidP="00BF76B3">
            <w:pPr>
              <w:jc w:val="both"/>
              <w:rPr>
                <w:sz w:val="20"/>
                <w:szCs w:val="20"/>
              </w:rPr>
            </w:pPr>
            <w:r w:rsidRPr="00D73E12">
              <w:rPr>
                <w:sz w:val="20"/>
                <w:szCs w:val="20"/>
              </w:rPr>
              <w:t>116/184 (63%)</w:t>
            </w:r>
          </w:p>
        </w:tc>
      </w:tr>
      <w:tr w:rsidR="005606C9" w:rsidTr="005606C9">
        <w:tc>
          <w:tcPr>
            <w:tcW w:w="3080" w:type="dxa"/>
            <w:vMerge/>
          </w:tcPr>
          <w:p w:rsidR="005606C9" w:rsidRDefault="005606C9" w:rsidP="00BF76B3">
            <w:pPr>
              <w:jc w:val="both"/>
              <w:rPr>
                <w:sz w:val="24"/>
                <w:szCs w:val="24"/>
              </w:rPr>
            </w:pPr>
          </w:p>
        </w:tc>
        <w:tc>
          <w:tcPr>
            <w:tcW w:w="3081" w:type="dxa"/>
          </w:tcPr>
          <w:p w:rsidR="005606C9" w:rsidRPr="00D73E12" w:rsidRDefault="005606C9" w:rsidP="00672347">
            <w:pPr>
              <w:jc w:val="both"/>
              <w:rPr>
                <w:sz w:val="20"/>
                <w:szCs w:val="20"/>
              </w:rPr>
            </w:pPr>
            <w:r w:rsidRPr="00D73E12">
              <w:rPr>
                <w:sz w:val="20"/>
                <w:szCs w:val="20"/>
              </w:rPr>
              <w:t>Crisis alternatives</w:t>
            </w:r>
            <w:r w:rsidR="008E78E2">
              <w:rPr>
                <w:sz w:val="20"/>
                <w:szCs w:val="20"/>
              </w:rPr>
              <w:t xml:space="preserve"> (access to crisis houses or acute day services)</w:t>
            </w:r>
          </w:p>
        </w:tc>
        <w:tc>
          <w:tcPr>
            <w:tcW w:w="3081" w:type="dxa"/>
          </w:tcPr>
          <w:p w:rsidR="005606C9" w:rsidRPr="00D73E12" w:rsidRDefault="00171D7C" w:rsidP="00BF76B3">
            <w:pPr>
              <w:jc w:val="both"/>
              <w:rPr>
                <w:sz w:val="20"/>
                <w:szCs w:val="20"/>
              </w:rPr>
            </w:pPr>
            <w:r w:rsidRPr="00D73E12">
              <w:rPr>
                <w:sz w:val="20"/>
                <w:szCs w:val="20"/>
              </w:rPr>
              <w:t>87/184 (47%)</w:t>
            </w:r>
          </w:p>
        </w:tc>
      </w:tr>
      <w:tr w:rsidR="005606C9" w:rsidTr="004E7DDB">
        <w:tc>
          <w:tcPr>
            <w:tcW w:w="3080" w:type="dxa"/>
            <w:vMerge/>
          </w:tcPr>
          <w:p w:rsidR="005606C9" w:rsidRDefault="005606C9" w:rsidP="00BF76B3">
            <w:pPr>
              <w:jc w:val="both"/>
              <w:rPr>
                <w:sz w:val="24"/>
                <w:szCs w:val="24"/>
              </w:rPr>
            </w:pPr>
          </w:p>
        </w:tc>
        <w:tc>
          <w:tcPr>
            <w:tcW w:w="3081" w:type="dxa"/>
            <w:shd w:val="clear" w:color="auto" w:fill="D9D9D9" w:themeFill="background1" w:themeFillShade="D9"/>
          </w:tcPr>
          <w:p w:rsidR="005606C9" w:rsidRDefault="00744DCA" w:rsidP="00672347">
            <w:pPr>
              <w:jc w:val="both"/>
              <w:rPr>
                <w:sz w:val="16"/>
                <w:szCs w:val="16"/>
              </w:rPr>
            </w:pPr>
            <w:r>
              <w:rPr>
                <w:sz w:val="16"/>
                <w:szCs w:val="16"/>
              </w:rPr>
              <w:t>All interventions variables</w:t>
            </w:r>
          </w:p>
        </w:tc>
        <w:tc>
          <w:tcPr>
            <w:tcW w:w="3081" w:type="dxa"/>
            <w:shd w:val="clear" w:color="auto" w:fill="D9D9D9" w:themeFill="background1" w:themeFillShade="D9"/>
          </w:tcPr>
          <w:p w:rsidR="005606C9" w:rsidRDefault="004E7DDB" w:rsidP="00BF76B3">
            <w:pPr>
              <w:jc w:val="both"/>
              <w:rPr>
                <w:sz w:val="24"/>
                <w:szCs w:val="24"/>
              </w:rPr>
            </w:pPr>
            <w:r>
              <w:rPr>
                <w:sz w:val="24"/>
                <w:szCs w:val="24"/>
              </w:rPr>
              <w:t>26/179 (15%)</w:t>
            </w:r>
          </w:p>
        </w:tc>
      </w:tr>
      <w:tr w:rsidR="00744DCA" w:rsidTr="00672347">
        <w:tc>
          <w:tcPr>
            <w:tcW w:w="6161" w:type="dxa"/>
            <w:gridSpan w:val="2"/>
          </w:tcPr>
          <w:p w:rsidR="00744DCA" w:rsidRPr="00744DCA" w:rsidRDefault="00744DCA" w:rsidP="00744DCA">
            <w:pPr>
              <w:jc w:val="both"/>
              <w:rPr>
                <w:sz w:val="24"/>
                <w:szCs w:val="24"/>
              </w:rPr>
            </w:pPr>
            <w:r>
              <w:rPr>
                <w:sz w:val="24"/>
                <w:szCs w:val="24"/>
              </w:rPr>
              <w:t>T</w:t>
            </w:r>
            <w:r w:rsidRPr="00744DCA">
              <w:rPr>
                <w:sz w:val="24"/>
                <w:szCs w:val="24"/>
              </w:rPr>
              <w:t xml:space="preserve">eams </w:t>
            </w:r>
            <w:r>
              <w:rPr>
                <w:sz w:val="24"/>
                <w:szCs w:val="24"/>
              </w:rPr>
              <w:t>adherent</w:t>
            </w:r>
            <w:r w:rsidRPr="00744DCA">
              <w:rPr>
                <w:sz w:val="24"/>
                <w:szCs w:val="24"/>
              </w:rPr>
              <w:t xml:space="preserve"> to original DH guidance</w:t>
            </w:r>
            <w:r>
              <w:rPr>
                <w:sz w:val="24"/>
                <w:szCs w:val="24"/>
              </w:rPr>
              <w:t xml:space="preserve"> for all variables</w:t>
            </w:r>
          </w:p>
        </w:tc>
        <w:tc>
          <w:tcPr>
            <w:tcW w:w="3081" w:type="dxa"/>
          </w:tcPr>
          <w:p w:rsidR="004E7DDB" w:rsidRDefault="004E7DDB" w:rsidP="00BF76B3">
            <w:pPr>
              <w:jc w:val="both"/>
              <w:rPr>
                <w:sz w:val="24"/>
                <w:szCs w:val="24"/>
              </w:rPr>
            </w:pPr>
            <w:r>
              <w:rPr>
                <w:sz w:val="24"/>
                <w:szCs w:val="24"/>
              </w:rPr>
              <w:t xml:space="preserve">n=1 </w:t>
            </w:r>
          </w:p>
          <w:p w:rsidR="00744DCA" w:rsidRDefault="004E7DDB" w:rsidP="00BF76B3">
            <w:pPr>
              <w:jc w:val="both"/>
              <w:rPr>
                <w:sz w:val="24"/>
                <w:szCs w:val="24"/>
              </w:rPr>
            </w:pPr>
            <w:r>
              <w:rPr>
                <w:sz w:val="24"/>
                <w:szCs w:val="24"/>
              </w:rPr>
              <w:t>[1/82 (1%)]</w:t>
            </w:r>
          </w:p>
        </w:tc>
      </w:tr>
    </w:tbl>
    <w:p w:rsidR="00744DCA" w:rsidRPr="00D64A96" w:rsidRDefault="00744DCA" w:rsidP="00744DCA">
      <w:pPr>
        <w:jc w:val="both"/>
        <w:rPr>
          <w:sz w:val="16"/>
          <w:szCs w:val="16"/>
        </w:rPr>
      </w:pPr>
      <w:r w:rsidRPr="00D64A96">
        <w:rPr>
          <w:sz w:val="16"/>
          <w:szCs w:val="16"/>
        </w:rPr>
        <w:t>* Department of Health Policy Implementation Guide 2001</w:t>
      </w:r>
    </w:p>
    <w:p w:rsidR="00F61177" w:rsidRDefault="00F61177">
      <w:pPr>
        <w:rPr>
          <w:sz w:val="24"/>
          <w:szCs w:val="24"/>
        </w:rPr>
      </w:pPr>
      <w:r>
        <w:rPr>
          <w:sz w:val="24"/>
          <w:szCs w:val="24"/>
        </w:rPr>
        <w:br w:type="page"/>
      </w:r>
    </w:p>
    <w:p w:rsidR="005606C9" w:rsidRDefault="00F61177" w:rsidP="00BF76B3">
      <w:pPr>
        <w:jc w:val="both"/>
        <w:rPr>
          <w:b/>
          <w:sz w:val="24"/>
          <w:szCs w:val="24"/>
        </w:rPr>
      </w:pPr>
      <w:r>
        <w:rPr>
          <w:b/>
          <w:sz w:val="24"/>
          <w:szCs w:val="24"/>
        </w:rPr>
        <w:t>Table 6: Discrepancies between actual and valued CRT service provision</w:t>
      </w:r>
    </w:p>
    <w:tbl>
      <w:tblPr>
        <w:tblStyle w:val="TableGrid"/>
        <w:tblW w:w="0" w:type="auto"/>
        <w:tblLook w:val="04A0" w:firstRow="1" w:lastRow="0" w:firstColumn="1" w:lastColumn="0" w:noHBand="0" w:noVBand="1"/>
      </w:tblPr>
      <w:tblGrid>
        <w:gridCol w:w="4361"/>
        <w:gridCol w:w="1843"/>
        <w:gridCol w:w="1819"/>
        <w:gridCol w:w="1219"/>
      </w:tblGrid>
      <w:tr w:rsidR="00F61177" w:rsidRPr="0033301A" w:rsidTr="0033301A">
        <w:tc>
          <w:tcPr>
            <w:tcW w:w="4361" w:type="dxa"/>
          </w:tcPr>
          <w:p w:rsidR="00F61177" w:rsidRPr="0033301A" w:rsidRDefault="00F61177" w:rsidP="00BF76B3">
            <w:pPr>
              <w:jc w:val="both"/>
              <w:rPr>
                <w:b/>
                <w:sz w:val="20"/>
                <w:szCs w:val="20"/>
              </w:rPr>
            </w:pPr>
            <w:r w:rsidRPr="0033301A">
              <w:rPr>
                <w:b/>
                <w:sz w:val="20"/>
                <w:szCs w:val="20"/>
              </w:rPr>
              <w:t>CRT characteristic</w:t>
            </w:r>
          </w:p>
        </w:tc>
        <w:tc>
          <w:tcPr>
            <w:tcW w:w="1843" w:type="dxa"/>
          </w:tcPr>
          <w:p w:rsidR="00F61177" w:rsidRPr="0033301A" w:rsidRDefault="001C1D8F" w:rsidP="00BF76B3">
            <w:pPr>
              <w:jc w:val="both"/>
              <w:rPr>
                <w:b/>
                <w:sz w:val="20"/>
                <w:szCs w:val="20"/>
              </w:rPr>
            </w:pPr>
            <w:r w:rsidRPr="0033301A">
              <w:rPr>
                <w:b/>
                <w:sz w:val="20"/>
                <w:szCs w:val="20"/>
              </w:rPr>
              <w:t xml:space="preserve">% of </w:t>
            </w:r>
            <w:r w:rsidR="00F61177" w:rsidRPr="0033301A">
              <w:rPr>
                <w:b/>
                <w:sz w:val="20"/>
                <w:szCs w:val="20"/>
              </w:rPr>
              <w:t>CRTs providing this (to most or all service users</w:t>
            </w:r>
            <w:r w:rsidR="000B458E">
              <w:rPr>
                <w:b/>
                <w:sz w:val="20"/>
                <w:szCs w:val="20"/>
              </w:rPr>
              <w:t xml:space="preserve"> where needed</w:t>
            </w:r>
            <w:r w:rsidR="00F61177" w:rsidRPr="0033301A">
              <w:rPr>
                <w:b/>
                <w:sz w:val="20"/>
                <w:szCs w:val="20"/>
              </w:rPr>
              <w:t>)</w:t>
            </w:r>
          </w:p>
        </w:tc>
        <w:tc>
          <w:tcPr>
            <w:tcW w:w="1819" w:type="dxa"/>
          </w:tcPr>
          <w:p w:rsidR="00F61177" w:rsidRPr="0033301A" w:rsidRDefault="00F61177" w:rsidP="00BF76B3">
            <w:pPr>
              <w:jc w:val="both"/>
              <w:rPr>
                <w:b/>
                <w:sz w:val="20"/>
                <w:szCs w:val="20"/>
              </w:rPr>
            </w:pPr>
            <w:r w:rsidRPr="0033301A">
              <w:rPr>
                <w:b/>
                <w:sz w:val="20"/>
                <w:szCs w:val="20"/>
              </w:rPr>
              <w:t>% respondents rating this as very or fairly important for CRTs to provide</w:t>
            </w:r>
          </w:p>
        </w:tc>
        <w:tc>
          <w:tcPr>
            <w:tcW w:w="1219" w:type="dxa"/>
          </w:tcPr>
          <w:p w:rsidR="00F61177" w:rsidRPr="0033301A" w:rsidRDefault="00F61177" w:rsidP="00BF76B3">
            <w:pPr>
              <w:jc w:val="both"/>
              <w:rPr>
                <w:b/>
                <w:sz w:val="20"/>
                <w:szCs w:val="20"/>
              </w:rPr>
            </w:pPr>
            <w:r w:rsidRPr="0033301A">
              <w:rPr>
                <w:b/>
                <w:sz w:val="20"/>
                <w:szCs w:val="20"/>
              </w:rPr>
              <w:t>Discrepancy (%)</w:t>
            </w:r>
          </w:p>
        </w:tc>
      </w:tr>
      <w:tr w:rsidR="00F61177" w:rsidRPr="0033301A" w:rsidTr="0033301A">
        <w:tc>
          <w:tcPr>
            <w:tcW w:w="4361" w:type="dxa"/>
          </w:tcPr>
          <w:p w:rsidR="00F61177" w:rsidRPr="0033301A" w:rsidRDefault="001C1D8F" w:rsidP="00BF76B3">
            <w:pPr>
              <w:jc w:val="both"/>
              <w:rPr>
                <w:sz w:val="20"/>
                <w:szCs w:val="20"/>
              </w:rPr>
            </w:pPr>
            <w:r w:rsidRPr="0033301A">
              <w:rPr>
                <w:sz w:val="20"/>
                <w:szCs w:val="20"/>
              </w:rPr>
              <w:t>Accompanying service users to GP appointments</w:t>
            </w:r>
          </w:p>
        </w:tc>
        <w:tc>
          <w:tcPr>
            <w:tcW w:w="1843" w:type="dxa"/>
          </w:tcPr>
          <w:p w:rsidR="00F61177" w:rsidRPr="0033301A" w:rsidRDefault="0033301A" w:rsidP="00BF76B3">
            <w:pPr>
              <w:jc w:val="both"/>
              <w:rPr>
                <w:sz w:val="20"/>
                <w:szCs w:val="20"/>
              </w:rPr>
            </w:pPr>
            <w:r w:rsidRPr="0033301A">
              <w:rPr>
                <w:sz w:val="20"/>
                <w:szCs w:val="20"/>
              </w:rPr>
              <w:t>32%</w:t>
            </w:r>
          </w:p>
        </w:tc>
        <w:tc>
          <w:tcPr>
            <w:tcW w:w="1819" w:type="dxa"/>
          </w:tcPr>
          <w:p w:rsidR="00F61177" w:rsidRPr="0033301A" w:rsidRDefault="0033301A" w:rsidP="00BF76B3">
            <w:pPr>
              <w:jc w:val="both"/>
              <w:rPr>
                <w:sz w:val="20"/>
                <w:szCs w:val="20"/>
              </w:rPr>
            </w:pPr>
            <w:r w:rsidRPr="0033301A">
              <w:rPr>
                <w:sz w:val="20"/>
                <w:szCs w:val="20"/>
              </w:rPr>
              <w:t>85%</w:t>
            </w:r>
          </w:p>
        </w:tc>
        <w:tc>
          <w:tcPr>
            <w:tcW w:w="1219" w:type="dxa"/>
          </w:tcPr>
          <w:p w:rsidR="00F61177" w:rsidRPr="0033301A" w:rsidRDefault="0033301A" w:rsidP="00BF76B3">
            <w:pPr>
              <w:jc w:val="both"/>
              <w:rPr>
                <w:sz w:val="20"/>
                <w:szCs w:val="20"/>
              </w:rPr>
            </w:pPr>
            <w:r w:rsidRPr="0033301A">
              <w:rPr>
                <w:sz w:val="20"/>
                <w:szCs w:val="20"/>
              </w:rPr>
              <w:t>53%</w:t>
            </w:r>
          </w:p>
        </w:tc>
      </w:tr>
      <w:tr w:rsidR="00F61177" w:rsidRPr="0033301A" w:rsidTr="0033301A">
        <w:tc>
          <w:tcPr>
            <w:tcW w:w="4361" w:type="dxa"/>
          </w:tcPr>
          <w:p w:rsidR="00F61177" w:rsidRPr="0033301A" w:rsidRDefault="00672347" w:rsidP="00BF76B3">
            <w:pPr>
              <w:jc w:val="both"/>
              <w:rPr>
                <w:sz w:val="20"/>
                <w:szCs w:val="20"/>
              </w:rPr>
            </w:pPr>
            <w:r w:rsidRPr="0033301A">
              <w:rPr>
                <w:sz w:val="20"/>
                <w:szCs w:val="20"/>
              </w:rPr>
              <w:t>Staying with service users for extended periods to ensure safety or mitigate isolation</w:t>
            </w:r>
          </w:p>
        </w:tc>
        <w:tc>
          <w:tcPr>
            <w:tcW w:w="1843" w:type="dxa"/>
          </w:tcPr>
          <w:p w:rsidR="00F61177" w:rsidRPr="0033301A" w:rsidRDefault="0033301A" w:rsidP="00BF76B3">
            <w:pPr>
              <w:jc w:val="both"/>
              <w:rPr>
                <w:sz w:val="20"/>
                <w:szCs w:val="20"/>
              </w:rPr>
            </w:pPr>
            <w:r w:rsidRPr="0033301A">
              <w:rPr>
                <w:sz w:val="20"/>
                <w:szCs w:val="20"/>
              </w:rPr>
              <w:t>36%</w:t>
            </w:r>
          </w:p>
        </w:tc>
        <w:tc>
          <w:tcPr>
            <w:tcW w:w="1819" w:type="dxa"/>
          </w:tcPr>
          <w:p w:rsidR="00F61177" w:rsidRPr="0033301A" w:rsidRDefault="0033301A" w:rsidP="00BF76B3">
            <w:pPr>
              <w:jc w:val="both"/>
              <w:rPr>
                <w:sz w:val="20"/>
                <w:szCs w:val="20"/>
              </w:rPr>
            </w:pPr>
            <w:r w:rsidRPr="0033301A">
              <w:rPr>
                <w:sz w:val="20"/>
                <w:szCs w:val="20"/>
              </w:rPr>
              <w:t>85%</w:t>
            </w:r>
          </w:p>
        </w:tc>
        <w:tc>
          <w:tcPr>
            <w:tcW w:w="1219" w:type="dxa"/>
          </w:tcPr>
          <w:p w:rsidR="00F61177" w:rsidRPr="0033301A" w:rsidRDefault="0033301A" w:rsidP="00BF76B3">
            <w:pPr>
              <w:jc w:val="both"/>
              <w:rPr>
                <w:sz w:val="20"/>
                <w:szCs w:val="20"/>
              </w:rPr>
            </w:pPr>
            <w:r w:rsidRPr="0033301A">
              <w:rPr>
                <w:sz w:val="20"/>
                <w:szCs w:val="20"/>
              </w:rPr>
              <w:t>49%</w:t>
            </w:r>
          </w:p>
        </w:tc>
      </w:tr>
      <w:tr w:rsidR="00F61177" w:rsidRPr="0033301A" w:rsidTr="0033301A">
        <w:tc>
          <w:tcPr>
            <w:tcW w:w="4361" w:type="dxa"/>
          </w:tcPr>
          <w:p w:rsidR="00F61177" w:rsidRPr="0033301A" w:rsidRDefault="00672347" w:rsidP="00BF76B3">
            <w:pPr>
              <w:jc w:val="both"/>
              <w:rPr>
                <w:sz w:val="20"/>
                <w:szCs w:val="20"/>
              </w:rPr>
            </w:pPr>
            <w:r w:rsidRPr="0033301A">
              <w:rPr>
                <w:sz w:val="20"/>
                <w:szCs w:val="20"/>
              </w:rPr>
              <w:t>Helping service users to clean their home</w:t>
            </w:r>
          </w:p>
        </w:tc>
        <w:tc>
          <w:tcPr>
            <w:tcW w:w="1843" w:type="dxa"/>
          </w:tcPr>
          <w:p w:rsidR="00F61177" w:rsidRPr="0033301A" w:rsidRDefault="0033301A" w:rsidP="00BF76B3">
            <w:pPr>
              <w:jc w:val="both"/>
              <w:rPr>
                <w:sz w:val="20"/>
                <w:szCs w:val="20"/>
              </w:rPr>
            </w:pPr>
            <w:r w:rsidRPr="0033301A">
              <w:rPr>
                <w:sz w:val="20"/>
                <w:szCs w:val="20"/>
              </w:rPr>
              <w:t>12%</w:t>
            </w:r>
          </w:p>
        </w:tc>
        <w:tc>
          <w:tcPr>
            <w:tcW w:w="1819" w:type="dxa"/>
          </w:tcPr>
          <w:p w:rsidR="00F61177" w:rsidRPr="0033301A" w:rsidRDefault="0033301A" w:rsidP="00BF76B3">
            <w:pPr>
              <w:jc w:val="both"/>
              <w:rPr>
                <w:sz w:val="20"/>
                <w:szCs w:val="20"/>
              </w:rPr>
            </w:pPr>
            <w:r w:rsidRPr="0033301A">
              <w:rPr>
                <w:sz w:val="20"/>
                <w:szCs w:val="20"/>
              </w:rPr>
              <w:t>59%</w:t>
            </w:r>
          </w:p>
        </w:tc>
        <w:tc>
          <w:tcPr>
            <w:tcW w:w="1219" w:type="dxa"/>
          </w:tcPr>
          <w:p w:rsidR="00F61177" w:rsidRPr="0033301A" w:rsidRDefault="0033301A" w:rsidP="00BF76B3">
            <w:pPr>
              <w:jc w:val="both"/>
              <w:rPr>
                <w:sz w:val="20"/>
                <w:szCs w:val="20"/>
              </w:rPr>
            </w:pPr>
            <w:r w:rsidRPr="0033301A">
              <w:rPr>
                <w:sz w:val="20"/>
                <w:szCs w:val="20"/>
              </w:rPr>
              <w:t>47%</w:t>
            </w:r>
          </w:p>
        </w:tc>
      </w:tr>
      <w:tr w:rsidR="00F61177" w:rsidRPr="0033301A" w:rsidTr="0033301A">
        <w:tc>
          <w:tcPr>
            <w:tcW w:w="4361" w:type="dxa"/>
          </w:tcPr>
          <w:p w:rsidR="00F61177" w:rsidRPr="0033301A" w:rsidRDefault="00672347" w:rsidP="00BF76B3">
            <w:pPr>
              <w:jc w:val="both"/>
              <w:rPr>
                <w:sz w:val="20"/>
                <w:szCs w:val="20"/>
              </w:rPr>
            </w:pPr>
            <w:r w:rsidRPr="0033301A">
              <w:rPr>
                <w:sz w:val="20"/>
                <w:szCs w:val="20"/>
              </w:rPr>
              <w:t>Preparing food with service users</w:t>
            </w:r>
          </w:p>
        </w:tc>
        <w:tc>
          <w:tcPr>
            <w:tcW w:w="1843" w:type="dxa"/>
          </w:tcPr>
          <w:p w:rsidR="00F61177" w:rsidRPr="0033301A" w:rsidRDefault="00374CD9" w:rsidP="00BF76B3">
            <w:pPr>
              <w:jc w:val="both"/>
              <w:rPr>
                <w:sz w:val="20"/>
                <w:szCs w:val="20"/>
              </w:rPr>
            </w:pPr>
            <w:r>
              <w:rPr>
                <w:sz w:val="20"/>
                <w:szCs w:val="20"/>
              </w:rPr>
              <w:t>19%</w:t>
            </w:r>
          </w:p>
        </w:tc>
        <w:tc>
          <w:tcPr>
            <w:tcW w:w="1819" w:type="dxa"/>
          </w:tcPr>
          <w:p w:rsidR="00F61177" w:rsidRPr="0033301A" w:rsidRDefault="00374CD9" w:rsidP="00BF76B3">
            <w:pPr>
              <w:jc w:val="both"/>
              <w:rPr>
                <w:sz w:val="20"/>
                <w:szCs w:val="20"/>
              </w:rPr>
            </w:pPr>
            <w:r>
              <w:rPr>
                <w:sz w:val="20"/>
                <w:szCs w:val="20"/>
              </w:rPr>
              <w:t>69%</w:t>
            </w:r>
          </w:p>
        </w:tc>
        <w:tc>
          <w:tcPr>
            <w:tcW w:w="1219" w:type="dxa"/>
          </w:tcPr>
          <w:p w:rsidR="00F61177" w:rsidRPr="0033301A" w:rsidRDefault="00374CD9" w:rsidP="00BF76B3">
            <w:pPr>
              <w:jc w:val="both"/>
              <w:rPr>
                <w:sz w:val="20"/>
                <w:szCs w:val="20"/>
              </w:rPr>
            </w:pPr>
            <w:r>
              <w:rPr>
                <w:sz w:val="20"/>
                <w:szCs w:val="20"/>
              </w:rPr>
              <w:t>40%</w:t>
            </w:r>
          </w:p>
        </w:tc>
      </w:tr>
      <w:tr w:rsidR="00672347" w:rsidRPr="0033301A" w:rsidTr="0033301A">
        <w:tc>
          <w:tcPr>
            <w:tcW w:w="4361" w:type="dxa"/>
          </w:tcPr>
          <w:p w:rsidR="00672347" w:rsidRPr="0033301A" w:rsidRDefault="00672347" w:rsidP="00672347">
            <w:pPr>
              <w:jc w:val="both"/>
              <w:rPr>
                <w:sz w:val="20"/>
                <w:szCs w:val="20"/>
              </w:rPr>
            </w:pPr>
            <w:r w:rsidRPr="0033301A">
              <w:rPr>
                <w:sz w:val="20"/>
                <w:szCs w:val="20"/>
              </w:rPr>
              <w:t>Accompanying service users to the police station or court</w:t>
            </w:r>
          </w:p>
        </w:tc>
        <w:tc>
          <w:tcPr>
            <w:tcW w:w="1843" w:type="dxa"/>
          </w:tcPr>
          <w:p w:rsidR="00672347" w:rsidRPr="0033301A" w:rsidRDefault="00374CD9" w:rsidP="00BF76B3">
            <w:pPr>
              <w:jc w:val="both"/>
              <w:rPr>
                <w:sz w:val="20"/>
                <w:szCs w:val="20"/>
              </w:rPr>
            </w:pPr>
            <w:r>
              <w:rPr>
                <w:sz w:val="20"/>
                <w:szCs w:val="20"/>
              </w:rPr>
              <w:t>17%</w:t>
            </w:r>
          </w:p>
        </w:tc>
        <w:tc>
          <w:tcPr>
            <w:tcW w:w="1819" w:type="dxa"/>
          </w:tcPr>
          <w:p w:rsidR="00672347" w:rsidRPr="0033301A" w:rsidRDefault="00374CD9" w:rsidP="00BF76B3">
            <w:pPr>
              <w:jc w:val="both"/>
              <w:rPr>
                <w:sz w:val="20"/>
                <w:szCs w:val="20"/>
              </w:rPr>
            </w:pPr>
            <w:r>
              <w:rPr>
                <w:sz w:val="20"/>
                <w:szCs w:val="20"/>
              </w:rPr>
              <w:t>67%</w:t>
            </w:r>
          </w:p>
        </w:tc>
        <w:tc>
          <w:tcPr>
            <w:tcW w:w="1219" w:type="dxa"/>
          </w:tcPr>
          <w:p w:rsidR="00672347" w:rsidRPr="0033301A" w:rsidRDefault="00374CD9" w:rsidP="00BF76B3">
            <w:pPr>
              <w:jc w:val="both"/>
              <w:rPr>
                <w:sz w:val="20"/>
                <w:szCs w:val="20"/>
              </w:rPr>
            </w:pPr>
            <w:r>
              <w:rPr>
                <w:sz w:val="20"/>
                <w:szCs w:val="20"/>
              </w:rPr>
              <w:t>40%</w:t>
            </w:r>
          </w:p>
        </w:tc>
      </w:tr>
      <w:tr w:rsidR="00374CD9" w:rsidRPr="0033301A" w:rsidTr="0033301A">
        <w:tc>
          <w:tcPr>
            <w:tcW w:w="4361" w:type="dxa"/>
          </w:tcPr>
          <w:p w:rsidR="00374CD9" w:rsidRPr="0033301A" w:rsidRDefault="00374CD9" w:rsidP="003854D9">
            <w:pPr>
              <w:jc w:val="both"/>
              <w:rPr>
                <w:bCs/>
                <w:sz w:val="20"/>
                <w:szCs w:val="20"/>
              </w:rPr>
            </w:pPr>
            <w:r w:rsidRPr="0033301A">
              <w:rPr>
                <w:bCs/>
                <w:sz w:val="20"/>
                <w:szCs w:val="20"/>
              </w:rPr>
              <w:t>Employing carers as staff</w:t>
            </w:r>
          </w:p>
        </w:tc>
        <w:tc>
          <w:tcPr>
            <w:tcW w:w="1843" w:type="dxa"/>
          </w:tcPr>
          <w:p w:rsidR="00374CD9" w:rsidRPr="0033301A" w:rsidRDefault="00374CD9" w:rsidP="003854D9">
            <w:pPr>
              <w:jc w:val="both"/>
              <w:rPr>
                <w:sz w:val="20"/>
                <w:szCs w:val="20"/>
              </w:rPr>
            </w:pPr>
            <w:r>
              <w:rPr>
                <w:sz w:val="20"/>
                <w:szCs w:val="20"/>
              </w:rPr>
              <w:t>16%</w:t>
            </w:r>
          </w:p>
        </w:tc>
        <w:tc>
          <w:tcPr>
            <w:tcW w:w="1819" w:type="dxa"/>
          </w:tcPr>
          <w:p w:rsidR="00374CD9" w:rsidRPr="0033301A" w:rsidRDefault="00374CD9" w:rsidP="003854D9">
            <w:pPr>
              <w:jc w:val="both"/>
              <w:rPr>
                <w:sz w:val="20"/>
                <w:szCs w:val="20"/>
              </w:rPr>
            </w:pPr>
            <w:r>
              <w:rPr>
                <w:sz w:val="20"/>
                <w:szCs w:val="20"/>
              </w:rPr>
              <w:t>55%</w:t>
            </w:r>
          </w:p>
        </w:tc>
        <w:tc>
          <w:tcPr>
            <w:tcW w:w="1219" w:type="dxa"/>
          </w:tcPr>
          <w:p w:rsidR="00374CD9" w:rsidRPr="0033301A" w:rsidRDefault="00374CD9" w:rsidP="003854D9">
            <w:pPr>
              <w:jc w:val="both"/>
              <w:rPr>
                <w:sz w:val="20"/>
                <w:szCs w:val="20"/>
              </w:rPr>
            </w:pPr>
            <w:r>
              <w:rPr>
                <w:sz w:val="20"/>
                <w:szCs w:val="20"/>
              </w:rPr>
              <w:t>39%</w:t>
            </w:r>
          </w:p>
        </w:tc>
      </w:tr>
      <w:tr w:rsidR="00374CD9" w:rsidRPr="0033301A" w:rsidTr="0033301A">
        <w:tc>
          <w:tcPr>
            <w:tcW w:w="4361" w:type="dxa"/>
          </w:tcPr>
          <w:p w:rsidR="00374CD9" w:rsidRPr="0033301A" w:rsidRDefault="00374CD9" w:rsidP="00374CD9">
            <w:pPr>
              <w:jc w:val="both"/>
              <w:rPr>
                <w:sz w:val="20"/>
                <w:szCs w:val="20"/>
              </w:rPr>
            </w:pPr>
            <w:r w:rsidRPr="0033301A">
              <w:rPr>
                <w:bCs/>
                <w:sz w:val="20"/>
                <w:szCs w:val="20"/>
              </w:rPr>
              <w:t>Employing service users as staff</w:t>
            </w:r>
          </w:p>
        </w:tc>
        <w:tc>
          <w:tcPr>
            <w:tcW w:w="1843" w:type="dxa"/>
          </w:tcPr>
          <w:p w:rsidR="00374CD9" w:rsidRPr="0033301A" w:rsidRDefault="00374CD9" w:rsidP="00BF76B3">
            <w:pPr>
              <w:jc w:val="both"/>
              <w:rPr>
                <w:sz w:val="20"/>
                <w:szCs w:val="20"/>
              </w:rPr>
            </w:pPr>
            <w:r>
              <w:rPr>
                <w:sz w:val="20"/>
                <w:szCs w:val="20"/>
              </w:rPr>
              <w:t>26%</w:t>
            </w:r>
          </w:p>
        </w:tc>
        <w:tc>
          <w:tcPr>
            <w:tcW w:w="1819" w:type="dxa"/>
          </w:tcPr>
          <w:p w:rsidR="00374CD9" w:rsidRPr="0033301A" w:rsidRDefault="00374CD9" w:rsidP="00BF76B3">
            <w:pPr>
              <w:jc w:val="both"/>
              <w:rPr>
                <w:sz w:val="20"/>
                <w:szCs w:val="20"/>
              </w:rPr>
            </w:pPr>
            <w:r>
              <w:rPr>
                <w:sz w:val="20"/>
                <w:szCs w:val="20"/>
              </w:rPr>
              <w:t>64%</w:t>
            </w:r>
          </w:p>
        </w:tc>
        <w:tc>
          <w:tcPr>
            <w:tcW w:w="1219" w:type="dxa"/>
          </w:tcPr>
          <w:p w:rsidR="00374CD9" w:rsidRPr="0033301A" w:rsidRDefault="00374CD9" w:rsidP="00BF76B3">
            <w:pPr>
              <w:jc w:val="both"/>
              <w:rPr>
                <w:sz w:val="20"/>
                <w:szCs w:val="20"/>
              </w:rPr>
            </w:pPr>
            <w:r>
              <w:rPr>
                <w:sz w:val="20"/>
                <w:szCs w:val="20"/>
              </w:rPr>
              <w:t>38%</w:t>
            </w:r>
          </w:p>
        </w:tc>
      </w:tr>
      <w:tr w:rsidR="00374CD9" w:rsidRPr="0033301A" w:rsidTr="0033301A">
        <w:tc>
          <w:tcPr>
            <w:tcW w:w="4361" w:type="dxa"/>
          </w:tcPr>
          <w:p w:rsidR="00374CD9" w:rsidRPr="0033301A" w:rsidRDefault="00374CD9" w:rsidP="00374CD9">
            <w:pPr>
              <w:jc w:val="both"/>
              <w:rPr>
                <w:bCs/>
                <w:sz w:val="20"/>
                <w:szCs w:val="20"/>
              </w:rPr>
            </w:pPr>
            <w:r w:rsidRPr="0033301A">
              <w:rPr>
                <w:bCs/>
                <w:sz w:val="20"/>
                <w:szCs w:val="20"/>
              </w:rPr>
              <w:t>Helping service users with debt problems</w:t>
            </w:r>
          </w:p>
        </w:tc>
        <w:tc>
          <w:tcPr>
            <w:tcW w:w="1843" w:type="dxa"/>
          </w:tcPr>
          <w:p w:rsidR="00374CD9" w:rsidRPr="0033301A" w:rsidRDefault="00374CD9" w:rsidP="00BF76B3">
            <w:pPr>
              <w:jc w:val="both"/>
              <w:rPr>
                <w:sz w:val="20"/>
                <w:szCs w:val="20"/>
              </w:rPr>
            </w:pPr>
            <w:r>
              <w:rPr>
                <w:sz w:val="20"/>
                <w:szCs w:val="20"/>
              </w:rPr>
              <w:t>52%</w:t>
            </w:r>
          </w:p>
        </w:tc>
        <w:tc>
          <w:tcPr>
            <w:tcW w:w="1819" w:type="dxa"/>
          </w:tcPr>
          <w:p w:rsidR="00374CD9" w:rsidRPr="0033301A" w:rsidRDefault="00374CD9" w:rsidP="00BF76B3">
            <w:pPr>
              <w:jc w:val="both"/>
              <w:rPr>
                <w:sz w:val="20"/>
                <w:szCs w:val="20"/>
              </w:rPr>
            </w:pPr>
            <w:r>
              <w:rPr>
                <w:sz w:val="20"/>
                <w:szCs w:val="20"/>
              </w:rPr>
              <w:t>89%</w:t>
            </w:r>
          </w:p>
        </w:tc>
        <w:tc>
          <w:tcPr>
            <w:tcW w:w="1219" w:type="dxa"/>
          </w:tcPr>
          <w:p w:rsidR="00374CD9" w:rsidRPr="0033301A" w:rsidRDefault="00374CD9" w:rsidP="00BF76B3">
            <w:pPr>
              <w:jc w:val="both"/>
              <w:rPr>
                <w:sz w:val="20"/>
                <w:szCs w:val="20"/>
              </w:rPr>
            </w:pPr>
            <w:r>
              <w:rPr>
                <w:sz w:val="20"/>
                <w:szCs w:val="20"/>
              </w:rPr>
              <w:t>37%</w:t>
            </w:r>
          </w:p>
        </w:tc>
      </w:tr>
      <w:tr w:rsidR="00374CD9" w:rsidRPr="0033301A" w:rsidTr="0033301A">
        <w:tc>
          <w:tcPr>
            <w:tcW w:w="4361" w:type="dxa"/>
          </w:tcPr>
          <w:p w:rsidR="00374CD9" w:rsidRPr="0033301A" w:rsidRDefault="00374CD9" w:rsidP="003854D9">
            <w:pPr>
              <w:jc w:val="both"/>
              <w:rPr>
                <w:sz w:val="20"/>
                <w:szCs w:val="20"/>
              </w:rPr>
            </w:pPr>
            <w:r w:rsidRPr="0033301A">
              <w:rPr>
                <w:sz w:val="20"/>
                <w:szCs w:val="20"/>
              </w:rPr>
              <w:t>Going shopping with/for service users</w:t>
            </w:r>
          </w:p>
        </w:tc>
        <w:tc>
          <w:tcPr>
            <w:tcW w:w="1843" w:type="dxa"/>
          </w:tcPr>
          <w:p w:rsidR="00374CD9" w:rsidRPr="0033301A" w:rsidRDefault="00374CD9" w:rsidP="003854D9">
            <w:pPr>
              <w:jc w:val="both"/>
              <w:rPr>
                <w:sz w:val="20"/>
                <w:szCs w:val="20"/>
              </w:rPr>
            </w:pPr>
            <w:r>
              <w:rPr>
                <w:sz w:val="20"/>
                <w:szCs w:val="20"/>
              </w:rPr>
              <w:t>41%</w:t>
            </w:r>
          </w:p>
        </w:tc>
        <w:tc>
          <w:tcPr>
            <w:tcW w:w="1819" w:type="dxa"/>
          </w:tcPr>
          <w:p w:rsidR="00374CD9" w:rsidRPr="0033301A" w:rsidRDefault="00374CD9" w:rsidP="003854D9">
            <w:pPr>
              <w:jc w:val="both"/>
              <w:rPr>
                <w:sz w:val="20"/>
                <w:szCs w:val="20"/>
              </w:rPr>
            </w:pPr>
            <w:r>
              <w:rPr>
                <w:sz w:val="20"/>
                <w:szCs w:val="20"/>
              </w:rPr>
              <w:t>78%</w:t>
            </w:r>
          </w:p>
        </w:tc>
        <w:tc>
          <w:tcPr>
            <w:tcW w:w="1219" w:type="dxa"/>
          </w:tcPr>
          <w:p w:rsidR="00374CD9" w:rsidRPr="0033301A" w:rsidRDefault="00374CD9" w:rsidP="003854D9">
            <w:pPr>
              <w:jc w:val="both"/>
              <w:rPr>
                <w:sz w:val="20"/>
                <w:szCs w:val="20"/>
              </w:rPr>
            </w:pPr>
            <w:r>
              <w:rPr>
                <w:sz w:val="20"/>
                <w:szCs w:val="20"/>
              </w:rPr>
              <w:t>37%</w:t>
            </w:r>
          </w:p>
        </w:tc>
      </w:tr>
      <w:tr w:rsidR="00374CD9" w:rsidRPr="0033301A" w:rsidTr="0033301A">
        <w:tc>
          <w:tcPr>
            <w:tcW w:w="4361" w:type="dxa"/>
          </w:tcPr>
          <w:p w:rsidR="00374CD9" w:rsidRPr="0033301A" w:rsidRDefault="00374CD9" w:rsidP="00672347">
            <w:pPr>
              <w:jc w:val="both"/>
              <w:rPr>
                <w:bCs/>
                <w:sz w:val="20"/>
                <w:szCs w:val="20"/>
              </w:rPr>
            </w:pPr>
            <w:r w:rsidRPr="0033301A">
              <w:rPr>
                <w:bCs/>
                <w:sz w:val="20"/>
                <w:szCs w:val="20"/>
              </w:rPr>
              <w:t>Client-held records</w:t>
            </w:r>
          </w:p>
        </w:tc>
        <w:tc>
          <w:tcPr>
            <w:tcW w:w="1843" w:type="dxa"/>
          </w:tcPr>
          <w:p w:rsidR="00374CD9" w:rsidRPr="0033301A" w:rsidRDefault="00374CD9" w:rsidP="00BF76B3">
            <w:pPr>
              <w:jc w:val="both"/>
              <w:rPr>
                <w:sz w:val="20"/>
                <w:szCs w:val="20"/>
              </w:rPr>
            </w:pPr>
            <w:r>
              <w:rPr>
                <w:sz w:val="20"/>
                <w:szCs w:val="20"/>
              </w:rPr>
              <w:t>43%</w:t>
            </w:r>
          </w:p>
        </w:tc>
        <w:tc>
          <w:tcPr>
            <w:tcW w:w="1819" w:type="dxa"/>
          </w:tcPr>
          <w:p w:rsidR="00374CD9" w:rsidRPr="0033301A" w:rsidRDefault="00374CD9" w:rsidP="00BF76B3">
            <w:pPr>
              <w:jc w:val="both"/>
              <w:rPr>
                <w:sz w:val="20"/>
                <w:szCs w:val="20"/>
              </w:rPr>
            </w:pPr>
            <w:r>
              <w:rPr>
                <w:sz w:val="20"/>
                <w:szCs w:val="20"/>
              </w:rPr>
              <w:t>79%</w:t>
            </w:r>
          </w:p>
        </w:tc>
        <w:tc>
          <w:tcPr>
            <w:tcW w:w="1219" w:type="dxa"/>
          </w:tcPr>
          <w:p w:rsidR="00374CD9" w:rsidRPr="0033301A" w:rsidRDefault="00374CD9" w:rsidP="00BF76B3">
            <w:pPr>
              <w:jc w:val="both"/>
              <w:rPr>
                <w:sz w:val="20"/>
                <w:szCs w:val="20"/>
              </w:rPr>
            </w:pPr>
            <w:r>
              <w:rPr>
                <w:sz w:val="20"/>
                <w:szCs w:val="20"/>
              </w:rPr>
              <w:t>36%</w:t>
            </w:r>
          </w:p>
        </w:tc>
      </w:tr>
      <w:tr w:rsidR="00374CD9" w:rsidRPr="0033301A" w:rsidTr="0033301A">
        <w:tc>
          <w:tcPr>
            <w:tcW w:w="4361" w:type="dxa"/>
          </w:tcPr>
          <w:p w:rsidR="00374CD9" w:rsidRPr="0033301A" w:rsidRDefault="00374CD9" w:rsidP="003854D9">
            <w:pPr>
              <w:rPr>
                <w:bCs/>
                <w:sz w:val="20"/>
                <w:szCs w:val="20"/>
              </w:rPr>
            </w:pPr>
            <w:r w:rsidRPr="0033301A">
              <w:rPr>
                <w:bCs/>
                <w:sz w:val="20"/>
                <w:szCs w:val="20"/>
              </w:rPr>
              <w:t>Minimum duration for staff visits</w:t>
            </w:r>
          </w:p>
        </w:tc>
        <w:tc>
          <w:tcPr>
            <w:tcW w:w="1843" w:type="dxa"/>
          </w:tcPr>
          <w:p w:rsidR="00374CD9" w:rsidRPr="0033301A" w:rsidRDefault="00374CD9" w:rsidP="00BF76B3">
            <w:pPr>
              <w:jc w:val="both"/>
              <w:rPr>
                <w:sz w:val="20"/>
                <w:szCs w:val="20"/>
              </w:rPr>
            </w:pPr>
            <w:r>
              <w:rPr>
                <w:sz w:val="20"/>
                <w:szCs w:val="20"/>
              </w:rPr>
              <w:t>13%</w:t>
            </w:r>
          </w:p>
        </w:tc>
        <w:tc>
          <w:tcPr>
            <w:tcW w:w="1819" w:type="dxa"/>
          </w:tcPr>
          <w:p w:rsidR="00374CD9" w:rsidRPr="0033301A" w:rsidRDefault="00374CD9" w:rsidP="00BF76B3">
            <w:pPr>
              <w:jc w:val="both"/>
              <w:rPr>
                <w:sz w:val="20"/>
                <w:szCs w:val="20"/>
              </w:rPr>
            </w:pPr>
            <w:r>
              <w:rPr>
                <w:sz w:val="20"/>
                <w:szCs w:val="20"/>
              </w:rPr>
              <w:t>48%</w:t>
            </w:r>
          </w:p>
        </w:tc>
        <w:tc>
          <w:tcPr>
            <w:tcW w:w="1219" w:type="dxa"/>
          </w:tcPr>
          <w:p w:rsidR="00374CD9" w:rsidRPr="0033301A" w:rsidRDefault="00374CD9" w:rsidP="00BF76B3">
            <w:pPr>
              <w:jc w:val="both"/>
              <w:rPr>
                <w:sz w:val="20"/>
                <w:szCs w:val="20"/>
              </w:rPr>
            </w:pPr>
            <w:r>
              <w:rPr>
                <w:sz w:val="20"/>
                <w:szCs w:val="20"/>
              </w:rPr>
              <w:t>35%</w:t>
            </w:r>
          </w:p>
        </w:tc>
      </w:tr>
      <w:tr w:rsidR="00374CD9" w:rsidRPr="0033301A" w:rsidTr="0033301A">
        <w:tc>
          <w:tcPr>
            <w:tcW w:w="4361" w:type="dxa"/>
          </w:tcPr>
          <w:p w:rsidR="00374CD9" w:rsidRPr="0033301A" w:rsidRDefault="00374CD9" w:rsidP="003854D9">
            <w:pPr>
              <w:rPr>
                <w:bCs/>
                <w:sz w:val="20"/>
                <w:szCs w:val="20"/>
              </w:rPr>
            </w:pPr>
            <w:r w:rsidRPr="0033301A">
              <w:rPr>
                <w:bCs/>
                <w:sz w:val="20"/>
                <w:szCs w:val="20"/>
              </w:rPr>
              <w:t>Minimum frequency for staff visits</w:t>
            </w:r>
          </w:p>
        </w:tc>
        <w:tc>
          <w:tcPr>
            <w:tcW w:w="1843" w:type="dxa"/>
          </w:tcPr>
          <w:p w:rsidR="00374CD9" w:rsidRPr="0033301A" w:rsidRDefault="00374CD9" w:rsidP="00BF76B3">
            <w:pPr>
              <w:jc w:val="both"/>
              <w:rPr>
                <w:sz w:val="20"/>
                <w:szCs w:val="20"/>
              </w:rPr>
            </w:pPr>
            <w:r>
              <w:rPr>
                <w:sz w:val="20"/>
                <w:szCs w:val="20"/>
              </w:rPr>
              <w:t>37%</w:t>
            </w:r>
          </w:p>
        </w:tc>
        <w:tc>
          <w:tcPr>
            <w:tcW w:w="1819" w:type="dxa"/>
          </w:tcPr>
          <w:p w:rsidR="00374CD9" w:rsidRPr="0033301A" w:rsidRDefault="00374CD9" w:rsidP="00BF76B3">
            <w:pPr>
              <w:jc w:val="both"/>
              <w:rPr>
                <w:sz w:val="20"/>
                <w:szCs w:val="20"/>
              </w:rPr>
            </w:pPr>
            <w:r>
              <w:rPr>
                <w:sz w:val="20"/>
                <w:szCs w:val="20"/>
              </w:rPr>
              <w:t>72%</w:t>
            </w:r>
          </w:p>
        </w:tc>
        <w:tc>
          <w:tcPr>
            <w:tcW w:w="1219" w:type="dxa"/>
          </w:tcPr>
          <w:p w:rsidR="00374CD9" w:rsidRPr="0033301A" w:rsidRDefault="00374CD9" w:rsidP="00BF76B3">
            <w:pPr>
              <w:jc w:val="both"/>
              <w:rPr>
                <w:sz w:val="20"/>
                <w:szCs w:val="20"/>
              </w:rPr>
            </w:pPr>
            <w:r>
              <w:rPr>
                <w:sz w:val="20"/>
                <w:szCs w:val="20"/>
              </w:rPr>
              <w:t>35%</w:t>
            </w:r>
          </w:p>
        </w:tc>
      </w:tr>
      <w:tr w:rsidR="00374CD9" w:rsidRPr="0033301A" w:rsidTr="0033301A">
        <w:tc>
          <w:tcPr>
            <w:tcW w:w="4361" w:type="dxa"/>
          </w:tcPr>
          <w:p w:rsidR="00374CD9" w:rsidRPr="0033301A" w:rsidRDefault="00374CD9" w:rsidP="003854D9">
            <w:pPr>
              <w:rPr>
                <w:bCs/>
                <w:sz w:val="20"/>
                <w:szCs w:val="20"/>
              </w:rPr>
            </w:pPr>
            <w:r w:rsidRPr="0033301A">
              <w:rPr>
                <w:bCs/>
                <w:sz w:val="20"/>
                <w:szCs w:val="20"/>
              </w:rPr>
              <w:t>Helping with problems with welfare benefits</w:t>
            </w:r>
          </w:p>
        </w:tc>
        <w:tc>
          <w:tcPr>
            <w:tcW w:w="1843" w:type="dxa"/>
          </w:tcPr>
          <w:p w:rsidR="00374CD9" w:rsidRPr="0033301A" w:rsidRDefault="00374CD9" w:rsidP="00BF76B3">
            <w:pPr>
              <w:jc w:val="both"/>
              <w:rPr>
                <w:sz w:val="20"/>
                <w:szCs w:val="20"/>
              </w:rPr>
            </w:pPr>
            <w:r>
              <w:rPr>
                <w:sz w:val="20"/>
                <w:szCs w:val="20"/>
              </w:rPr>
              <w:t>59%</w:t>
            </w:r>
          </w:p>
        </w:tc>
        <w:tc>
          <w:tcPr>
            <w:tcW w:w="1819" w:type="dxa"/>
          </w:tcPr>
          <w:p w:rsidR="00374CD9" w:rsidRPr="0033301A" w:rsidRDefault="00374CD9" w:rsidP="00BF76B3">
            <w:pPr>
              <w:jc w:val="both"/>
              <w:rPr>
                <w:sz w:val="20"/>
                <w:szCs w:val="20"/>
              </w:rPr>
            </w:pPr>
            <w:r>
              <w:rPr>
                <w:sz w:val="20"/>
                <w:szCs w:val="20"/>
              </w:rPr>
              <w:t>91%</w:t>
            </w:r>
          </w:p>
        </w:tc>
        <w:tc>
          <w:tcPr>
            <w:tcW w:w="1219" w:type="dxa"/>
          </w:tcPr>
          <w:p w:rsidR="00374CD9" w:rsidRPr="0033301A" w:rsidRDefault="00374CD9" w:rsidP="00BF76B3">
            <w:pPr>
              <w:jc w:val="both"/>
              <w:rPr>
                <w:sz w:val="20"/>
                <w:szCs w:val="20"/>
              </w:rPr>
            </w:pPr>
            <w:r>
              <w:rPr>
                <w:sz w:val="20"/>
                <w:szCs w:val="20"/>
              </w:rPr>
              <w:t>32%</w:t>
            </w:r>
          </w:p>
        </w:tc>
      </w:tr>
      <w:tr w:rsidR="00374CD9" w:rsidRPr="0033301A" w:rsidTr="0033301A">
        <w:tc>
          <w:tcPr>
            <w:tcW w:w="4361" w:type="dxa"/>
          </w:tcPr>
          <w:p w:rsidR="00374CD9" w:rsidRPr="0033301A" w:rsidRDefault="00374CD9" w:rsidP="00672347">
            <w:pPr>
              <w:jc w:val="both"/>
              <w:rPr>
                <w:sz w:val="20"/>
                <w:szCs w:val="20"/>
              </w:rPr>
            </w:pPr>
            <w:r w:rsidRPr="0033301A">
              <w:rPr>
                <w:sz w:val="20"/>
                <w:szCs w:val="20"/>
              </w:rPr>
              <w:t>CRT accepting self-referrals from service users not previously known to services</w:t>
            </w:r>
          </w:p>
        </w:tc>
        <w:tc>
          <w:tcPr>
            <w:tcW w:w="1843" w:type="dxa"/>
          </w:tcPr>
          <w:p w:rsidR="00374CD9" w:rsidRPr="0033301A" w:rsidRDefault="00374CD9" w:rsidP="00BF76B3">
            <w:pPr>
              <w:jc w:val="both"/>
              <w:rPr>
                <w:sz w:val="20"/>
                <w:szCs w:val="20"/>
              </w:rPr>
            </w:pPr>
            <w:r>
              <w:rPr>
                <w:sz w:val="20"/>
                <w:szCs w:val="20"/>
              </w:rPr>
              <w:t>21%</w:t>
            </w:r>
          </w:p>
        </w:tc>
        <w:tc>
          <w:tcPr>
            <w:tcW w:w="1819" w:type="dxa"/>
          </w:tcPr>
          <w:p w:rsidR="00374CD9" w:rsidRPr="0033301A" w:rsidRDefault="00374CD9" w:rsidP="00BF76B3">
            <w:pPr>
              <w:jc w:val="both"/>
              <w:rPr>
                <w:sz w:val="20"/>
                <w:szCs w:val="20"/>
              </w:rPr>
            </w:pPr>
            <w:r>
              <w:rPr>
                <w:sz w:val="20"/>
                <w:szCs w:val="20"/>
              </w:rPr>
              <w:t>44%</w:t>
            </w:r>
          </w:p>
        </w:tc>
        <w:tc>
          <w:tcPr>
            <w:tcW w:w="1219" w:type="dxa"/>
          </w:tcPr>
          <w:p w:rsidR="00374CD9" w:rsidRPr="0033301A" w:rsidRDefault="00374CD9" w:rsidP="00BF76B3">
            <w:pPr>
              <w:jc w:val="both"/>
              <w:rPr>
                <w:sz w:val="20"/>
                <w:szCs w:val="20"/>
              </w:rPr>
            </w:pPr>
            <w:r>
              <w:rPr>
                <w:sz w:val="20"/>
                <w:szCs w:val="20"/>
              </w:rPr>
              <w:t>23%</w:t>
            </w:r>
          </w:p>
        </w:tc>
      </w:tr>
      <w:tr w:rsidR="00374CD9" w:rsidRPr="0033301A" w:rsidTr="0033301A">
        <w:tc>
          <w:tcPr>
            <w:tcW w:w="4361" w:type="dxa"/>
          </w:tcPr>
          <w:p w:rsidR="00374CD9" w:rsidRPr="0033301A" w:rsidRDefault="00374CD9" w:rsidP="003854D9">
            <w:pPr>
              <w:jc w:val="both"/>
              <w:rPr>
                <w:sz w:val="20"/>
                <w:szCs w:val="20"/>
              </w:rPr>
            </w:pPr>
            <w:r w:rsidRPr="0033301A">
              <w:rPr>
                <w:sz w:val="20"/>
                <w:szCs w:val="20"/>
              </w:rPr>
              <w:t>CRT providing physical health checks</w:t>
            </w:r>
          </w:p>
        </w:tc>
        <w:tc>
          <w:tcPr>
            <w:tcW w:w="1843" w:type="dxa"/>
          </w:tcPr>
          <w:p w:rsidR="00374CD9" w:rsidRPr="0033301A" w:rsidRDefault="00374CD9" w:rsidP="003854D9">
            <w:pPr>
              <w:jc w:val="both"/>
              <w:rPr>
                <w:sz w:val="20"/>
                <w:szCs w:val="20"/>
              </w:rPr>
            </w:pPr>
            <w:r>
              <w:rPr>
                <w:sz w:val="20"/>
                <w:szCs w:val="20"/>
              </w:rPr>
              <w:t>65%</w:t>
            </w:r>
          </w:p>
        </w:tc>
        <w:tc>
          <w:tcPr>
            <w:tcW w:w="1819" w:type="dxa"/>
          </w:tcPr>
          <w:p w:rsidR="00374CD9" w:rsidRPr="0033301A" w:rsidRDefault="00374CD9" w:rsidP="003854D9">
            <w:pPr>
              <w:jc w:val="both"/>
              <w:rPr>
                <w:sz w:val="20"/>
                <w:szCs w:val="20"/>
              </w:rPr>
            </w:pPr>
            <w:r>
              <w:rPr>
                <w:sz w:val="20"/>
                <w:szCs w:val="20"/>
              </w:rPr>
              <w:t>88%</w:t>
            </w:r>
          </w:p>
        </w:tc>
        <w:tc>
          <w:tcPr>
            <w:tcW w:w="1219" w:type="dxa"/>
          </w:tcPr>
          <w:p w:rsidR="00374CD9" w:rsidRPr="0033301A" w:rsidRDefault="00374CD9" w:rsidP="003854D9">
            <w:pPr>
              <w:jc w:val="both"/>
              <w:rPr>
                <w:sz w:val="20"/>
                <w:szCs w:val="20"/>
              </w:rPr>
            </w:pPr>
            <w:r>
              <w:rPr>
                <w:sz w:val="20"/>
                <w:szCs w:val="20"/>
              </w:rPr>
              <w:t>23%</w:t>
            </w:r>
          </w:p>
        </w:tc>
      </w:tr>
      <w:tr w:rsidR="00374CD9" w:rsidRPr="0033301A" w:rsidTr="0033301A">
        <w:tc>
          <w:tcPr>
            <w:tcW w:w="4361" w:type="dxa"/>
          </w:tcPr>
          <w:p w:rsidR="00374CD9" w:rsidRPr="0033301A" w:rsidRDefault="00374CD9" w:rsidP="00672347">
            <w:pPr>
              <w:jc w:val="both"/>
              <w:rPr>
                <w:sz w:val="20"/>
                <w:szCs w:val="20"/>
              </w:rPr>
            </w:pPr>
            <w:r w:rsidRPr="0033301A">
              <w:rPr>
                <w:sz w:val="20"/>
                <w:szCs w:val="20"/>
              </w:rPr>
              <w:t>CRT attending Mental Health Act Assessments</w:t>
            </w:r>
          </w:p>
        </w:tc>
        <w:tc>
          <w:tcPr>
            <w:tcW w:w="1843" w:type="dxa"/>
          </w:tcPr>
          <w:p w:rsidR="00374CD9" w:rsidRPr="0033301A" w:rsidRDefault="00374CD9" w:rsidP="00BF76B3">
            <w:pPr>
              <w:jc w:val="both"/>
              <w:rPr>
                <w:sz w:val="20"/>
                <w:szCs w:val="20"/>
              </w:rPr>
            </w:pPr>
            <w:r>
              <w:rPr>
                <w:sz w:val="20"/>
                <w:szCs w:val="20"/>
              </w:rPr>
              <w:t>48%</w:t>
            </w:r>
          </w:p>
        </w:tc>
        <w:tc>
          <w:tcPr>
            <w:tcW w:w="1819" w:type="dxa"/>
          </w:tcPr>
          <w:p w:rsidR="00374CD9" w:rsidRPr="0033301A" w:rsidRDefault="00374CD9" w:rsidP="00BF76B3">
            <w:pPr>
              <w:jc w:val="both"/>
              <w:rPr>
                <w:sz w:val="20"/>
                <w:szCs w:val="20"/>
              </w:rPr>
            </w:pPr>
            <w:r>
              <w:rPr>
                <w:sz w:val="20"/>
                <w:szCs w:val="20"/>
              </w:rPr>
              <w:t>70%</w:t>
            </w:r>
          </w:p>
        </w:tc>
        <w:tc>
          <w:tcPr>
            <w:tcW w:w="1219" w:type="dxa"/>
          </w:tcPr>
          <w:p w:rsidR="00374CD9" w:rsidRPr="0033301A" w:rsidRDefault="00374CD9" w:rsidP="00BF76B3">
            <w:pPr>
              <w:jc w:val="both"/>
              <w:rPr>
                <w:sz w:val="20"/>
                <w:szCs w:val="20"/>
              </w:rPr>
            </w:pPr>
            <w:r>
              <w:rPr>
                <w:sz w:val="20"/>
                <w:szCs w:val="20"/>
              </w:rPr>
              <w:t>22%</w:t>
            </w:r>
          </w:p>
        </w:tc>
      </w:tr>
      <w:tr w:rsidR="00374CD9" w:rsidRPr="0033301A" w:rsidTr="00374CD9">
        <w:tc>
          <w:tcPr>
            <w:tcW w:w="4361" w:type="dxa"/>
            <w:shd w:val="clear" w:color="auto" w:fill="D9D9D9" w:themeFill="background1" w:themeFillShade="D9"/>
          </w:tcPr>
          <w:p w:rsidR="00374CD9" w:rsidRPr="0033301A" w:rsidRDefault="00374CD9" w:rsidP="00BF76B3">
            <w:pPr>
              <w:jc w:val="both"/>
              <w:rPr>
                <w:sz w:val="20"/>
                <w:szCs w:val="20"/>
              </w:rPr>
            </w:pPr>
          </w:p>
        </w:tc>
        <w:tc>
          <w:tcPr>
            <w:tcW w:w="1843" w:type="dxa"/>
            <w:shd w:val="clear" w:color="auto" w:fill="D9D9D9" w:themeFill="background1" w:themeFillShade="D9"/>
          </w:tcPr>
          <w:p w:rsidR="00374CD9" w:rsidRPr="0033301A" w:rsidRDefault="00374CD9" w:rsidP="00BF76B3">
            <w:pPr>
              <w:jc w:val="both"/>
              <w:rPr>
                <w:sz w:val="20"/>
                <w:szCs w:val="20"/>
              </w:rPr>
            </w:pPr>
          </w:p>
        </w:tc>
        <w:tc>
          <w:tcPr>
            <w:tcW w:w="1819" w:type="dxa"/>
            <w:shd w:val="clear" w:color="auto" w:fill="D9D9D9" w:themeFill="background1" w:themeFillShade="D9"/>
          </w:tcPr>
          <w:p w:rsidR="00374CD9" w:rsidRPr="0033301A" w:rsidRDefault="00374CD9" w:rsidP="00BF76B3">
            <w:pPr>
              <w:jc w:val="both"/>
              <w:rPr>
                <w:sz w:val="20"/>
                <w:szCs w:val="20"/>
              </w:rPr>
            </w:pPr>
          </w:p>
        </w:tc>
        <w:tc>
          <w:tcPr>
            <w:tcW w:w="1219" w:type="dxa"/>
            <w:shd w:val="clear" w:color="auto" w:fill="D9D9D9" w:themeFill="background1" w:themeFillShade="D9"/>
          </w:tcPr>
          <w:p w:rsidR="00374CD9" w:rsidRPr="0033301A" w:rsidRDefault="00374CD9" w:rsidP="00BF76B3">
            <w:pPr>
              <w:jc w:val="both"/>
              <w:rPr>
                <w:sz w:val="20"/>
                <w:szCs w:val="20"/>
              </w:rPr>
            </w:pPr>
          </w:p>
        </w:tc>
      </w:tr>
      <w:tr w:rsidR="00374CD9" w:rsidRPr="0033301A" w:rsidTr="0033301A">
        <w:tc>
          <w:tcPr>
            <w:tcW w:w="4361" w:type="dxa"/>
          </w:tcPr>
          <w:p w:rsidR="00374CD9" w:rsidRPr="0033301A" w:rsidRDefault="00374CD9" w:rsidP="00BF76B3">
            <w:pPr>
              <w:jc w:val="both"/>
              <w:rPr>
                <w:sz w:val="20"/>
                <w:szCs w:val="20"/>
              </w:rPr>
            </w:pPr>
            <w:r w:rsidRPr="0033301A">
              <w:rPr>
                <w:sz w:val="20"/>
                <w:szCs w:val="20"/>
              </w:rPr>
              <w:t>CRT working with people with learning difficulties</w:t>
            </w:r>
          </w:p>
        </w:tc>
        <w:tc>
          <w:tcPr>
            <w:tcW w:w="1843" w:type="dxa"/>
          </w:tcPr>
          <w:p w:rsidR="00374CD9" w:rsidRPr="0033301A" w:rsidRDefault="00374CD9" w:rsidP="00BF76B3">
            <w:pPr>
              <w:jc w:val="both"/>
              <w:rPr>
                <w:sz w:val="20"/>
                <w:szCs w:val="20"/>
              </w:rPr>
            </w:pPr>
            <w:r>
              <w:rPr>
                <w:sz w:val="20"/>
                <w:szCs w:val="20"/>
              </w:rPr>
              <w:t>58%</w:t>
            </w:r>
          </w:p>
        </w:tc>
        <w:tc>
          <w:tcPr>
            <w:tcW w:w="1819" w:type="dxa"/>
          </w:tcPr>
          <w:p w:rsidR="00374CD9" w:rsidRPr="0033301A" w:rsidRDefault="00374CD9" w:rsidP="00BF76B3">
            <w:pPr>
              <w:jc w:val="both"/>
              <w:rPr>
                <w:sz w:val="20"/>
                <w:szCs w:val="20"/>
              </w:rPr>
            </w:pPr>
            <w:r>
              <w:rPr>
                <w:sz w:val="20"/>
                <w:szCs w:val="20"/>
              </w:rPr>
              <w:t>36%</w:t>
            </w:r>
          </w:p>
        </w:tc>
        <w:tc>
          <w:tcPr>
            <w:tcW w:w="1219" w:type="dxa"/>
          </w:tcPr>
          <w:p w:rsidR="00374CD9" w:rsidRPr="0033301A" w:rsidRDefault="00374CD9" w:rsidP="00BF76B3">
            <w:pPr>
              <w:jc w:val="both"/>
              <w:rPr>
                <w:sz w:val="20"/>
                <w:szCs w:val="20"/>
              </w:rPr>
            </w:pPr>
            <w:r>
              <w:rPr>
                <w:sz w:val="20"/>
                <w:szCs w:val="20"/>
              </w:rPr>
              <w:t>-22%</w:t>
            </w:r>
          </w:p>
        </w:tc>
      </w:tr>
      <w:tr w:rsidR="00374CD9" w:rsidRPr="0033301A" w:rsidTr="0033301A">
        <w:tc>
          <w:tcPr>
            <w:tcW w:w="4361" w:type="dxa"/>
          </w:tcPr>
          <w:p w:rsidR="00374CD9" w:rsidRPr="0033301A" w:rsidRDefault="00374CD9" w:rsidP="00BF76B3">
            <w:pPr>
              <w:jc w:val="both"/>
              <w:rPr>
                <w:sz w:val="20"/>
                <w:szCs w:val="20"/>
              </w:rPr>
            </w:pPr>
            <w:r w:rsidRPr="0033301A">
              <w:rPr>
                <w:sz w:val="20"/>
                <w:szCs w:val="20"/>
              </w:rPr>
              <w:t>CRT working with people with personality disorder</w:t>
            </w:r>
          </w:p>
        </w:tc>
        <w:tc>
          <w:tcPr>
            <w:tcW w:w="1843" w:type="dxa"/>
          </w:tcPr>
          <w:p w:rsidR="00374CD9" w:rsidRPr="0033301A" w:rsidRDefault="00374CD9" w:rsidP="00BF76B3">
            <w:pPr>
              <w:jc w:val="both"/>
              <w:rPr>
                <w:sz w:val="20"/>
                <w:szCs w:val="20"/>
              </w:rPr>
            </w:pPr>
            <w:r>
              <w:rPr>
                <w:sz w:val="20"/>
                <w:szCs w:val="20"/>
              </w:rPr>
              <w:t>79%</w:t>
            </w:r>
          </w:p>
        </w:tc>
        <w:tc>
          <w:tcPr>
            <w:tcW w:w="1819" w:type="dxa"/>
          </w:tcPr>
          <w:p w:rsidR="00374CD9" w:rsidRPr="0033301A" w:rsidRDefault="00374CD9" w:rsidP="00BF76B3">
            <w:pPr>
              <w:jc w:val="both"/>
              <w:rPr>
                <w:sz w:val="20"/>
                <w:szCs w:val="20"/>
              </w:rPr>
            </w:pPr>
            <w:r>
              <w:rPr>
                <w:sz w:val="20"/>
                <w:szCs w:val="20"/>
              </w:rPr>
              <w:t>52%</w:t>
            </w:r>
          </w:p>
        </w:tc>
        <w:tc>
          <w:tcPr>
            <w:tcW w:w="1219" w:type="dxa"/>
          </w:tcPr>
          <w:p w:rsidR="00374CD9" w:rsidRPr="0033301A" w:rsidRDefault="00374CD9" w:rsidP="00BF76B3">
            <w:pPr>
              <w:jc w:val="both"/>
              <w:rPr>
                <w:sz w:val="20"/>
                <w:szCs w:val="20"/>
              </w:rPr>
            </w:pPr>
            <w:r>
              <w:rPr>
                <w:sz w:val="20"/>
                <w:szCs w:val="20"/>
              </w:rPr>
              <w:t>-2</w:t>
            </w:r>
            <w:r w:rsidR="000B458E">
              <w:rPr>
                <w:sz w:val="20"/>
                <w:szCs w:val="20"/>
              </w:rPr>
              <w:t>7</w:t>
            </w:r>
            <w:r>
              <w:rPr>
                <w:sz w:val="20"/>
                <w:szCs w:val="20"/>
              </w:rPr>
              <w:t>%</w:t>
            </w:r>
          </w:p>
        </w:tc>
      </w:tr>
    </w:tbl>
    <w:p w:rsidR="00F61177" w:rsidRPr="00F61177" w:rsidRDefault="00F61177" w:rsidP="00BF76B3">
      <w:pPr>
        <w:jc w:val="both"/>
        <w:rPr>
          <w:sz w:val="24"/>
          <w:szCs w:val="24"/>
        </w:rPr>
      </w:pPr>
    </w:p>
    <w:p w:rsidR="005606C9" w:rsidRPr="00BF76B3" w:rsidRDefault="005606C9" w:rsidP="00BF76B3">
      <w:pPr>
        <w:jc w:val="both"/>
        <w:rPr>
          <w:sz w:val="24"/>
          <w:szCs w:val="24"/>
        </w:rPr>
      </w:pPr>
    </w:p>
    <w:sectPr w:rsidR="005606C9" w:rsidRPr="00BF76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4E" w:rsidRDefault="0058074E" w:rsidP="00AB11AE">
      <w:pPr>
        <w:spacing w:after="0" w:line="240" w:lineRule="auto"/>
      </w:pPr>
      <w:r>
        <w:separator/>
      </w:r>
    </w:p>
  </w:endnote>
  <w:endnote w:type="continuationSeparator" w:id="0">
    <w:p w:rsidR="0058074E" w:rsidRDefault="0058074E" w:rsidP="00AB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90548"/>
      <w:docPartObj>
        <w:docPartGallery w:val="Page Numbers (Bottom of Page)"/>
        <w:docPartUnique/>
      </w:docPartObj>
    </w:sdtPr>
    <w:sdtEndPr>
      <w:rPr>
        <w:noProof/>
      </w:rPr>
    </w:sdtEndPr>
    <w:sdtContent>
      <w:p w:rsidR="0058074E" w:rsidRDefault="0058074E">
        <w:pPr>
          <w:pStyle w:val="Footer"/>
          <w:jc w:val="center"/>
        </w:pPr>
        <w:r>
          <w:fldChar w:fldCharType="begin"/>
        </w:r>
        <w:r>
          <w:instrText xml:space="preserve"> PAGE   \* MERGEFORMAT </w:instrText>
        </w:r>
        <w:r>
          <w:fldChar w:fldCharType="separate"/>
        </w:r>
        <w:r w:rsidR="00500275">
          <w:rPr>
            <w:noProof/>
          </w:rPr>
          <w:t>4</w:t>
        </w:r>
        <w:r>
          <w:rPr>
            <w:noProof/>
          </w:rPr>
          <w:fldChar w:fldCharType="end"/>
        </w:r>
      </w:p>
    </w:sdtContent>
  </w:sdt>
  <w:p w:rsidR="0058074E" w:rsidRDefault="0058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4E" w:rsidRDefault="0058074E" w:rsidP="00AB11AE">
      <w:pPr>
        <w:spacing w:after="0" w:line="240" w:lineRule="auto"/>
      </w:pPr>
      <w:r>
        <w:separator/>
      </w:r>
    </w:p>
  </w:footnote>
  <w:footnote w:type="continuationSeparator" w:id="0">
    <w:p w:rsidR="0058074E" w:rsidRDefault="0058074E" w:rsidP="00AB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FA1"/>
    <w:multiLevelType w:val="hybridMultilevel"/>
    <w:tmpl w:val="152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40C57"/>
    <w:multiLevelType w:val="hybridMultilevel"/>
    <w:tmpl w:val="3F3C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BC"/>
    <w:rsid w:val="00007F5B"/>
    <w:rsid w:val="00011F17"/>
    <w:rsid w:val="00015FE3"/>
    <w:rsid w:val="00033E27"/>
    <w:rsid w:val="00043B63"/>
    <w:rsid w:val="0005213E"/>
    <w:rsid w:val="00052438"/>
    <w:rsid w:val="00077C80"/>
    <w:rsid w:val="00086393"/>
    <w:rsid w:val="000A508C"/>
    <w:rsid w:val="000B458E"/>
    <w:rsid w:val="000B601C"/>
    <w:rsid w:val="000E4292"/>
    <w:rsid w:val="00106453"/>
    <w:rsid w:val="00107C95"/>
    <w:rsid w:val="00111FB3"/>
    <w:rsid w:val="00112251"/>
    <w:rsid w:val="00117B3F"/>
    <w:rsid w:val="00122F92"/>
    <w:rsid w:val="001233C6"/>
    <w:rsid w:val="0012790E"/>
    <w:rsid w:val="00132C7C"/>
    <w:rsid w:val="0013673C"/>
    <w:rsid w:val="001448F5"/>
    <w:rsid w:val="001475E1"/>
    <w:rsid w:val="0015392D"/>
    <w:rsid w:val="001559BC"/>
    <w:rsid w:val="00156DCF"/>
    <w:rsid w:val="00157326"/>
    <w:rsid w:val="001644AD"/>
    <w:rsid w:val="001702D0"/>
    <w:rsid w:val="00171D7C"/>
    <w:rsid w:val="00174B18"/>
    <w:rsid w:val="00174D6D"/>
    <w:rsid w:val="0018644E"/>
    <w:rsid w:val="0018698D"/>
    <w:rsid w:val="001A6601"/>
    <w:rsid w:val="001B2637"/>
    <w:rsid w:val="001C0A57"/>
    <w:rsid w:val="001C1D8F"/>
    <w:rsid w:val="001F7AAB"/>
    <w:rsid w:val="00203AFE"/>
    <w:rsid w:val="00254B65"/>
    <w:rsid w:val="002634B4"/>
    <w:rsid w:val="00265786"/>
    <w:rsid w:val="00295A31"/>
    <w:rsid w:val="002B5185"/>
    <w:rsid w:val="002C0890"/>
    <w:rsid w:val="002D617D"/>
    <w:rsid w:val="002E3D0C"/>
    <w:rsid w:val="003168CA"/>
    <w:rsid w:val="00321D9C"/>
    <w:rsid w:val="00331C3F"/>
    <w:rsid w:val="0033301A"/>
    <w:rsid w:val="00344771"/>
    <w:rsid w:val="00361EF7"/>
    <w:rsid w:val="00364245"/>
    <w:rsid w:val="00364ACB"/>
    <w:rsid w:val="00374CD9"/>
    <w:rsid w:val="00375DAD"/>
    <w:rsid w:val="00381402"/>
    <w:rsid w:val="003854D9"/>
    <w:rsid w:val="003876BA"/>
    <w:rsid w:val="0039469F"/>
    <w:rsid w:val="00397269"/>
    <w:rsid w:val="003A0C7F"/>
    <w:rsid w:val="003A2AF3"/>
    <w:rsid w:val="003A7690"/>
    <w:rsid w:val="003A7927"/>
    <w:rsid w:val="003C18FF"/>
    <w:rsid w:val="003D152F"/>
    <w:rsid w:val="003D31C2"/>
    <w:rsid w:val="003E7D4F"/>
    <w:rsid w:val="00402E0C"/>
    <w:rsid w:val="00446C94"/>
    <w:rsid w:val="004575B3"/>
    <w:rsid w:val="00457752"/>
    <w:rsid w:val="00470DF5"/>
    <w:rsid w:val="004900BB"/>
    <w:rsid w:val="0049494D"/>
    <w:rsid w:val="00494AF7"/>
    <w:rsid w:val="004A0257"/>
    <w:rsid w:val="004A5675"/>
    <w:rsid w:val="004B0BC3"/>
    <w:rsid w:val="004B424F"/>
    <w:rsid w:val="004C1757"/>
    <w:rsid w:val="004C1E2E"/>
    <w:rsid w:val="004D5F51"/>
    <w:rsid w:val="004E7DDB"/>
    <w:rsid w:val="00500275"/>
    <w:rsid w:val="005044D1"/>
    <w:rsid w:val="00505B2A"/>
    <w:rsid w:val="00523143"/>
    <w:rsid w:val="00534169"/>
    <w:rsid w:val="00537319"/>
    <w:rsid w:val="00556DEA"/>
    <w:rsid w:val="005606C9"/>
    <w:rsid w:val="00564344"/>
    <w:rsid w:val="00565599"/>
    <w:rsid w:val="00567ED6"/>
    <w:rsid w:val="005763D6"/>
    <w:rsid w:val="0058074E"/>
    <w:rsid w:val="0058616D"/>
    <w:rsid w:val="005913EE"/>
    <w:rsid w:val="005D5565"/>
    <w:rsid w:val="005E25DA"/>
    <w:rsid w:val="005F04BE"/>
    <w:rsid w:val="005F544A"/>
    <w:rsid w:val="00612FBB"/>
    <w:rsid w:val="00617485"/>
    <w:rsid w:val="006241FD"/>
    <w:rsid w:val="00642AC8"/>
    <w:rsid w:val="00646F87"/>
    <w:rsid w:val="00647F09"/>
    <w:rsid w:val="00672347"/>
    <w:rsid w:val="00677B38"/>
    <w:rsid w:val="0068223B"/>
    <w:rsid w:val="00683FF3"/>
    <w:rsid w:val="006A2833"/>
    <w:rsid w:val="006A2E8A"/>
    <w:rsid w:val="006B239C"/>
    <w:rsid w:val="006B48ED"/>
    <w:rsid w:val="006D4F2E"/>
    <w:rsid w:val="006F520A"/>
    <w:rsid w:val="006F76EB"/>
    <w:rsid w:val="00711B8D"/>
    <w:rsid w:val="007153A9"/>
    <w:rsid w:val="00744DCA"/>
    <w:rsid w:val="007755C0"/>
    <w:rsid w:val="0077617A"/>
    <w:rsid w:val="007924D0"/>
    <w:rsid w:val="00793775"/>
    <w:rsid w:val="0079754D"/>
    <w:rsid w:val="007A3DA2"/>
    <w:rsid w:val="007B6CC9"/>
    <w:rsid w:val="007D189E"/>
    <w:rsid w:val="00800786"/>
    <w:rsid w:val="00800867"/>
    <w:rsid w:val="0081334F"/>
    <w:rsid w:val="00813CED"/>
    <w:rsid w:val="00822BAC"/>
    <w:rsid w:val="00823D49"/>
    <w:rsid w:val="00833B5D"/>
    <w:rsid w:val="00841128"/>
    <w:rsid w:val="00850BFD"/>
    <w:rsid w:val="008624C8"/>
    <w:rsid w:val="00890E09"/>
    <w:rsid w:val="00896511"/>
    <w:rsid w:val="008B01DA"/>
    <w:rsid w:val="008D2EA8"/>
    <w:rsid w:val="008D75C2"/>
    <w:rsid w:val="008E3C40"/>
    <w:rsid w:val="008E6AC0"/>
    <w:rsid w:val="008E78E2"/>
    <w:rsid w:val="008F075A"/>
    <w:rsid w:val="008F09D0"/>
    <w:rsid w:val="009060D9"/>
    <w:rsid w:val="00922D87"/>
    <w:rsid w:val="00940735"/>
    <w:rsid w:val="00950869"/>
    <w:rsid w:val="00975093"/>
    <w:rsid w:val="00985425"/>
    <w:rsid w:val="009979C5"/>
    <w:rsid w:val="009B24CA"/>
    <w:rsid w:val="009B3182"/>
    <w:rsid w:val="009B3B47"/>
    <w:rsid w:val="009B47E2"/>
    <w:rsid w:val="009C3C98"/>
    <w:rsid w:val="009C6727"/>
    <w:rsid w:val="009D242A"/>
    <w:rsid w:val="009D33EE"/>
    <w:rsid w:val="009D667B"/>
    <w:rsid w:val="00A10148"/>
    <w:rsid w:val="00A10AAC"/>
    <w:rsid w:val="00A17CEA"/>
    <w:rsid w:val="00A23EE8"/>
    <w:rsid w:val="00A31477"/>
    <w:rsid w:val="00A359F3"/>
    <w:rsid w:val="00A36790"/>
    <w:rsid w:val="00A568D9"/>
    <w:rsid w:val="00A778FF"/>
    <w:rsid w:val="00AB11AE"/>
    <w:rsid w:val="00AB2E71"/>
    <w:rsid w:val="00AB308A"/>
    <w:rsid w:val="00AB5ECD"/>
    <w:rsid w:val="00AC0B24"/>
    <w:rsid w:val="00AD3AB8"/>
    <w:rsid w:val="00AD41D1"/>
    <w:rsid w:val="00AF6A56"/>
    <w:rsid w:val="00B00B11"/>
    <w:rsid w:val="00B04BDC"/>
    <w:rsid w:val="00B10B4F"/>
    <w:rsid w:val="00B1487C"/>
    <w:rsid w:val="00B235B1"/>
    <w:rsid w:val="00B33307"/>
    <w:rsid w:val="00B3754F"/>
    <w:rsid w:val="00B43557"/>
    <w:rsid w:val="00B5269A"/>
    <w:rsid w:val="00B77FC9"/>
    <w:rsid w:val="00B804C2"/>
    <w:rsid w:val="00B81423"/>
    <w:rsid w:val="00B815E9"/>
    <w:rsid w:val="00B92C08"/>
    <w:rsid w:val="00BA345D"/>
    <w:rsid w:val="00BA3D49"/>
    <w:rsid w:val="00BA48EB"/>
    <w:rsid w:val="00BC12AA"/>
    <w:rsid w:val="00BC4F76"/>
    <w:rsid w:val="00BC7DEC"/>
    <w:rsid w:val="00BD18C6"/>
    <w:rsid w:val="00BD28CD"/>
    <w:rsid w:val="00BE24D5"/>
    <w:rsid w:val="00BE339C"/>
    <w:rsid w:val="00BF405C"/>
    <w:rsid w:val="00BF76B3"/>
    <w:rsid w:val="00C14312"/>
    <w:rsid w:val="00C22CF0"/>
    <w:rsid w:val="00C34F11"/>
    <w:rsid w:val="00C51F1C"/>
    <w:rsid w:val="00C6537E"/>
    <w:rsid w:val="00C840C9"/>
    <w:rsid w:val="00C952B1"/>
    <w:rsid w:val="00CA63CE"/>
    <w:rsid w:val="00CB4864"/>
    <w:rsid w:val="00CC3344"/>
    <w:rsid w:val="00CD35A5"/>
    <w:rsid w:val="00CF7A46"/>
    <w:rsid w:val="00D03E7C"/>
    <w:rsid w:val="00D0721C"/>
    <w:rsid w:val="00D07F27"/>
    <w:rsid w:val="00D105E4"/>
    <w:rsid w:val="00D24E82"/>
    <w:rsid w:val="00D266D3"/>
    <w:rsid w:val="00D26AB7"/>
    <w:rsid w:val="00D47259"/>
    <w:rsid w:val="00D47F99"/>
    <w:rsid w:val="00D542D7"/>
    <w:rsid w:val="00D55290"/>
    <w:rsid w:val="00D622FB"/>
    <w:rsid w:val="00D64A96"/>
    <w:rsid w:val="00D67845"/>
    <w:rsid w:val="00D73E12"/>
    <w:rsid w:val="00D915C8"/>
    <w:rsid w:val="00DA0928"/>
    <w:rsid w:val="00DB4DF6"/>
    <w:rsid w:val="00DE1DAF"/>
    <w:rsid w:val="00DE659D"/>
    <w:rsid w:val="00E02D03"/>
    <w:rsid w:val="00E12C39"/>
    <w:rsid w:val="00E17FB4"/>
    <w:rsid w:val="00E2564C"/>
    <w:rsid w:val="00E31E03"/>
    <w:rsid w:val="00E355EB"/>
    <w:rsid w:val="00E36A5D"/>
    <w:rsid w:val="00E45B44"/>
    <w:rsid w:val="00E45D54"/>
    <w:rsid w:val="00E5645A"/>
    <w:rsid w:val="00E61A5C"/>
    <w:rsid w:val="00E71AEE"/>
    <w:rsid w:val="00E832B8"/>
    <w:rsid w:val="00E9030F"/>
    <w:rsid w:val="00E9213C"/>
    <w:rsid w:val="00E94929"/>
    <w:rsid w:val="00E9696E"/>
    <w:rsid w:val="00EA5B71"/>
    <w:rsid w:val="00EB1544"/>
    <w:rsid w:val="00EB33BF"/>
    <w:rsid w:val="00EB6017"/>
    <w:rsid w:val="00ED5D7A"/>
    <w:rsid w:val="00EE1523"/>
    <w:rsid w:val="00EE7E8C"/>
    <w:rsid w:val="00EF12D2"/>
    <w:rsid w:val="00EF2CAE"/>
    <w:rsid w:val="00EF6B52"/>
    <w:rsid w:val="00F13D4B"/>
    <w:rsid w:val="00F31AF8"/>
    <w:rsid w:val="00F43182"/>
    <w:rsid w:val="00F61177"/>
    <w:rsid w:val="00F704A9"/>
    <w:rsid w:val="00F71CE9"/>
    <w:rsid w:val="00F726D7"/>
    <w:rsid w:val="00F7335F"/>
    <w:rsid w:val="00F74FDD"/>
    <w:rsid w:val="00F84978"/>
    <w:rsid w:val="00FB708F"/>
    <w:rsid w:val="00FD40C1"/>
    <w:rsid w:val="00FF6D76"/>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46"/>
    <w:pPr>
      <w:ind w:left="720"/>
      <w:contextualSpacing/>
    </w:pPr>
  </w:style>
  <w:style w:type="table" w:styleId="TableGrid">
    <w:name w:val="Table Grid"/>
    <w:basedOn w:val="TableNormal"/>
    <w:uiPriority w:val="59"/>
    <w:rsid w:val="00EA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9F"/>
    <w:rPr>
      <w:rFonts w:ascii="Tahoma" w:hAnsi="Tahoma" w:cs="Tahoma"/>
      <w:sz w:val="16"/>
      <w:szCs w:val="16"/>
    </w:rPr>
  </w:style>
  <w:style w:type="character" w:styleId="CommentReference">
    <w:name w:val="annotation reference"/>
    <w:basedOn w:val="DefaultParagraphFont"/>
    <w:uiPriority w:val="99"/>
    <w:semiHidden/>
    <w:unhideWhenUsed/>
    <w:rsid w:val="00321D9C"/>
    <w:rPr>
      <w:sz w:val="16"/>
      <w:szCs w:val="16"/>
    </w:rPr>
  </w:style>
  <w:style w:type="paragraph" w:styleId="CommentText">
    <w:name w:val="annotation text"/>
    <w:basedOn w:val="Normal"/>
    <w:link w:val="CommentTextChar"/>
    <w:uiPriority w:val="99"/>
    <w:unhideWhenUsed/>
    <w:rsid w:val="00321D9C"/>
    <w:pPr>
      <w:spacing w:line="240" w:lineRule="auto"/>
    </w:pPr>
    <w:rPr>
      <w:sz w:val="20"/>
      <w:szCs w:val="20"/>
    </w:rPr>
  </w:style>
  <w:style w:type="character" w:customStyle="1" w:styleId="CommentTextChar">
    <w:name w:val="Comment Text Char"/>
    <w:basedOn w:val="DefaultParagraphFont"/>
    <w:link w:val="CommentText"/>
    <w:uiPriority w:val="99"/>
    <w:rsid w:val="00321D9C"/>
    <w:rPr>
      <w:sz w:val="20"/>
      <w:szCs w:val="20"/>
    </w:rPr>
  </w:style>
  <w:style w:type="paragraph" w:styleId="CommentSubject">
    <w:name w:val="annotation subject"/>
    <w:basedOn w:val="CommentText"/>
    <w:next w:val="CommentText"/>
    <w:link w:val="CommentSubjectChar"/>
    <w:uiPriority w:val="99"/>
    <w:semiHidden/>
    <w:unhideWhenUsed/>
    <w:rsid w:val="00321D9C"/>
    <w:rPr>
      <w:b/>
      <w:bCs/>
    </w:rPr>
  </w:style>
  <w:style w:type="character" w:customStyle="1" w:styleId="CommentSubjectChar">
    <w:name w:val="Comment Subject Char"/>
    <w:basedOn w:val="CommentTextChar"/>
    <w:link w:val="CommentSubject"/>
    <w:uiPriority w:val="99"/>
    <w:semiHidden/>
    <w:rsid w:val="00321D9C"/>
    <w:rPr>
      <w:b/>
      <w:bCs/>
      <w:sz w:val="20"/>
      <w:szCs w:val="20"/>
    </w:rPr>
  </w:style>
  <w:style w:type="character" w:styleId="Hyperlink">
    <w:name w:val="Hyperlink"/>
    <w:basedOn w:val="DefaultParagraphFont"/>
    <w:uiPriority w:val="99"/>
    <w:unhideWhenUsed/>
    <w:rsid w:val="002B5185"/>
    <w:rPr>
      <w:color w:val="0000FF" w:themeColor="hyperlink"/>
      <w:u w:val="single"/>
    </w:rPr>
  </w:style>
  <w:style w:type="paragraph" w:styleId="Header">
    <w:name w:val="header"/>
    <w:basedOn w:val="Normal"/>
    <w:link w:val="HeaderChar"/>
    <w:uiPriority w:val="99"/>
    <w:unhideWhenUsed/>
    <w:rsid w:val="00AB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1AE"/>
  </w:style>
  <w:style w:type="paragraph" w:styleId="Footer">
    <w:name w:val="footer"/>
    <w:basedOn w:val="Normal"/>
    <w:link w:val="FooterChar"/>
    <w:uiPriority w:val="99"/>
    <w:unhideWhenUsed/>
    <w:rsid w:val="00AB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1AE"/>
  </w:style>
  <w:style w:type="character" w:styleId="FollowedHyperlink">
    <w:name w:val="FollowedHyperlink"/>
    <w:basedOn w:val="DefaultParagraphFont"/>
    <w:uiPriority w:val="99"/>
    <w:semiHidden/>
    <w:unhideWhenUsed/>
    <w:rsid w:val="00567E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46"/>
    <w:pPr>
      <w:ind w:left="720"/>
      <w:contextualSpacing/>
    </w:pPr>
  </w:style>
  <w:style w:type="table" w:styleId="TableGrid">
    <w:name w:val="Table Grid"/>
    <w:basedOn w:val="TableNormal"/>
    <w:uiPriority w:val="59"/>
    <w:rsid w:val="00EA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9F"/>
    <w:rPr>
      <w:rFonts w:ascii="Tahoma" w:hAnsi="Tahoma" w:cs="Tahoma"/>
      <w:sz w:val="16"/>
      <w:szCs w:val="16"/>
    </w:rPr>
  </w:style>
  <w:style w:type="character" w:styleId="CommentReference">
    <w:name w:val="annotation reference"/>
    <w:basedOn w:val="DefaultParagraphFont"/>
    <w:uiPriority w:val="99"/>
    <w:semiHidden/>
    <w:unhideWhenUsed/>
    <w:rsid w:val="00321D9C"/>
    <w:rPr>
      <w:sz w:val="16"/>
      <w:szCs w:val="16"/>
    </w:rPr>
  </w:style>
  <w:style w:type="paragraph" w:styleId="CommentText">
    <w:name w:val="annotation text"/>
    <w:basedOn w:val="Normal"/>
    <w:link w:val="CommentTextChar"/>
    <w:uiPriority w:val="99"/>
    <w:unhideWhenUsed/>
    <w:rsid w:val="00321D9C"/>
    <w:pPr>
      <w:spacing w:line="240" w:lineRule="auto"/>
    </w:pPr>
    <w:rPr>
      <w:sz w:val="20"/>
      <w:szCs w:val="20"/>
    </w:rPr>
  </w:style>
  <w:style w:type="character" w:customStyle="1" w:styleId="CommentTextChar">
    <w:name w:val="Comment Text Char"/>
    <w:basedOn w:val="DefaultParagraphFont"/>
    <w:link w:val="CommentText"/>
    <w:uiPriority w:val="99"/>
    <w:rsid w:val="00321D9C"/>
    <w:rPr>
      <w:sz w:val="20"/>
      <w:szCs w:val="20"/>
    </w:rPr>
  </w:style>
  <w:style w:type="paragraph" w:styleId="CommentSubject">
    <w:name w:val="annotation subject"/>
    <w:basedOn w:val="CommentText"/>
    <w:next w:val="CommentText"/>
    <w:link w:val="CommentSubjectChar"/>
    <w:uiPriority w:val="99"/>
    <w:semiHidden/>
    <w:unhideWhenUsed/>
    <w:rsid w:val="00321D9C"/>
    <w:rPr>
      <w:b/>
      <w:bCs/>
    </w:rPr>
  </w:style>
  <w:style w:type="character" w:customStyle="1" w:styleId="CommentSubjectChar">
    <w:name w:val="Comment Subject Char"/>
    <w:basedOn w:val="CommentTextChar"/>
    <w:link w:val="CommentSubject"/>
    <w:uiPriority w:val="99"/>
    <w:semiHidden/>
    <w:rsid w:val="00321D9C"/>
    <w:rPr>
      <w:b/>
      <w:bCs/>
      <w:sz w:val="20"/>
      <w:szCs w:val="20"/>
    </w:rPr>
  </w:style>
  <w:style w:type="character" w:styleId="Hyperlink">
    <w:name w:val="Hyperlink"/>
    <w:basedOn w:val="DefaultParagraphFont"/>
    <w:uiPriority w:val="99"/>
    <w:unhideWhenUsed/>
    <w:rsid w:val="002B5185"/>
    <w:rPr>
      <w:color w:val="0000FF" w:themeColor="hyperlink"/>
      <w:u w:val="single"/>
    </w:rPr>
  </w:style>
  <w:style w:type="paragraph" w:styleId="Header">
    <w:name w:val="header"/>
    <w:basedOn w:val="Normal"/>
    <w:link w:val="HeaderChar"/>
    <w:uiPriority w:val="99"/>
    <w:unhideWhenUsed/>
    <w:rsid w:val="00AB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1AE"/>
  </w:style>
  <w:style w:type="paragraph" w:styleId="Footer">
    <w:name w:val="footer"/>
    <w:basedOn w:val="Normal"/>
    <w:link w:val="FooterChar"/>
    <w:uiPriority w:val="99"/>
    <w:unhideWhenUsed/>
    <w:rsid w:val="00AB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1AE"/>
  </w:style>
  <w:style w:type="character" w:styleId="FollowedHyperlink">
    <w:name w:val="FollowedHyperlink"/>
    <w:basedOn w:val="DefaultParagraphFont"/>
    <w:uiPriority w:val="99"/>
    <w:semiHidden/>
    <w:unhideWhenUsed/>
    <w:rsid w:val="00567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9719">
      <w:bodyDiv w:val="1"/>
      <w:marLeft w:val="0"/>
      <w:marRight w:val="0"/>
      <w:marTop w:val="0"/>
      <w:marBottom w:val="0"/>
      <w:divBdr>
        <w:top w:val="none" w:sz="0" w:space="0" w:color="auto"/>
        <w:left w:val="none" w:sz="0" w:space="0" w:color="auto"/>
        <w:bottom w:val="none" w:sz="0" w:space="0" w:color="auto"/>
        <w:right w:val="none" w:sz="0" w:space="0" w:color="auto"/>
      </w:divBdr>
      <w:divsChild>
        <w:div w:id="930358551">
          <w:marLeft w:val="0"/>
          <w:marRight w:val="0"/>
          <w:marTop w:val="0"/>
          <w:marBottom w:val="0"/>
          <w:divBdr>
            <w:top w:val="none" w:sz="0" w:space="0" w:color="auto"/>
            <w:left w:val="none" w:sz="0" w:space="0" w:color="auto"/>
            <w:bottom w:val="none" w:sz="0" w:space="0" w:color="auto"/>
            <w:right w:val="none" w:sz="0" w:space="0" w:color="auto"/>
          </w:divBdr>
        </w:div>
        <w:div w:id="93064040">
          <w:marLeft w:val="0"/>
          <w:marRight w:val="0"/>
          <w:marTop w:val="0"/>
          <w:marBottom w:val="0"/>
          <w:divBdr>
            <w:top w:val="none" w:sz="0" w:space="0" w:color="auto"/>
            <w:left w:val="none" w:sz="0" w:space="0" w:color="auto"/>
            <w:bottom w:val="none" w:sz="0" w:space="0" w:color="auto"/>
            <w:right w:val="none" w:sz="0" w:space="0" w:color="auto"/>
          </w:divBdr>
        </w:div>
      </w:divsChild>
    </w:div>
    <w:div w:id="840043332">
      <w:bodyDiv w:val="1"/>
      <w:marLeft w:val="0"/>
      <w:marRight w:val="0"/>
      <w:marTop w:val="0"/>
      <w:marBottom w:val="0"/>
      <w:divBdr>
        <w:top w:val="none" w:sz="0" w:space="0" w:color="auto"/>
        <w:left w:val="none" w:sz="0" w:space="0" w:color="auto"/>
        <w:bottom w:val="none" w:sz="0" w:space="0" w:color="auto"/>
        <w:right w:val="none" w:sz="0" w:space="0" w:color="auto"/>
      </w:divBdr>
      <w:divsChild>
        <w:div w:id="250623355">
          <w:marLeft w:val="0"/>
          <w:marRight w:val="0"/>
          <w:marTop w:val="0"/>
          <w:marBottom w:val="0"/>
          <w:divBdr>
            <w:top w:val="none" w:sz="0" w:space="0" w:color="auto"/>
            <w:left w:val="none" w:sz="0" w:space="0" w:color="auto"/>
            <w:bottom w:val="none" w:sz="0" w:space="0" w:color="auto"/>
            <w:right w:val="none" w:sz="0" w:space="0" w:color="auto"/>
          </w:divBdr>
        </w:div>
        <w:div w:id="140872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loyd-evans@ucl.ac.uk" TargetMode="External"/><Relationship Id="rId13" Type="http://schemas.openxmlformats.org/officeDocument/2006/relationships/hyperlink" Target="http://www.jcpmh.info/wp-content/uploads/jcpmh-acutecare-guid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cic.gov.uk/searchcatalogue?productid=19118&amp;q=title%3a%22Inpatients+formally+detained+in+hospitals+under+the+Mental+Health+Act%22+&amp;sort=Most+recent&amp;size=10&amp;page=1" TargetMode="External"/><Relationship Id="rId17" Type="http://schemas.openxmlformats.org/officeDocument/2006/relationships/hyperlink" Target="http://www.who.int/healthsystems/topics/delivery/technical_brief_scale-up_june12.pdf"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nhs.uk/documents/2016/06/defining-research.pdf" TargetMode="External"/><Relationship Id="rId5" Type="http://schemas.openxmlformats.org/officeDocument/2006/relationships/webSettings" Target="webSettings.xml"/><Relationship Id="rId15" Type="http://schemas.openxmlformats.org/officeDocument/2006/relationships/hyperlink" Target="http://media.wix.com/ugd/0e662e_aaca63ae4737410e9e2873dfde849841.pdf" TargetMode="External"/><Relationship Id="rId10" Type="http://schemas.openxmlformats.org/officeDocument/2006/relationships/hyperlink" Target="https://www.gov.uk/government/uploads/system/uploads/attachment_data/file/361648/mental-health-acces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qc.org.uk/sites/default/files/20150630_righthere_mhcrisiscare_full.pdf" TargetMode="External"/><Relationship Id="rId14" Type="http://schemas.openxmlformats.org/officeDocument/2006/relationships/hyperlink" Target="http://www.communitycare.co.uk/2016/10/06/mental-health-crisis-teams-given-many-high-risk-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19220FF5.dotm</Template>
  <TotalTime>0</TotalTime>
  <Pages>34</Pages>
  <Words>8668</Words>
  <Characters>49410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Lloyd-Evans</dc:creator>
  <cp:lastModifiedBy>Marina Christoforou</cp:lastModifiedBy>
  <cp:revision>2</cp:revision>
  <cp:lastPrinted>2016-10-11T16:01:00Z</cp:lastPrinted>
  <dcterms:created xsi:type="dcterms:W3CDTF">2017-08-29T11:13:00Z</dcterms:created>
  <dcterms:modified xsi:type="dcterms:W3CDTF">2017-08-29T11:13:00Z</dcterms:modified>
</cp:coreProperties>
</file>