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BDF99" w14:textId="77777777" w:rsidR="00560EB5" w:rsidRPr="002410E0" w:rsidRDefault="00560EB5" w:rsidP="00A064A0">
      <w:pPr>
        <w:rPr>
          <w:rFonts w:ascii="Arial" w:hAnsi="Arial" w:cs="Arial"/>
          <w:sz w:val="18"/>
          <w:szCs w:val="18"/>
        </w:rPr>
      </w:pPr>
      <w:r w:rsidRPr="002410E0">
        <w:rPr>
          <w:rFonts w:ascii="Arial" w:hAnsi="Arial" w:cs="Arial"/>
          <w:sz w:val="18"/>
          <w:szCs w:val="18"/>
        </w:rPr>
        <w:t>REVISED ACTION PLAN (NOVEMBER 2020)</w:t>
      </w:r>
    </w:p>
    <w:p w14:paraId="67206E90" w14:textId="77777777" w:rsidR="00560EB5" w:rsidRPr="002410E0" w:rsidRDefault="00560EB5" w:rsidP="00A064A0">
      <w:pPr>
        <w:rPr>
          <w:rFonts w:ascii="Arial" w:hAnsi="Arial" w:cs="Arial"/>
          <w:sz w:val="18"/>
          <w:szCs w:val="18"/>
        </w:rPr>
      </w:pPr>
      <w:r w:rsidRPr="002410E0">
        <w:rPr>
          <w:rFonts w:ascii="Arial" w:hAnsi="Arial" w:cs="Arial"/>
          <w:sz w:val="18"/>
          <w:szCs w:val="18"/>
        </w:rPr>
        <w:t>The department leadership changed in 2019 and the action has been revised qualitatively and to update the deadlines.</w:t>
      </w:r>
    </w:p>
    <w:p w14:paraId="672A6659" w14:textId="77777777" w:rsidR="00560EB5" w:rsidRPr="002410E0" w:rsidRDefault="00560EB5" w:rsidP="00A064A0">
      <w:pPr>
        <w:rPr>
          <w:rFonts w:ascii="Arial" w:hAnsi="Arial" w:cs="Arial"/>
          <w:sz w:val="18"/>
          <w:szCs w:val="18"/>
        </w:rPr>
      </w:pPr>
    </w:p>
    <w:tbl>
      <w:tblPr>
        <w:tblStyle w:val="TableGrid25"/>
        <w:tblW w:w="14406" w:type="dxa"/>
        <w:tblLook w:val="04A0" w:firstRow="1" w:lastRow="0" w:firstColumn="1" w:lastColumn="0" w:noHBand="0" w:noVBand="1"/>
      </w:tblPr>
      <w:tblGrid>
        <w:gridCol w:w="1556"/>
        <w:gridCol w:w="1731"/>
        <w:gridCol w:w="2914"/>
        <w:gridCol w:w="2797"/>
        <w:gridCol w:w="1912"/>
        <w:gridCol w:w="3496"/>
      </w:tblGrid>
      <w:tr w:rsidR="002410E0" w:rsidRPr="002410E0" w14:paraId="62D330FB" w14:textId="77777777" w:rsidTr="00C343E4">
        <w:trPr>
          <w:tblHeader/>
        </w:trPr>
        <w:tc>
          <w:tcPr>
            <w:tcW w:w="1556" w:type="dxa"/>
            <w:vAlign w:val="center"/>
          </w:tcPr>
          <w:p w14:paraId="6F3B69C3" w14:textId="77777777" w:rsidR="00560EB5" w:rsidRPr="002410E0" w:rsidRDefault="00560EB5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Reference</w:t>
            </w:r>
          </w:p>
        </w:tc>
        <w:tc>
          <w:tcPr>
            <w:tcW w:w="1731" w:type="dxa"/>
            <w:vAlign w:val="center"/>
          </w:tcPr>
          <w:p w14:paraId="285690C6" w14:textId="77777777" w:rsidR="00560EB5" w:rsidRPr="002410E0" w:rsidRDefault="00560EB5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Planned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action /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objective</w:t>
            </w:r>
          </w:p>
        </w:tc>
        <w:tc>
          <w:tcPr>
            <w:tcW w:w="2914" w:type="dxa"/>
            <w:vAlign w:val="center"/>
          </w:tcPr>
          <w:p w14:paraId="726ABD8E" w14:textId="77777777" w:rsidR="00560EB5" w:rsidRPr="002410E0" w:rsidRDefault="00560EB5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Rationale</w:t>
            </w:r>
          </w:p>
        </w:tc>
        <w:tc>
          <w:tcPr>
            <w:tcW w:w="2797" w:type="dxa"/>
            <w:vAlign w:val="center"/>
          </w:tcPr>
          <w:p w14:paraId="01BCAB98" w14:textId="77777777" w:rsidR="00560EB5" w:rsidRPr="002410E0" w:rsidRDefault="00560EB5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val="x-none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Key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outputs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and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milestones</w:t>
            </w:r>
          </w:p>
        </w:tc>
        <w:tc>
          <w:tcPr>
            <w:tcW w:w="1912" w:type="dxa"/>
            <w:vAlign w:val="center"/>
          </w:tcPr>
          <w:p w14:paraId="69EE83D8" w14:textId="77777777" w:rsidR="00560EB5" w:rsidRPr="002410E0" w:rsidRDefault="00936572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</w:rPr>
              <w:t>Ongoing/Completed</w:t>
            </w:r>
          </w:p>
        </w:tc>
        <w:tc>
          <w:tcPr>
            <w:tcW w:w="3496" w:type="dxa"/>
            <w:vAlign w:val="center"/>
          </w:tcPr>
          <w:p w14:paraId="00D1DC95" w14:textId="77777777" w:rsidR="00560EB5" w:rsidRPr="002410E0" w:rsidRDefault="00560EB5" w:rsidP="00C343E4">
            <w:pPr>
              <w:autoSpaceDE w:val="0"/>
              <w:autoSpaceDN w:val="0"/>
              <w:adjustRightInd w:val="0"/>
              <w:snapToGrid w:val="0"/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Success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criteria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and</w:t>
            </w:r>
            <w:r w:rsidRPr="002410E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Times New Roman" w:hAnsi="Arial" w:cs="Arial"/>
                <w:sz w:val="18"/>
                <w:szCs w:val="18"/>
                <w:lang w:val="x-none"/>
              </w:rPr>
              <w:t>outcome</w:t>
            </w:r>
          </w:p>
        </w:tc>
      </w:tr>
      <w:tr w:rsidR="002410E0" w:rsidRPr="002410E0" w14:paraId="1BB3258D" w14:textId="77777777" w:rsidTr="00C343E4">
        <w:trPr>
          <w:trHeight w:val="242"/>
        </w:trPr>
        <w:tc>
          <w:tcPr>
            <w:tcW w:w="1556" w:type="dxa"/>
            <w:vMerge w:val="restart"/>
            <w:vAlign w:val="center"/>
          </w:tcPr>
          <w:p w14:paraId="2F7BA2E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3.1</w:t>
            </w:r>
          </w:p>
        </w:tc>
        <w:tc>
          <w:tcPr>
            <w:tcW w:w="1731" w:type="dxa"/>
            <w:vMerge w:val="restart"/>
            <w:vAlign w:val="center"/>
          </w:tcPr>
          <w:p w14:paraId="7B7AF0A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Implement Athena SWAN Surveys</w:t>
            </w:r>
          </w:p>
        </w:tc>
        <w:tc>
          <w:tcPr>
            <w:tcW w:w="2914" w:type="dxa"/>
            <w:vMerge w:val="restart"/>
            <w:vAlign w:val="center"/>
          </w:tcPr>
          <w:p w14:paraId="027F966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 UCL Staff Survey is typically run every 2 years and does not contain sufficient detail on issues that are important to CEGE staff.</w:t>
            </w:r>
          </w:p>
        </w:tc>
        <w:tc>
          <w:tcPr>
            <w:tcW w:w="2797" w:type="dxa"/>
            <w:vAlign w:val="center"/>
          </w:tcPr>
          <w:p w14:paraId="2853D77E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Design</w:t>
            </w:r>
            <w:r w:rsidR="00936572" w:rsidRPr="002410E0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run</w:t>
            </w:r>
            <w:r w:rsidR="00936572" w:rsidRPr="002410E0">
              <w:rPr>
                <w:rFonts w:ascii="Arial" w:eastAsia="Calibri" w:hAnsi="Arial" w:cs="Arial"/>
                <w:sz w:val="18"/>
                <w:szCs w:val="18"/>
              </w:rPr>
              <w:t>, and analyse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surveys (climate, EDI)</w:t>
            </w:r>
          </w:p>
        </w:tc>
        <w:tc>
          <w:tcPr>
            <w:tcW w:w="1912" w:type="dxa"/>
            <w:vAlign w:val="center"/>
          </w:tcPr>
          <w:p w14:paraId="3874B790" w14:textId="125D7FFD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 (Climate)</w:t>
            </w:r>
          </w:p>
          <w:p w14:paraId="2803C380" w14:textId="77777777" w:rsidR="00C343E4" w:rsidRPr="002410E0" w:rsidRDefault="00C343E4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90F2F9" w14:textId="77777777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 (EDI)</w:t>
            </w:r>
          </w:p>
        </w:tc>
        <w:tc>
          <w:tcPr>
            <w:tcW w:w="3496" w:type="dxa"/>
            <w:vMerge w:val="restart"/>
            <w:vAlign w:val="center"/>
          </w:tcPr>
          <w:p w14:paraId="45B41AA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Improved identification and awareness of issues</w:t>
            </w:r>
          </w:p>
          <w:p w14:paraId="0A37501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3381D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85% response rate at all staff grades</w:t>
            </w:r>
          </w:p>
        </w:tc>
      </w:tr>
      <w:tr w:rsidR="002410E0" w:rsidRPr="002410E0" w14:paraId="6BE316A5" w14:textId="77777777" w:rsidTr="00C343E4">
        <w:trPr>
          <w:trHeight w:val="634"/>
        </w:trPr>
        <w:tc>
          <w:tcPr>
            <w:tcW w:w="1556" w:type="dxa"/>
            <w:vMerge/>
            <w:vAlign w:val="center"/>
          </w:tcPr>
          <w:p w14:paraId="5DAB6C7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02EB378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A05A80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6238BC00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Bring data to general staff meeting</w:t>
            </w:r>
          </w:p>
        </w:tc>
        <w:tc>
          <w:tcPr>
            <w:tcW w:w="1912" w:type="dxa"/>
            <w:vAlign w:val="center"/>
          </w:tcPr>
          <w:p w14:paraId="576E7ACC" w14:textId="77777777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A39BBE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980CE09" w14:textId="77777777" w:rsidTr="00C343E4">
        <w:trPr>
          <w:trHeight w:val="579"/>
        </w:trPr>
        <w:tc>
          <w:tcPr>
            <w:tcW w:w="1556" w:type="dxa"/>
            <w:vMerge w:val="restart"/>
            <w:vAlign w:val="center"/>
          </w:tcPr>
          <w:p w14:paraId="3D77ADB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3.2</w:t>
            </w:r>
          </w:p>
        </w:tc>
        <w:tc>
          <w:tcPr>
            <w:tcW w:w="1731" w:type="dxa"/>
            <w:vMerge w:val="restart"/>
            <w:vAlign w:val="center"/>
          </w:tcPr>
          <w:p w14:paraId="2E8B279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Expand our activities to monitor other protected characteristics such as ethnicity, age, disability and sexuality.</w:t>
            </w:r>
          </w:p>
        </w:tc>
        <w:tc>
          <w:tcPr>
            <w:tcW w:w="2914" w:type="dxa"/>
            <w:vMerge w:val="restart"/>
            <w:vAlign w:val="center"/>
          </w:tcPr>
          <w:p w14:paraId="01E5323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We collect data on gender but not on other protected characteristics.  Colleagues have stated support for the DEC to explore issues beyond gender.</w:t>
            </w:r>
            <w:r w:rsidRPr="002410E0" w:rsidDel="00890304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We would like to support the implementation of UCL equality objectives, such as supporting the UCL Race Equality Charter Mark action plan.</w:t>
            </w:r>
          </w:p>
        </w:tc>
        <w:tc>
          <w:tcPr>
            <w:tcW w:w="2797" w:type="dxa"/>
            <w:vAlign w:val="center"/>
          </w:tcPr>
          <w:p w14:paraId="5E8504D1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Amendment of action plan to include other protected characteristics including incorporation of the Race Equality Charter</w:t>
            </w:r>
          </w:p>
        </w:tc>
        <w:tc>
          <w:tcPr>
            <w:tcW w:w="1912" w:type="dxa"/>
            <w:vAlign w:val="center"/>
          </w:tcPr>
          <w:p w14:paraId="63552CB4" w14:textId="77777777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092E25A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Other protected characteristics are included in next Athena SWAN application.</w:t>
            </w:r>
          </w:p>
          <w:p w14:paraId="5B2AACF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br/>
              <w:t>Relevant questions are included in the CEGE Athena SWAN survey</w:t>
            </w:r>
          </w:p>
        </w:tc>
      </w:tr>
      <w:tr w:rsidR="002410E0" w:rsidRPr="002410E0" w14:paraId="18A465E0" w14:textId="77777777" w:rsidTr="00C343E4">
        <w:trPr>
          <w:trHeight w:val="539"/>
        </w:trPr>
        <w:tc>
          <w:tcPr>
            <w:tcW w:w="1556" w:type="dxa"/>
            <w:vMerge/>
            <w:vAlign w:val="center"/>
          </w:tcPr>
          <w:p w14:paraId="41C8F39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72A3D3E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0D0B940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6C387251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Discussion of plans in staff meetings</w:t>
            </w:r>
          </w:p>
        </w:tc>
        <w:tc>
          <w:tcPr>
            <w:tcW w:w="1912" w:type="dxa"/>
            <w:vAlign w:val="center"/>
          </w:tcPr>
          <w:p w14:paraId="233340DF" w14:textId="77777777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0E27B00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DDB63B7" w14:textId="77777777" w:rsidTr="00C343E4">
        <w:trPr>
          <w:trHeight w:val="976"/>
        </w:trPr>
        <w:tc>
          <w:tcPr>
            <w:tcW w:w="1556" w:type="dxa"/>
            <w:vMerge w:val="restart"/>
            <w:vAlign w:val="center"/>
          </w:tcPr>
          <w:p w14:paraId="41ADC8E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4.1</w:t>
            </w:r>
          </w:p>
        </w:tc>
        <w:tc>
          <w:tcPr>
            <w:tcW w:w="1731" w:type="dxa"/>
            <w:vMerge w:val="restart"/>
            <w:vAlign w:val="center"/>
          </w:tcPr>
          <w:p w14:paraId="5D4EE67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Maintain the number of female UG students above national average</w:t>
            </w:r>
          </w:p>
        </w:tc>
        <w:tc>
          <w:tcPr>
            <w:tcW w:w="2914" w:type="dxa"/>
            <w:vMerge w:val="restart"/>
            <w:vAlign w:val="center"/>
          </w:tcPr>
          <w:p w14:paraId="6682E44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CEGE has on average 30% female undergraduate students which is well above the national average (Figure 2).</w:t>
            </w:r>
          </w:p>
          <w:p w14:paraId="60061E4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D951F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 proportion of offers made to female applicants are always at or above the proportion of female applications.</w:t>
            </w:r>
          </w:p>
        </w:tc>
        <w:tc>
          <w:tcPr>
            <w:tcW w:w="2797" w:type="dxa"/>
            <w:vAlign w:val="center"/>
          </w:tcPr>
          <w:p w14:paraId="543D10A1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Development of outreach/widening participation activities</w:t>
            </w:r>
          </w:p>
        </w:tc>
        <w:tc>
          <w:tcPr>
            <w:tcW w:w="1912" w:type="dxa"/>
            <w:vAlign w:val="center"/>
          </w:tcPr>
          <w:p w14:paraId="009771C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67E67EE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Percentage of female students to remain at or above 30%.</w:t>
            </w:r>
          </w:p>
          <w:p w14:paraId="44EAFD9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0E0AB6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Proportion of offers made to female applicants to remain at or above the proportion of female applications.</w:t>
            </w:r>
          </w:p>
          <w:p w14:paraId="4B94D5A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DEEC66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56B9A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FB081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49F31C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3C0CE985" w14:textId="77777777" w:rsidTr="00C343E4">
        <w:trPr>
          <w:trHeight w:val="139"/>
        </w:trPr>
        <w:tc>
          <w:tcPr>
            <w:tcW w:w="1556" w:type="dxa"/>
            <w:vMerge/>
            <w:vAlign w:val="center"/>
          </w:tcPr>
          <w:p w14:paraId="5312826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2486C0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4101652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044FDA7D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Publish the percentage of female students and staff on our website and student prospectus</w:t>
            </w:r>
          </w:p>
        </w:tc>
        <w:tc>
          <w:tcPr>
            <w:tcW w:w="1912" w:type="dxa"/>
            <w:vAlign w:val="center"/>
          </w:tcPr>
          <w:p w14:paraId="658A29D6" w14:textId="6F984FDE" w:rsidR="00560EB5" w:rsidRPr="002410E0" w:rsidRDefault="00DB46C9" w:rsidP="00C343E4">
            <w:pPr>
              <w:spacing w:before="0" w:line="240" w:lineRule="auto"/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4B99056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A14EA92" w14:textId="77777777" w:rsidTr="00C343E4">
        <w:trPr>
          <w:trHeight w:val="299"/>
        </w:trPr>
        <w:tc>
          <w:tcPr>
            <w:tcW w:w="1556" w:type="dxa"/>
            <w:vMerge w:val="restart"/>
            <w:vAlign w:val="center"/>
          </w:tcPr>
          <w:p w14:paraId="67D112E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4.2</w:t>
            </w:r>
          </w:p>
          <w:p w14:paraId="1299C43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 w:val="restart"/>
            <w:vAlign w:val="center"/>
          </w:tcPr>
          <w:p w14:paraId="490451C6" w14:textId="3C47476A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Understand why CEGE has a higher female proportion at PG level than UG level.</w:t>
            </w:r>
          </w:p>
        </w:tc>
        <w:tc>
          <w:tcPr>
            <w:tcW w:w="2914" w:type="dxa"/>
            <w:vMerge w:val="restart"/>
            <w:vAlign w:val="center"/>
          </w:tcPr>
          <w:p w14:paraId="7DEDD39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Around 30% at UG level and &gt;30% at PG level.</w:t>
            </w:r>
          </w:p>
          <w:p w14:paraId="4DDBEF0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BE8FDE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Proportion of PGT students has fallen in the past two years.</w:t>
            </w:r>
          </w:p>
        </w:tc>
        <w:tc>
          <w:tcPr>
            <w:tcW w:w="2797" w:type="dxa"/>
            <w:vAlign w:val="center"/>
          </w:tcPr>
          <w:p w14:paraId="13B9952C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Regular meetings with PG students and department leadership</w:t>
            </w:r>
          </w:p>
        </w:tc>
        <w:tc>
          <w:tcPr>
            <w:tcW w:w="1912" w:type="dxa"/>
            <w:vAlign w:val="center"/>
          </w:tcPr>
          <w:p w14:paraId="3EC20B51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 w:val="restart"/>
            <w:vAlign w:val="center"/>
          </w:tcPr>
          <w:p w14:paraId="4DA9841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PG female enrolments return to 2013/14 level by 2018/19</w:t>
            </w:r>
          </w:p>
        </w:tc>
      </w:tr>
      <w:tr w:rsidR="002410E0" w:rsidRPr="002410E0" w14:paraId="4EB8D949" w14:textId="77777777" w:rsidTr="00C343E4">
        <w:trPr>
          <w:trHeight w:val="505"/>
        </w:trPr>
        <w:tc>
          <w:tcPr>
            <w:tcW w:w="1556" w:type="dxa"/>
            <w:vMerge/>
            <w:vAlign w:val="center"/>
          </w:tcPr>
          <w:p w14:paraId="0562CB0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4CE0A4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2EBF3C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1D2C88F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Actions developed in response to feedback from students</w:t>
            </w:r>
          </w:p>
        </w:tc>
        <w:tc>
          <w:tcPr>
            <w:tcW w:w="1912" w:type="dxa"/>
            <w:vAlign w:val="center"/>
          </w:tcPr>
          <w:p w14:paraId="7B7152C6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6D98A12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1CA3BE0" w14:textId="77777777" w:rsidTr="00C343E4">
        <w:trPr>
          <w:trHeight w:val="669"/>
        </w:trPr>
        <w:tc>
          <w:tcPr>
            <w:tcW w:w="1556" w:type="dxa"/>
            <w:vMerge/>
            <w:vAlign w:val="center"/>
          </w:tcPr>
          <w:p w14:paraId="2946DB8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5997CC1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110FFD3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5B80C0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downward trend in female PGT students</w:t>
            </w:r>
          </w:p>
        </w:tc>
        <w:tc>
          <w:tcPr>
            <w:tcW w:w="1912" w:type="dxa"/>
            <w:vAlign w:val="center"/>
          </w:tcPr>
          <w:p w14:paraId="2536F598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6B69937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1E01F7A6" w14:textId="77777777" w:rsidTr="00C343E4">
        <w:trPr>
          <w:trHeight w:val="243"/>
        </w:trPr>
        <w:tc>
          <w:tcPr>
            <w:tcW w:w="1556" w:type="dxa"/>
            <w:vAlign w:val="center"/>
          </w:tcPr>
          <w:p w14:paraId="530F788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4.3</w:t>
            </w:r>
          </w:p>
        </w:tc>
        <w:tc>
          <w:tcPr>
            <w:tcW w:w="1731" w:type="dxa"/>
            <w:vAlign w:val="center"/>
          </w:tcPr>
          <w:p w14:paraId="0E9682A9" w14:textId="158B94C3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Investigate the research degree submission time</w:t>
            </w:r>
          </w:p>
        </w:tc>
        <w:tc>
          <w:tcPr>
            <w:tcW w:w="2914" w:type="dxa"/>
            <w:vAlign w:val="center"/>
          </w:tcPr>
          <w:p w14:paraId="4365AD5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Our data (Figure 13) shows that on average the thesis submission time is decreasing and that there is no difference from female and male</w:t>
            </w:r>
          </w:p>
        </w:tc>
        <w:tc>
          <w:tcPr>
            <w:tcW w:w="2797" w:type="dxa"/>
            <w:vAlign w:val="center"/>
          </w:tcPr>
          <w:p w14:paraId="1F7CC8F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Record thesis submission by gender and time</w:t>
            </w:r>
          </w:p>
        </w:tc>
        <w:tc>
          <w:tcPr>
            <w:tcW w:w="1912" w:type="dxa"/>
            <w:vAlign w:val="center"/>
          </w:tcPr>
          <w:p w14:paraId="3BEAE5E2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Align w:val="center"/>
          </w:tcPr>
          <w:p w14:paraId="5AB7284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Submission time around 3.5-4.0 years for both male and female</w:t>
            </w:r>
            <w:r w:rsidR="0018081C" w:rsidRPr="002410E0">
              <w:rPr>
                <w:rFonts w:ascii="Arial" w:eastAsia="Calibri" w:hAnsi="Arial" w:cs="Arial"/>
                <w:sz w:val="18"/>
                <w:szCs w:val="18"/>
              </w:rPr>
              <w:t>. Gender gap is among the smallest in the College.</w:t>
            </w:r>
          </w:p>
        </w:tc>
      </w:tr>
      <w:tr w:rsidR="002410E0" w:rsidRPr="002410E0" w14:paraId="030C4CBF" w14:textId="77777777" w:rsidTr="00C343E4">
        <w:trPr>
          <w:trHeight w:val="1648"/>
        </w:trPr>
        <w:tc>
          <w:tcPr>
            <w:tcW w:w="1556" w:type="dxa"/>
            <w:vAlign w:val="center"/>
          </w:tcPr>
          <w:p w14:paraId="3A6AA1B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</w:t>
            </w:r>
          </w:p>
        </w:tc>
        <w:tc>
          <w:tcPr>
            <w:tcW w:w="1731" w:type="dxa"/>
            <w:vAlign w:val="center"/>
          </w:tcPr>
          <w:p w14:paraId="7A349E2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the composition of interview panels, and ensure the proportion of female/male interviewers is at least 25%.</w:t>
            </w:r>
          </w:p>
        </w:tc>
        <w:tc>
          <w:tcPr>
            <w:tcW w:w="2914" w:type="dxa"/>
            <w:vAlign w:val="center"/>
          </w:tcPr>
          <w:p w14:paraId="0E7AF25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Interview panels comprise at least 25% female staff at CEGE, but this is not formally recorded</w:t>
            </w:r>
          </w:p>
        </w:tc>
        <w:tc>
          <w:tcPr>
            <w:tcW w:w="2797" w:type="dxa"/>
            <w:vAlign w:val="center"/>
          </w:tcPr>
          <w:p w14:paraId="37BA433C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Record panel composition</w:t>
            </w:r>
          </w:p>
        </w:tc>
        <w:tc>
          <w:tcPr>
            <w:tcW w:w="1912" w:type="dxa"/>
            <w:vAlign w:val="center"/>
          </w:tcPr>
          <w:p w14:paraId="26DA4538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Align w:val="center"/>
          </w:tcPr>
          <w:p w14:paraId="188B1C0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100% of panels recorded as having representation from men and women</w:t>
            </w:r>
          </w:p>
          <w:p w14:paraId="3FE9F23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EA99C0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At least 50% of eligible department staff have attended fair recruitment training by 2018. 90% by 2019.</w:t>
            </w:r>
          </w:p>
          <w:p w14:paraId="1F72F64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CE6F9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1CDCEA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B9E25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DE523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522C460A" w14:textId="77777777" w:rsidTr="00C343E4">
        <w:trPr>
          <w:trHeight w:val="505"/>
        </w:trPr>
        <w:tc>
          <w:tcPr>
            <w:tcW w:w="1556" w:type="dxa"/>
            <w:vMerge w:val="restart"/>
            <w:vAlign w:val="center"/>
          </w:tcPr>
          <w:p w14:paraId="48DA2E2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5.2</w:t>
            </w:r>
          </w:p>
        </w:tc>
        <w:tc>
          <w:tcPr>
            <w:tcW w:w="1731" w:type="dxa"/>
            <w:vMerge w:val="restart"/>
            <w:vAlign w:val="center"/>
          </w:tcPr>
          <w:p w14:paraId="05D1451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Form mentoring scheme as part of engagement committee.</w:t>
            </w:r>
          </w:p>
          <w:p w14:paraId="7CF0FCE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and evaluate the academic mentoring scheme.</w:t>
            </w:r>
          </w:p>
        </w:tc>
        <w:tc>
          <w:tcPr>
            <w:tcW w:w="2914" w:type="dxa"/>
            <w:vMerge w:val="restart"/>
            <w:vAlign w:val="center"/>
          </w:tcPr>
          <w:p w14:paraId="6592DF6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 uptake of the scheme is not 100%</w:t>
            </w:r>
          </w:p>
          <w:p w14:paraId="4E962C7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 scheme is not formalised and its efficacy is uncertain.</w:t>
            </w:r>
          </w:p>
        </w:tc>
        <w:tc>
          <w:tcPr>
            <w:tcW w:w="2797" w:type="dxa"/>
            <w:vAlign w:val="center"/>
          </w:tcPr>
          <w:p w14:paraId="50393836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Survey to be run with probationary staff to assess uptake and usefulness of mentoring scheme.</w:t>
            </w:r>
          </w:p>
        </w:tc>
        <w:tc>
          <w:tcPr>
            <w:tcW w:w="1912" w:type="dxa"/>
            <w:vAlign w:val="center"/>
          </w:tcPr>
          <w:p w14:paraId="14B8C9BF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2B8A502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Mentoring to be made available to 100% of new starters in CEGE.</w:t>
            </w:r>
          </w:p>
          <w:p w14:paraId="52E5622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80269BB" w14:textId="62CBDFBA" w:rsidR="00560EB5" w:rsidRPr="002410E0" w:rsidRDefault="00560EB5" w:rsidP="003D2100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 section will be added to the departmental Athena SWAN survey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07547A0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D4CA95" w14:textId="3E25A121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All probationary staff recorded in 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>database.</w:t>
            </w:r>
          </w:p>
          <w:p w14:paraId="5043CB0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8313170" w14:textId="77777777" w:rsidTr="00C343E4">
        <w:trPr>
          <w:trHeight w:val="1010"/>
        </w:trPr>
        <w:tc>
          <w:tcPr>
            <w:tcW w:w="1556" w:type="dxa"/>
            <w:vMerge/>
            <w:vAlign w:val="center"/>
          </w:tcPr>
          <w:p w14:paraId="0745931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537F28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DFB9E2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C26F647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Survey good practice from around the department to collate advice on successful mentoring relationships. Encourage senior management to become mentors.</w:t>
            </w:r>
          </w:p>
        </w:tc>
        <w:tc>
          <w:tcPr>
            <w:tcW w:w="1912" w:type="dxa"/>
            <w:vAlign w:val="center"/>
          </w:tcPr>
          <w:p w14:paraId="469130B6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70DF9E56" w14:textId="77777777" w:rsidR="00560EB5" w:rsidRPr="002410E0" w:rsidDel="00C13E38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01DDF00" w14:textId="77777777" w:rsidTr="00C343E4">
        <w:trPr>
          <w:trHeight w:val="486"/>
        </w:trPr>
        <w:tc>
          <w:tcPr>
            <w:tcW w:w="1556" w:type="dxa"/>
            <w:vMerge/>
            <w:vAlign w:val="center"/>
          </w:tcPr>
          <w:p w14:paraId="44E871B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144A5D2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738610E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62D22C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Appoint an academic member of staff to coordinate the mentoring scheme</w:t>
            </w:r>
          </w:p>
        </w:tc>
        <w:tc>
          <w:tcPr>
            <w:tcW w:w="1912" w:type="dxa"/>
            <w:vAlign w:val="center"/>
          </w:tcPr>
          <w:p w14:paraId="5BEC4F1F" w14:textId="0DAA1721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637805D2" w14:textId="77777777" w:rsidR="00560EB5" w:rsidRPr="002410E0" w:rsidDel="00C13E38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BE81635" w14:textId="77777777" w:rsidTr="00C343E4">
        <w:trPr>
          <w:trHeight w:val="1066"/>
        </w:trPr>
        <w:tc>
          <w:tcPr>
            <w:tcW w:w="1556" w:type="dxa"/>
            <w:vMerge/>
            <w:vAlign w:val="center"/>
          </w:tcPr>
          <w:p w14:paraId="463F29E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B7B4B8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3A0FF5F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E57D8B1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Set up mentoring database</w:t>
            </w:r>
          </w:p>
        </w:tc>
        <w:tc>
          <w:tcPr>
            <w:tcW w:w="1912" w:type="dxa"/>
            <w:vAlign w:val="center"/>
          </w:tcPr>
          <w:p w14:paraId="01377205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630AD66" w14:textId="77777777" w:rsidR="00560EB5" w:rsidRPr="002410E0" w:rsidDel="00C13E38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B5F6710" w14:textId="77777777" w:rsidTr="00C343E4">
        <w:trPr>
          <w:trHeight w:val="1897"/>
        </w:trPr>
        <w:tc>
          <w:tcPr>
            <w:tcW w:w="1556" w:type="dxa"/>
            <w:vMerge w:val="restart"/>
            <w:vAlign w:val="center"/>
          </w:tcPr>
          <w:p w14:paraId="0B0AC77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5.3</w:t>
            </w:r>
          </w:p>
        </w:tc>
        <w:tc>
          <w:tcPr>
            <w:tcW w:w="1731" w:type="dxa"/>
            <w:vMerge w:val="restart"/>
            <w:vAlign w:val="center"/>
          </w:tcPr>
          <w:p w14:paraId="6182907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6595CD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Understand why female staff </w:t>
            </w:r>
            <w:r w:rsidR="00281F47" w:rsidRPr="002410E0">
              <w:rPr>
                <w:rFonts w:ascii="Arial" w:eastAsia="Calibri" w:hAnsi="Arial" w:cs="Arial"/>
                <w:sz w:val="18"/>
                <w:szCs w:val="18"/>
              </w:rPr>
              <w:t xml:space="preserve">may be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more optimistic about their career development than male staff.</w:t>
            </w:r>
          </w:p>
          <w:p w14:paraId="2BA226A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F8B01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 optimism about career development among male staff.</w:t>
            </w:r>
          </w:p>
          <w:p w14:paraId="17AD93B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DE4B5B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 w:val="restart"/>
            <w:vAlign w:val="center"/>
          </w:tcPr>
          <w:p w14:paraId="65E8A7A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According to the 2015 staff survey, 75% of female staff believe that they have the opportunity for personal/career development at UCL, compared with 37% of male staff.</w:t>
            </w:r>
          </w:p>
        </w:tc>
        <w:tc>
          <w:tcPr>
            <w:tcW w:w="2797" w:type="dxa"/>
            <w:vAlign w:val="center"/>
          </w:tcPr>
          <w:p w14:paraId="194F6B2C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Focus group with male and female staff at all levels to focus on career development and identify key issues and who is affected (i.e. which roles).</w:t>
            </w:r>
          </w:p>
        </w:tc>
        <w:tc>
          <w:tcPr>
            <w:tcW w:w="1912" w:type="dxa"/>
            <w:vAlign w:val="center"/>
          </w:tcPr>
          <w:p w14:paraId="6CD388AA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66204FF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BF0D7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BE26251" w14:textId="44A33C3D" w:rsidR="0018081C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Two workshops on career development and promotions conducted (2019/2020)</w:t>
            </w:r>
          </w:p>
          <w:p w14:paraId="6B62F1B3" w14:textId="77777777" w:rsidR="0018081C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A2B1D68" w14:textId="5EEBA3B7" w:rsidR="0018081C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Promotions committee (50% male, 50% female) formed as a function of staff feedback in 2019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regular outreach to all staff.</w:t>
            </w:r>
          </w:p>
          <w:p w14:paraId="02F2C34E" w14:textId="77777777" w:rsidR="0018081C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D9C47D" w14:textId="77777777" w:rsidR="00560EB5" w:rsidRPr="002410E0" w:rsidRDefault="00281F47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Improvement of this outcome based on similar questions in new staff survey.</w:t>
            </w:r>
          </w:p>
          <w:p w14:paraId="680A4E5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21983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6FEF7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94DBD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69D0D3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4CD245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231BE6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6FEB5B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D7AA6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196D06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4FF1C9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072C0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D770DDF" w14:textId="77777777" w:rsidTr="00C343E4">
        <w:trPr>
          <w:trHeight w:val="1159"/>
        </w:trPr>
        <w:tc>
          <w:tcPr>
            <w:tcW w:w="1556" w:type="dxa"/>
            <w:vMerge/>
            <w:vAlign w:val="center"/>
          </w:tcPr>
          <w:p w14:paraId="48A2191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BD18F9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238601F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647DFDE8" w14:textId="77777777" w:rsidR="00560EB5" w:rsidRPr="002410E0" w:rsidRDefault="00281F47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Put actions in place in</w:t>
            </w:r>
            <w:r w:rsidR="00560EB5" w:rsidRPr="002410E0">
              <w:rPr>
                <w:rFonts w:ascii="Arial" w:eastAsia="Calibri" w:hAnsi="Arial" w:cs="Arial"/>
                <w:sz w:val="18"/>
                <w:szCs w:val="18"/>
              </w:rPr>
              <w:t xml:space="preserve"> response to staff feedback</w:t>
            </w:r>
          </w:p>
        </w:tc>
        <w:tc>
          <w:tcPr>
            <w:tcW w:w="1912" w:type="dxa"/>
            <w:vAlign w:val="center"/>
          </w:tcPr>
          <w:p w14:paraId="4E801E23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0F3CABC7" w14:textId="77777777" w:rsidR="00560EB5" w:rsidRPr="002410E0" w:rsidDel="006C7BC9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67EA77C" w14:textId="77777777" w:rsidTr="00C343E4">
        <w:trPr>
          <w:trHeight w:val="2188"/>
        </w:trPr>
        <w:tc>
          <w:tcPr>
            <w:tcW w:w="1556" w:type="dxa"/>
            <w:vMerge w:val="restart"/>
            <w:vAlign w:val="center"/>
          </w:tcPr>
          <w:p w14:paraId="6CC3781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5.4</w:t>
            </w:r>
          </w:p>
        </w:tc>
        <w:tc>
          <w:tcPr>
            <w:tcW w:w="1731" w:type="dxa"/>
            <w:vMerge w:val="restart"/>
            <w:vAlign w:val="center"/>
          </w:tcPr>
          <w:p w14:paraId="41611F2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Enhance understanding of the UCL promotion criteria.</w:t>
            </w:r>
          </w:p>
        </w:tc>
        <w:tc>
          <w:tcPr>
            <w:tcW w:w="2914" w:type="dxa"/>
            <w:vMerge w:val="restart"/>
            <w:vAlign w:val="center"/>
          </w:tcPr>
          <w:p w14:paraId="4EEA264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According to the 2015 staff survey, 35% of staff (male and female equal) think UCL’s promotions criteria are clear.</w:t>
            </w:r>
          </w:p>
        </w:tc>
        <w:tc>
          <w:tcPr>
            <w:tcW w:w="2797" w:type="dxa"/>
            <w:vAlign w:val="center"/>
          </w:tcPr>
          <w:p w14:paraId="57E3B6E6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Run promotions committee to promote equity</w:t>
            </w:r>
          </w:p>
          <w:p w14:paraId="0BF531C9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Run workshops on promotion to all staff wishing to apply for promotion</w:t>
            </w:r>
            <w:r w:rsidR="00281F47" w:rsidRPr="002410E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5B08B5D1" w14:textId="77777777" w:rsidR="00281F47" w:rsidRPr="002410E0" w:rsidRDefault="00281F47" w:rsidP="00C343E4">
            <w:pPr>
              <w:spacing w:before="0" w:line="240" w:lineRule="auto"/>
              <w:ind w:left="36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EA3102A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Publish specific guidelines/rules</w:t>
            </w:r>
          </w:p>
        </w:tc>
        <w:tc>
          <w:tcPr>
            <w:tcW w:w="1912" w:type="dxa"/>
            <w:vAlign w:val="center"/>
          </w:tcPr>
          <w:p w14:paraId="045FE116" w14:textId="77777777" w:rsidR="00281F47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 w:val="restart"/>
            <w:vAlign w:val="center"/>
          </w:tcPr>
          <w:p w14:paraId="344F12D4" w14:textId="77777777" w:rsidR="00281F47" w:rsidRPr="002410E0" w:rsidRDefault="00281F47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Improvement of this outcome based on similar questions in new staff survey.</w:t>
            </w:r>
          </w:p>
          <w:p w14:paraId="16DEB4A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C8BCAC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All staff applying for promotion assigned a mentor by </w:t>
            </w:r>
            <w:r w:rsidR="00281F47" w:rsidRPr="002410E0">
              <w:rPr>
                <w:rFonts w:ascii="Arial" w:eastAsia="Calibri" w:hAnsi="Arial" w:cs="Arial"/>
                <w:sz w:val="18"/>
                <w:szCs w:val="18"/>
              </w:rPr>
              <w:t>Term 1 2021.</w:t>
            </w:r>
          </w:p>
        </w:tc>
      </w:tr>
      <w:tr w:rsidR="002410E0" w:rsidRPr="002410E0" w14:paraId="734BD767" w14:textId="77777777" w:rsidTr="00C343E4">
        <w:trPr>
          <w:trHeight w:val="1197"/>
        </w:trPr>
        <w:tc>
          <w:tcPr>
            <w:tcW w:w="1556" w:type="dxa"/>
            <w:vMerge/>
            <w:vAlign w:val="center"/>
          </w:tcPr>
          <w:p w14:paraId="0AD9C6F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B1F511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5F9C3D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FADB82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Ensure mentoring scheme is available to staff at all levels</w:t>
            </w:r>
            <w:r w:rsidR="00281F47" w:rsidRPr="002410E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912" w:type="dxa"/>
            <w:vAlign w:val="center"/>
          </w:tcPr>
          <w:p w14:paraId="6220E1CB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023141B" w14:textId="77777777" w:rsidR="00560EB5" w:rsidRPr="002410E0" w:rsidDel="006C7BC9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E5BE420" w14:textId="77777777" w:rsidTr="00C343E4">
        <w:trPr>
          <w:trHeight w:val="508"/>
        </w:trPr>
        <w:tc>
          <w:tcPr>
            <w:tcW w:w="1556" w:type="dxa"/>
            <w:vMerge w:val="restart"/>
            <w:vAlign w:val="center"/>
          </w:tcPr>
          <w:p w14:paraId="4EB34963" w14:textId="11EDDCA2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5.5</w:t>
            </w:r>
          </w:p>
        </w:tc>
        <w:tc>
          <w:tcPr>
            <w:tcW w:w="1731" w:type="dxa"/>
            <w:vMerge w:val="restart"/>
            <w:vAlign w:val="center"/>
          </w:tcPr>
          <w:p w14:paraId="6C9E0CE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Approach UCL HR in order to discuss the possibility of developing support for professional and support staff wishing to   apply for regrading.</w:t>
            </w:r>
          </w:p>
        </w:tc>
        <w:tc>
          <w:tcPr>
            <w:tcW w:w="2914" w:type="dxa"/>
            <w:vMerge w:val="restart"/>
            <w:vAlign w:val="center"/>
          </w:tcPr>
          <w:p w14:paraId="00CD0DA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Feedback from CEGE suggests that professional and support staff are unhappy with the current system of regrading</w:t>
            </w:r>
          </w:p>
          <w:p w14:paraId="1F3B140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94E3C0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Internal or sideways promotions, not formal enough according to Athena Staff Workshop on 13/04/2016</w:t>
            </w:r>
          </w:p>
        </w:tc>
        <w:tc>
          <w:tcPr>
            <w:tcW w:w="2797" w:type="dxa"/>
            <w:vAlign w:val="center"/>
          </w:tcPr>
          <w:p w14:paraId="07992FA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Identify best-practice from other HE institutions</w:t>
            </w:r>
          </w:p>
        </w:tc>
        <w:tc>
          <w:tcPr>
            <w:tcW w:w="1912" w:type="dxa"/>
            <w:vAlign w:val="center"/>
          </w:tcPr>
          <w:p w14:paraId="1679D353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 w:val="restart"/>
            <w:vAlign w:val="center"/>
          </w:tcPr>
          <w:p w14:paraId="294FC50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Potential increase in PASS promotions</w:t>
            </w:r>
          </w:p>
          <w:p w14:paraId="4A86CF73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4FB30F8" w14:textId="7A86AA99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Improve positive response to 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>related questions on survey.</w:t>
            </w:r>
          </w:p>
          <w:p w14:paraId="1DA6542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041E39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22B00A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50EC6384" w14:textId="77777777" w:rsidTr="00C343E4">
        <w:trPr>
          <w:trHeight w:val="1611"/>
        </w:trPr>
        <w:tc>
          <w:tcPr>
            <w:tcW w:w="1556" w:type="dxa"/>
            <w:vMerge/>
            <w:vAlign w:val="center"/>
          </w:tcPr>
          <w:p w14:paraId="42C6D79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E1831B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54E11D2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  <w:vAlign w:val="center"/>
          </w:tcPr>
          <w:p w14:paraId="16B94516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Liaise with other departments within UCL who may be considering similar actions or already developing them (e.g. Institute of Clinical Trial and Methodology)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6EC8E3BE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31126E5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0F328D12" w14:textId="77777777" w:rsidTr="00C343E4">
        <w:trPr>
          <w:trHeight w:val="985"/>
        </w:trPr>
        <w:tc>
          <w:tcPr>
            <w:tcW w:w="1556" w:type="dxa"/>
            <w:vMerge/>
            <w:vAlign w:val="center"/>
          </w:tcPr>
          <w:p w14:paraId="2DE403A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2431CD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49E398E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6DB46A25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Run focus group to discuss issues specific to PASS and set up a support group for PASS</w:t>
            </w:r>
          </w:p>
          <w:p w14:paraId="0629F543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Publication of a clear promotions process for PASS (on the departmental intranet)</w:t>
            </w:r>
          </w:p>
          <w:p w14:paraId="16287F21" w14:textId="77777777" w:rsidR="00560EB5" w:rsidRPr="002410E0" w:rsidRDefault="00560EB5" w:rsidP="00C343E4">
            <w:pPr>
              <w:spacing w:before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0094B8C6" w14:textId="3680B11A" w:rsidR="00560EB5" w:rsidRPr="002410E0" w:rsidRDefault="541074BB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Completed</w:t>
            </w:r>
          </w:p>
          <w:p w14:paraId="432F970A" w14:textId="7ABDB37D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4CABFD1A" w14:textId="531DBA4B" w:rsidR="00560EB5" w:rsidRPr="002410E0" w:rsidRDefault="541074BB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Ongoing</w:t>
            </w:r>
          </w:p>
          <w:p w14:paraId="467B0B2D" w14:textId="238EA59A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757EDC18" w14:textId="40258699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3496" w:type="dxa"/>
            <w:vMerge/>
            <w:vAlign w:val="center"/>
          </w:tcPr>
          <w:p w14:paraId="5BE93A6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76A2BFB4" w14:textId="77777777" w:rsidTr="00C343E4">
        <w:trPr>
          <w:trHeight w:val="1378"/>
        </w:trPr>
        <w:tc>
          <w:tcPr>
            <w:tcW w:w="1556" w:type="dxa"/>
            <w:vMerge/>
            <w:vAlign w:val="center"/>
          </w:tcPr>
          <w:p w14:paraId="384BA73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4B3F2E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7D34F5C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26E228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Discussion with UCL-level AS panel about clarification of a procedure for applications for the award of increments/contribution points</w:t>
            </w:r>
          </w:p>
          <w:p w14:paraId="4C36E4E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Job descriptions reviewed for staff when they are regraded or they change roles, e.g. PhD to Researcher;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lastRenderedPageBreak/>
              <w:t>also having an induction</w:t>
            </w:r>
          </w:p>
          <w:p w14:paraId="0B4020A7" w14:textId="77777777" w:rsidR="00560EB5" w:rsidRPr="002410E0" w:rsidRDefault="00560EB5" w:rsidP="00C343E4">
            <w:pPr>
              <w:spacing w:before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4A359781" w14:textId="7FC73204" w:rsidR="541074BB" w:rsidRPr="002410E0" w:rsidRDefault="541074BB" w:rsidP="00C343E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lastRenderedPageBreak/>
              <w:t>Completed</w:t>
            </w:r>
          </w:p>
          <w:p w14:paraId="33EA7357" w14:textId="303D9A4A" w:rsidR="541074BB" w:rsidRPr="002410E0" w:rsidRDefault="541074BB" w:rsidP="003D2100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4F904CB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0A5AB4B5" w14:textId="77777777" w:rsidTr="00C343E4">
        <w:trPr>
          <w:trHeight w:val="1316"/>
        </w:trPr>
        <w:tc>
          <w:tcPr>
            <w:tcW w:w="1556" w:type="dxa"/>
            <w:vMerge/>
            <w:vAlign w:val="center"/>
          </w:tcPr>
          <w:p w14:paraId="06971CD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2A1F701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03EFCA4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2B41FD60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Encourage PASS to become members of the </w:t>
            </w:r>
            <w:proofErr w:type="spellStart"/>
            <w:r w:rsidRPr="002410E0">
              <w:rPr>
                <w:rFonts w:ascii="Arial" w:eastAsia="Calibri" w:hAnsi="Arial" w:cs="Arial"/>
                <w:sz w:val="18"/>
                <w:szCs w:val="18"/>
              </w:rPr>
              <w:t>Astrea</w:t>
            </w:r>
            <w:proofErr w:type="spellEnd"/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networking group</w:t>
            </w:r>
          </w:p>
          <w:p w14:paraId="50F4614D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Enforce formal promotion procedure in place of informal internal procedures for PASS</w:t>
            </w:r>
          </w:p>
        </w:tc>
        <w:tc>
          <w:tcPr>
            <w:tcW w:w="1912" w:type="dxa"/>
            <w:vAlign w:val="center"/>
          </w:tcPr>
          <w:p w14:paraId="4290B38E" w14:textId="757DD889" w:rsidR="541074BB" w:rsidRPr="002410E0" w:rsidRDefault="541074BB" w:rsidP="00C343E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Completed</w:t>
            </w:r>
          </w:p>
          <w:p w14:paraId="11C828BD" w14:textId="4830A365" w:rsidR="541074BB" w:rsidRPr="002410E0" w:rsidRDefault="541074BB" w:rsidP="00C343E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D6F4CFE" w14:textId="3DD195FD" w:rsidR="541074BB" w:rsidRPr="002410E0" w:rsidRDefault="541074BB" w:rsidP="00C343E4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5B95CD1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EFA6587" w14:textId="77777777" w:rsidTr="00C343E4">
        <w:trPr>
          <w:trHeight w:val="1701"/>
        </w:trPr>
        <w:tc>
          <w:tcPr>
            <w:tcW w:w="1556" w:type="dxa"/>
            <w:vAlign w:val="center"/>
          </w:tcPr>
          <w:p w14:paraId="302309BB" w14:textId="102E5E68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5.7</w:t>
            </w:r>
          </w:p>
        </w:tc>
        <w:tc>
          <w:tcPr>
            <w:tcW w:w="1731" w:type="dxa"/>
            <w:vAlign w:val="center"/>
          </w:tcPr>
          <w:p w14:paraId="10568F7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Increase number of </w:t>
            </w:r>
            <w:proofErr w:type="gramStart"/>
            <w:r w:rsidRPr="002410E0">
              <w:rPr>
                <w:rFonts w:ascii="Arial" w:eastAsia="Calibri" w:hAnsi="Arial" w:cs="Arial"/>
                <w:sz w:val="18"/>
                <w:szCs w:val="18"/>
              </w:rPr>
              <w:t>staff</w:t>
            </w:r>
            <w:proofErr w:type="gramEnd"/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at all levels up taking HR training courses</w:t>
            </w:r>
          </w:p>
        </w:tc>
        <w:tc>
          <w:tcPr>
            <w:tcW w:w="2914" w:type="dxa"/>
            <w:vAlign w:val="center"/>
          </w:tcPr>
          <w:p w14:paraId="5963C57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UCL policy states that staff should attend at least 2 training courses per year, but only a small number of </w:t>
            </w:r>
            <w:proofErr w:type="gramStart"/>
            <w:r w:rsidRPr="002410E0">
              <w:rPr>
                <w:rFonts w:ascii="Arial" w:eastAsia="Calibri" w:hAnsi="Arial" w:cs="Arial"/>
                <w:sz w:val="18"/>
                <w:szCs w:val="18"/>
              </w:rPr>
              <w:t>staff</w:t>
            </w:r>
            <w:proofErr w:type="gramEnd"/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are attending HR training courses (Table 18).</w:t>
            </w:r>
          </w:p>
        </w:tc>
        <w:tc>
          <w:tcPr>
            <w:tcW w:w="2797" w:type="dxa"/>
            <w:vAlign w:val="center"/>
          </w:tcPr>
          <w:p w14:paraId="09AC01C1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Discuss with Section Heads</w:t>
            </w:r>
          </w:p>
          <w:p w14:paraId="04801710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Promote training opportunities via email and web page.</w:t>
            </w:r>
          </w:p>
          <w:p w14:paraId="7363C5FD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Remind appraisers to discuss training and development in every appraisal meeting</w:t>
            </w:r>
          </w:p>
        </w:tc>
        <w:tc>
          <w:tcPr>
            <w:tcW w:w="1912" w:type="dxa"/>
            <w:vAlign w:val="center"/>
          </w:tcPr>
          <w:p w14:paraId="1E9EEF4F" w14:textId="77777777" w:rsidR="00560EB5" w:rsidRPr="002410E0" w:rsidRDefault="0018081C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Align w:val="center"/>
          </w:tcPr>
          <w:p w14:paraId="044DCB2A" w14:textId="225FF9E4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100% of staff recorded as having attended 2 HR training courses per year by 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 xml:space="preserve">Term 1 2021. </w:t>
            </w:r>
          </w:p>
        </w:tc>
      </w:tr>
      <w:tr w:rsidR="002410E0" w:rsidRPr="002410E0" w14:paraId="41460860" w14:textId="77777777" w:rsidTr="00C343E4">
        <w:trPr>
          <w:trHeight w:val="1701"/>
        </w:trPr>
        <w:tc>
          <w:tcPr>
            <w:tcW w:w="1556" w:type="dxa"/>
            <w:vAlign w:val="center"/>
          </w:tcPr>
          <w:p w14:paraId="0997E62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5.8</w:t>
            </w:r>
          </w:p>
        </w:tc>
        <w:tc>
          <w:tcPr>
            <w:tcW w:w="1731" w:type="dxa"/>
            <w:vAlign w:val="center"/>
          </w:tcPr>
          <w:p w14:paraId="6FB155C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Increase number of </w:t>
            </w:r>
            <w:proofErr w:type="gramStart"/>
            <w:r w:rsidRPr="002410E0">
              <w:rPr>
                <w:rFonts w:ascii="Arial" w:eastAsia="Calibri" w:hAnsi="Arial" w:cs="Arial"/>
                <w:sz w:val="18"/>
                <w:szCs w:val="18"/>
              </w:rPr>
              <w:t>staff</w:t>
            </w:r>
            <w:proofErr w:type="gramEnd"/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at all levels doing annual appraisals</w:t>
            </w:r>
          </w:p>
        </w:tc>
        <w:tc>
          <w:tcPr>
            <w:tcW w:w="2914" w:type="dxa"/>
            <w:vAlign w:val="center"/>
          </w:tcPr>
          <w:p w14:paraId="732470AF" w14:textId="77777777" w:rsidR="00281F47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Not all staff are having appraisals</w:t>
            </w:r>
            <w:r w:rsidR="00281F47" w:rsidRPr="002410E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This is reflected in poor responses to the UCL Staff Survey regarding appraisals.</w:t>
            </w:r>
          </w:p>
          <w:p w14:paraId="5220BBB2" w14:textId="77777777" w:rsidR="00560EB5" w:rsidRPr="002410E0" w:rsidRDefault="00560EB5" w:rsidP="00C343E4">
            <w:pPr>
              <w:spacing w:before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A606FAA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Discuss with Section Heads</w:t>
            </w:r>
          </w:p>
        </w:tc>
        <w:tc>
          <w:tcPr>
            <w:tcW w:w="1912" w:type="dxa"/>
            <w:vAlign w:val="center"/>
          </w:tcPr>
          <w:p w14:paraId="7388B3BB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Align w:val="center"/>
          </w:tcPr>
          <w:p w14:paraId="70B117F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Staff better prepared for promotions</w:t>
            </w:r>
          </w:p>
          <w:p w14:paraId="13CB595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9017BF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80% of staff being appraised each year by </w:t>
            </w:r>
            <w:r w:rsidR="004915BD" w:rsidRPr="002410E0">
              <w:rPr>
                <w:rFonts w:ascii="Arial" w:eastAsia="Calibri" w:hAnsi="Arial" w:cs="Arial"/>
                <w:sz w:val="18"/>
                <w:szCs w:val="18"/>
              </w:rPr>
              <w:t>Term 1 2021</w:t>
            </w:r>
          </w:p>
          <w:p w14:paraId="6D9C8D3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75E05E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CF8D860" w14:textId="77777777" w:rsidTr="00C343E4">
        <w:trPr>
          <w:trHeight w:val="585"/>
        </w:trPr>
        <w:tc>
          <w:tcPr>
            <w:tcW w:w="1556" w:type="dxa"/>
            <w:vMerge w:val="restart"/>
            <w:vAlign w:val="center"/>
          </w:tcPr>
          <w:p w14:paraId="30E81EB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5.9</w:t>
            </w:r>
          </w:p>
        </w:tc>
        <w:tc>
          <w:tcPr>
            <w:tcW w:w="1731" w:type="dxa"/>
            <w:vMerge w:val="restart"/>
            <w:vAlign w:val="center"/>
          </w:tcPr>
          <w:p w14:paraId="713DF75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 career support for researchers at CEGE</w:t>
            </w:r>
          </w:p>
        </w:tc>
        <w:tc>
          <w:tcPr>
            <w:tcW w:w="2914" w:type="dxa"/>
            <w:vMerge w:val="restart"/>
            <w:vAlign w:val="center"/>
          </w:tcPr>
          <w:p w14:paraId="0B41D94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Results from survey “Career development for postdoctoral researchers” which was run at UCL CEGE in 2016</w:t>
            </w:r>
          </w:p>
        </w:tc>
        <w:tc>
          <w:tcPr>
            <w:tcW w:w="2797" w:type="dxa"/>
            <w:vAlign w:val="center"/>
          </w:tcPr>
          <w:p w14:paraId="4665C8A8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Organise a community (group) of post-doctoral researchers at UCL CEGE</w:t>
            </w:r>
          </w:p>
        </w:tc>
        <w:tc>
          <w:tcPr>
            <w:tcW w:w="1912" w:type="dxa"/>
            <w:vAlign w:val="center"/>
          </w:tcPr>
          <w:p w14:paraId="0F107BE6" w14:textId="77777777" w:rsidR="004915BD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  <w:p w14:paraId="2FC17F8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A4F722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96" w:type="dxa"/>
            <w:vMerge w:val="restart"/>
            <w:vAlign w:val="center"/>
          </w:tcPr>
          <w:p w14:paraId="4CA29DC3" w14:textId="77777777" w:rsidR="00560EB5" w:rsidRPr="002410E0" w:rsidRDefault="004915BD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Improvement of this outcome based on related questions in new staff survey.</w:t>
            </w:r>
          </w:p>
          <w:p w14:paraId="5AE48A4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0F40DE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7A5229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07DCDA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0EA2D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0E131E49" w14:textId="77777777" w:rsidTr="00C343E4">
        <w:trPr>
          <w:trHeight w:val="280"/>
        </w:trPr>
        <w:tc>
          <w:tcPr>
            <w:tcW w:w="1556" w:type="dxa"/>
            <w:vMerge/>
            <w:vAlign w:val="center"/>
          </w:tcPr>
          <w:p w14:paraId="3DD355C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1A81F0B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717AAFB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A65B38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Implement survey of research staff</w:t>
            </w:r>
          </w:p>
        </w:tc>
        <w:tc>
          <w:tcPr>
            <w:tcW w:w="1912" w:type="dxa"/>
            <w:vAlign w:val="center"/>
          </w:tcPr>
          <w:p w14:paraId="5AE77F76" w14:textId="77777777" w:rsidR="00560EB5" w:rsidRPr="002410E0" w:rsidRDefault="0093657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6EE48E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675A4B8C" w14:textId="77777777" w:rsidTr="00C343E4">
        <w:trPr>
          <w:trHeight w:val="1047"/>
        </w:trPr>
        <w:tc>
          <w:tcPr>
            <w:tcW w:w="1556" w:type="dxa"/>
            <w:vMerge/>
            <w:vAlign w:val="center"/>
          </w:tcPr>
          <w:p w14:paraId="2908EB2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121FD38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1FE2DD9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0720B95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Organise seminars on Career support for researches at UCL CEGE; specifically focusing on opportunities for funding, training and fellowship applications.</w:t>
            </w:r>
          </w:p>
        </w:tc>
        <w:tc>
          <w:tcPr>
            <w:tcW w:w="1912" w:type="dxa"/>
            <w:vAlign w:val="center"/>
          </w:tcPr>
          <w:p w14:paraId="7E1D8FA5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27357532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5242D019" w14:textId="77777777" w:rsidTr="00C343E4">
        <w:trPr>
          <w:trHeight w:val="1225"/>
        </w:trPr>
        <w:tc>
          <w:tcPr>
            <w:tcW w:w="1556" w:type="dxa"/>
            <w:vMerge/>
            <w:vAlign w:val="center"/>
          </w:tcPr>
          <w:p w14:paraId="07F023C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BDB549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2916C19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51CCA93D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Publicise promotion routes for researchers</w:t>
            </w:r>
          </w:p>
        </w:tc>
        <w:tc>
          <w:tcPr>
            <w:tcW w:w="1912" w:type="dxa"/>
            <w:vAlign w:val="center"/>
          </w:tcPr>
          <w:p w14:paraId="686F4C46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7486946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6EEB339" w14:textId="77777777" w:rsidTr="00C343E4">
        <w:trPr>
          <w:trHeight w:val="499"/>
        </w:trPr>
        <w:tc>
          <w:tcPr>
            <w:tcW w:w="1556" w:type="dxa"/>
            <w:vMerge w:val="restart"/>
            <w:vAlign w:val="center"/>
          </w:tcPr>
          <w:p w14:paraId="79C0B07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5.10</w:t>
            </w:r>
          </w:p>
        </w:tc>
        <w:tc>
          <w:tcPr>
            <w:tcW w:w="1731" w:type="dxa"/>
            <w:vMerge w:val="restart"/>
            <w:vAlign w:val="center"/>
          </w:tcPr>
          <w:p w14:paraId="032ADE2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the gender split of successful and unsuccessful grant proposal applicants. Improve support for all applicants.</w:t>
            </w:r>
          </w:p>
        </w:tc>
        <w:tc>
          <w:tcPr>
            <w:tcW w:w="2914" w:type="dxa"/>
            <w:vMerge w:val="restart"/>
            <w:vAlign w:val="center"/>
          </w:tcPr>
          <w:p w14:paraId="74D7C1D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Lack of data Lack of support and helpfulness (Staff Athena Swan workshop 13/04/2016) in putting grant applications.</w:t>
            </w:r>
          </w:p>
        </w:tc>
        <w:tc>
          <w:tcPr>
            <w:tcW w:w="2797" w:type="dxa"/>
            <w:vAlign w:val="center"/>
          </w:tcPr>
          <w:p w14:paraId="00F6F149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Record successful and unsuccessful proposal applications</w:t>
            </w:r>
          </w:p>
        </w:tc>
        <w:tc>
          <w:tcPr>
            <w:tcW w:w="1912" w:type="dxa"/>
            <w:vAlign w:val="center"/>
          </w:tcPr>
          <w:p w14:paraId="3EF68C88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675CA6B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Monitoring over time demonstrates no gender relationship</w:t>
            </w:r>
          </w:p>
          <w:p w14:paraId="187F57B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63B3CB79" w14:textId="77777777" w:rsidTr="00C343E4">
        <w:trPr>
          <w:trHeight w:val="580"/>
        </w:trPr>
        <w:tc>
          <w:tcPr>
            <w:tcW w:w="1556" w:type="dxa"/>
            <w:vMerge/>
            <w:vAlign w:val="center"/>
          </w:tcPr>
          <w:p w14:paraId="54738AF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6ABBD8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06BBA33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DA19B0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Discuss with UCL Finance to report on applications</w:t>
            </w:r>
          </w:p>
        </w:tc>
        <w:tc>
          <w:tcPr>
            <w:tcW w:w="1912" w:type="dxa"/>
            <w:vAlign w:val="center"/>
          </w:tcPr>
          <w:p w14:paraId="08C27BE6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464FCBC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34003E7A" w14:textId="77777777" w:rsidTr="00C343E4">
        <w:trPr>
          <w:trHeight w:val="616"/>
        </w:trPr>
        <w:tc>
          <w:tcPr>
            <w:tcW w:w="1556" w:type="dxa"/>
            <w:vMerge/>
            <w:vAlign w:val="center"/>
          </w:tcPr>
          <w:p w14:paraId="5C8C6B0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382A36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5C71F13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E2CF755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Increase awareness of proposal writing training and workshops around UCL.</w:t>
            </w:r>
          </w:p>
          <w:p w14:paraId="5A36FEB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Implement a proposal sharing scheme.</w:t>
            </w:r>
          </w:p>
        </w:tc>
        <w:tc>
          <w:tcPr>
            <w:tcW w:w="1912" w:type="dxa"/>
            <w:vAlign w:val="center"/>
          </w:tcPr>
          <w:p w14:paraId="1F04CEF8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6219946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1D6506E" w14:textId="77777777" w:rsidTr="00C343E4">
        <w:trPr>
          <w:trHeight w:val="866"/>
        </w:trPr>
        <w:tc>
          <w:tcPr>
            <w:tcW w:w="1556" w:type="dxa"/>
            <w:vMerge w:val="restart"/>
            <w:vAlign w:val="center"/>
          </w:tcPr>
          <w:p w14:paraId="5C849E9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5.11</w:t>
            </w:r>
          </w:p>
        </w:tc>
        <w:tc>
          <w:tcPr>
            <w:tcW w:w="1731" w:type="dxa"/>
            <w:vMerge w:val="restart"/>
            <w:vAlign w:val="center"/>
          </w:tcPr>
          <w:p w14:paraId="2CF2A58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Promote the Maternity Leave and Shared Parental Leave policy</w:t>
            </w:r>
          </w:p>
        </w:tc>
        <w:tc>
          <w:tcPr>
            <w:tcW w:w="2914" w:type="dxa"/>
            <w:vMerge w:val="restart"/>
            <w:vAlign w:val="center"/>
          </w:tcPr>
          <w:p w14:paraId="4AE6988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No central place to correct and record data</w:t>
            </w:r>
          </w:p>
          <w:p w14:paraId="0DA123B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3892BA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There is no history of shared parental leave</w:t>
            </w:r>
          </w:p>
          <w:p w14:paraId="4C4CEA3D" w14:textId="77777777" w:rsidR="000315A2" w:rsidRPr="002410E0" w:rsidRDefault="000315A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DE5D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To enhance promotion within department</w:t>
            </w:r>
          </w:p>
        </w:tc>
        <w:tc>
          <w:tcPr>
            <w:tcW w:w="2797" w:type="dxa"/>
            <w:vAlign w:val="center"/>
          </w:tcPr>
          <w:p w14:paraId="4557C4D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Collect maternity leave &amp; Shared Parental Leave data within department</w:t>
            </w:r>
          </w:p>
          <w:p w14:paraId="728302BE" w14:textId="16F1912F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Promote conversations with line managers</w:t>
            </w:r>
          </w:p>
        </w:tc>
        <w:tc>
          <w:tcPr>
            <w:tcW w:w="1912" w:type="dxa"/>
            <w:vMerge w:val="restart"/>
            <w:vAlign w:val="center"/>
          </w:tcPr>
          <w:p w14:paraId="05AE020A" w14:textId="77777777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0B929E6A" w14:textId="77777777" w:rsidR="000315A2" w:rsidRPr="002410E0" w:rsidRDefault="000315A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Monitoring of newsletter content show commitment to leave policy information.</w:t>
            </w:r>
          </w:p>
          <w:p w14:paraId="5089567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7998F4" w14:textId="77777777" w:rsidR="000315A2" w:rsidRPr="002410E0" w:rsidRDefault="000315A2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Improvement of related outcomes on staff survey.</w:t>
            </w:r>
          </w:p>
          <w:p w14:paraId="38C1F859" w14:textId="77777777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B224C3" w14:textId="64DB787F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New departmental sabbatical policy has constructed an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 xml:space="preserve">d 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>published</w:t>
            </w:r>
            <w:r w:rsidR="003D2100" w:rsidRPr="002410E0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2410E0" w:rsidRPr="002410E0" w14:paraId="26DEE306" w14:textId="77777777" w:rsidTr="00C343E4">
        <w:trPr>
          <w:trHeight w:val="865"/>
        </w:trPr>
        <w:tc>
          <w:tcPr>
            <w:tcW w:w="1556" w:type="dxa"/>
            <w:vMerge/>
            <w:vAlign w:val="center"/>
          </w:tcPr>
          <w:p w14:paraId="0C8FE7C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41004F1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7C0C65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3C9E9210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Include information on CEGE newsletter</w:t>
            </w:r>
          </w:p>
          <w:p w14:paraId="6743BD6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Encourage staff to take advantage of sabbatical policy</w:t>
            </w:r>
          </w:p>
        </w:tc>
        <w:tc>
          <w:tcPr>
            <w:tcW w:w="1912" w:type="dxa"/>
            <w:vMerge/>
            <w:vAlign w:val="center"/>
          </w:tcPr>
          <w:p w14:paraId="308D56C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96" w:type="dxa"/>
            <w:vMerge/>
            <w:vAlign w:val="center"/>
          </w:tcPr>
          <w:p w14:paraId="797E50C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3AF69495" w14:textId="77777777" w:rsidTr="00C343E4">
        <w:trPr>
          <w:trHeight w:val="474"/>
        </w:trPr>
        <w:tc>
          <w:tcPr>
            <w:tcW w:w="1556" w:type="dxa"/>
            <w:vMerge/>
            <w:vAlign w:val="center"/>
          </w:tcPr>
          <w:p w14:paraId="7B04FA4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568C698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1A93948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73FC125E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Promote PACT among our staff with caring responsibilities</w:t>
            </w:r>
          </w:p>
        </w:tc>
        <w:tc>
          <w:tcPr>
            <w:tcW w:w="1912" w:type="dxa"/>
            <w:vAlign w:val="center"/>
          </w:tcPr>
          <w:p w14:paraId="629ED7BB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6AA258D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C99BD9A" w14:textId="77777777" w:rsidTr="00816DA4">
        <w:trPr>
          <w:trHeight w:val="2684"/>
        </w:trPr>
        <w:tc>
          <w:tcPr>
            <w:tcW w:w="1556" w:type="dxa"/>
            <w:vAlign w:val="center"/>
          </w:tcPr>
          <w:p w14:paraId="31B8A9D5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lastRenderedPageBreak/>
              <w:t>5.12</w:t>
            </w:r>
          </w:p>
        </w:tc>
        <w:tc>
          <w:tcPr>
            <w:tcW w:w="1731" w:type="dxa"/>
            <w:vAlign w:val="center"/>
          </w:tcPr>
          <w:p w14:paraId="0002E05E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and promote options for flexible working</w:t>
            </w:r>
          </w:p>
        </w:tc>
        <w:tc>
          <w:tcPr>
            <w:tcW w:w="2914" w:type="dxa"/>
            <w:vAlign w:val="center"/>
          </w:tcPr>
          <w:p w14:paraId="0836AB37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While 88% of CEGE staff responded positively to the question: “</w:t>
            </w:r>
          </w:p>
          <w:p w14:paraId="7D508717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As long as I get my work done, I have a choice deciding how I do my work” in the 2015 staff survey, data are not currently collected on uptake of flexible working (Athena Swan Application 2015).</w:t>
            </w:r>
          </w:p>
        </w:tc>
        <w:tc>
          <w:tcPr>
            <w:tcW w:w="2797" w:type="dxa"/>
            <w:vAlign w:val="center"/>
          </w:tcPr>
          <w:p w14:paraId="5B02C835" w14:textId="77777777" w:rsidR="003D2100" w:rsidRPr="002410E0" w:rsidRDefault="003D2100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Instruct line managers to promote this with their staff</w:t>
            </w:r>
          </w:p>
        </w:tc>
        <w:tc>
          <w:tcPr>
            <w:tcW w:w="1912" w:type="dxa"/>
            <w:vAlign w:val="center"/>
          </w:tcPr>
          <w:p w14:paraId="3BC7D596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Align w:val="center"/>
          </w:tcPr>
          <w:p w14:paraId="603B3710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Evidence of data recording</w:t>
            </w:r>
          </w:p>
          <w:p w14:paraId="6FFBD3EC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5489F06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Improvement of this outcome based on related questions in new staff survey.</w:t>
            </w:r>
          </w:p>
          <w:p w14:paraId="30DCCCAD" w14:textId="77777777" w:rsidR="003D2100" w:rsidRPr="002410E0" w:rsidRDefault="003D2100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13BA08DD" w14:textId="77777777" w:rsidTr="00C343E4">
        <w:trPr>
          <w:trHeight w:val="582"/>
        </w:trPr>
        <w:tc>
          <w:tcPr>
            <w:tcW w:w="1556" w:type="dxa"/>
            <w:vMerge w:val="restart"/>
            <w:vAlign w:val="center"/>
          </w:tcPr>
          <w:p w14:paraId="5333286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5.13</w:t>
            </w:r>
          </w:p>
        </w:tc>
        <w:tc>
          <w:tcPr>
            <w:tcW w:w="1731" w:type="dxa"/>
            <w:vMerge w:val="restart"/>
            <w:vAlign w:val="center"/>
          </w:tcPr>
          <w:p w14:paraId="0547672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Increase female staff participation on influential external committees</w:t>
            </w:r>
          </w:p>
        </w:tc>
        <w:tc>
          <w:tcPr>
            <w:tcW w:w="2914" w:type="dxa"/>
            <w:vMerge w:val="restart"/>
            <w:vAlign w:val="center"/>
          </w:tcPr>
          <w:p w14:paraId="1491137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20% of academics participating in external committees are female (Figure 27)</w:t>
            </w:r>
          </w:p>
        </w:tc>
        <w:tc>
          <w:tcPr>
            <w:tcW w:w="2797" w:type="dxa"/>
            <w:vAlign w:val="center"/>
          </w:tcPr>
          <w:p w14:paraId="12806475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Run survey on participation and identify barriers to female participation.</w:t>
            </w:r>
          </w:p>
        </w:tc>
        <w:tc>
          <w:tcPr>
            <w:tcW w:w="1912" w:type="dxa"/>
            <w:vAlign w:val="center"/>
          </w:tcPr>
          <w:p w14:paraId="4DDF91CF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 w:val="restart"/>
            <w:vAlign w:val="center"/>
          </w:tcPr>
          <w:p w14:paraId="41C069F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Evidence of data recording</w:t>
            </w:r>
          </w:p>
          <w:p w14:paraId="38645DC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C9B327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Proportion of female participating in external committees to be in line with proportion of female staff at each academic grade (+-5%).</w:t>
            </w:r>
          </w:p>
          <w:p w14:paraId="135E58C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096DA707" w14:textId="77777777" w:rsidTr="00C343E4">
        <w:trPr>
          <w:trHeight w:val="1010"/>
        </w:trPr>
        <w:tc>
          <w:tcPr>
            <w:tcW w:w="1556" w:type="dxa"/>
            <w:vMerge/>
            <w:vAlign w:val="center"/>
          </w:tcPr>
          <w:p w14:paraId="62EBF9A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0C6C2CD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709E88E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2993C2BD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Encourage female staff to participate on external committees</w:t>
            </w:r>
          </w:p>
        </w:tc>
        <w:tc>
          <w:tcPr>
            <w:tcW w:w="1912" w:type="dxa"/>
            <w:vAlign w:val="center"/>
          </w:tcPr>
          <w:p w14:paraId="785EF2B1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08C98E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2F8C9BF2" w14:textId="77777777" w:rsidTr="00C343E4">
        <w:trPr>
          <w:trHeight w:val="793"/>
        </w:trPr>
        <w:tc>
          <w:tcPr>
            <w:tcW w:w="1556" w:type="dxa"/>
            <w:vMerge w:val="restart"/>
            <w:vAlign w:val="center"/>
          </w:tcPr>
          <w:p w14:paraId="3962AC5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5.14</w:t>
            </w:r>
          </w:p>
        </w:tc>
        <w:tc>
          <w:tcPr>
            <w:tcW w:w="1731" w:type="dxa"/>
            <w:vMerge w:val="restart"/>
            <w:vAlign w:val="center"/>
          </w:tcPr>
          <w:p w14:paraId="7DACA8A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Enhance staff work-life balanc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>e</w:t>
            </w:r>
          </w:p>
        </w:tc>
        <w:tc>
          <w:tcPr>
            <w:tcW w:w="2914" w:type="dxa"/>
            <w:vMerge w:val="restart"/>
            <w:vAlign w:val="center"/>
          </w:tcPr>
          <w:p w14:paraId="7300E5F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 UCL Staff survey 2015 shows only 15% of academic staff believe they can meet the requirements of their job without regularly working excessive hours.</w:t>
            </w:r>
          </w:p>
        </w:tc>
        <w:tc>
          <w:tcPr>
            <w:tcW w:w="2797" w:type="dxa"/>
            <w:vAlign w:val="center"/>
          </w:tcPr>
          <w:p w14:paraId="1A5D6F35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Collected data on workload and ways to improve work-life balance.</w:t>
            </w:r>
          </w:p>
          <w:p w14:paraId="2DDF4D38" w14:textId="77777777" w:rsidR="00560EB5" w:rsidRPr="002410E0" w:rsidRDefault="000315A2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Engagement committee activities</w:t>
            </w:r>
          </w:p>
        </w:tc>
        <w:tc>
          <w:tcPr>
            <w:tcW w:w="1912" w:type="dxa"/>
            <w:vAlign w:val="center"/>
          </w:tcPr>
          <w:p w14:paraId="5D0BBA1B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 w:val="restart"/>
            <w:vAlign w:val="center"/>
          </w:tcPr>
          <w:p w14:paraId="6E6AEB5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Enhanced understanding of methods to improve quality of work- life balance.</w:t>
            </w:r>
          </w:p>
          <w:p w14:paraId="1175000E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Successful introduction of an Engagement Committee that promotes social activities, wellbeing, work/life balance and engagement among all sectors of the department</w:t>
            </w:r>
          </w:p>
          <w:p w14:paraId="779F8E76" w14:textId="77777777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B207C2D" w14:textId="77777777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Active interaction with CEGERS a PGR organization that promotes work/life balance and career opportunities among post-graduate students and post-doctoral researchers.</w:t>
            </w:r>
          </w:p>
          <w:p w14:paraId="7818863E" w14:textId="77777777" w:rsidR="006706E9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01930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Improvement in answer to the UCL 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>staff survey questions.</w:t>
            </w:r>
          </w:p>
        </w:tc>
      </w:tr>
      <w:tr w:rsidR="002410E0" w:rsidRPr="002410E0" w14:paraId="79AE836D" w14:textId="77777777" w:rsidTr="00C343E4">
        <w:trPr>
          <w:trHeight w:val="2469"/>
        </w:trPr>
        <w:tc>
          <w:tcPr>
            <w:tcW w:w="1556" w:type="dxa"/>
            <w:vMerge/>
            <w:vAlign w:val="center"/>
          </w:tcPr>
          <w:p w14:paraId="44F69B9A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5F07D11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41508A3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9A522C7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Raise awareness of UCL core hours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 xml:space="preserve"> with</w:t>
            </w: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 line managers</w:t>
            </w:r>
          </w:p>
          <w:p w14:paraId="43D6B1D6" w14:textId="77777777" w:rsidR="00560EB5" w:rsidRPr="002410E0" w:rsidRDefault="00560EB5" w:rsidP="00C343E4">
            <w:pPr>
              <w:spacing w:before="0" w:line="240" w:lineRule="auto"/>
              <w:ind w:left="439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FF04D3C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Stop all formal meetings after 4pm</w:t>
            </w:r>
          </w:p>
          <w:p w14:paraId="17DBC151" w14:textId="77777777" w:rsidR="00560EB5" w:rsidRPr="002410E0" w:rsidRDefault="00560EB5" w:rsidP="00C343E4">
            <w:pPr>
              <w:spacing w:before="0" w:line="240" w:lineRule="auto"/>
              <w:ind w:left="439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D1F442A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Encourage and arrange more social gatherings in the department</w:t>
            </w:r>
          </w:p>
          <w:p w14:paraId="6F8BD81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12" w:type="dxa"/>
            <w:vAlign w:val="center"/>
          </w:tcPr>
          <w:p w14:paraId="5594EA5F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2613E9C1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CDBBA83" w14:textId="77777777" w:rsidTr="00C343E4">
        <w:trPr>
          <w:trHeight w:val="748"/>
        </w:trPr>
        <w:tc>
          <w:tcPr>
            <w:tcW w:w="1556" w:type="dxa"/>
            <w:vMerge/>
            <w:vAlign w:val="center"/>
          </w:tcPr>
          <w:p w14:paraId="1037B8A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687C6DE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5B2F937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122F40E6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Create a pop-up warning message for CEGE room bookings out of core hours, not including weekends.</w:t>
            </w:r>
          </w:p>
        </w:tc>
        <w:tc>
          <w:tcPr>
            <w:tcW w:w="1912" w:type="dxa"/>
            <w:vAlign w:val="center"/>
          </w:tcPr>
          <w:p w14:paraId="25FEC8A5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Merge/>
            <w:vAlign w:val="center"/>
          </w:tcPr>
          <w:p w14:paraId="58E6DD4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4625C53F" w14:textId="77777777" w:rsidTr="00C343E4">
        <w:trPr>
          <w:trHeight w:val="1421"/>
        </w:trPr>
        <w:tc>
          <w:tcPr>
            <w:tcW w:w="1556" w:type="dxa"/>
            <w:vMerge/>
            <w:vAlign w:val="center"/>
          </w:tcPr>
          <w:p w14:paraId="7D3BEE8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3B88899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69E2BB2B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93F31DB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Determine mechanism for staff with caring responsibilities to request change to timetabled module hours when those do not fall within core hours, if necessary</w:t>
            </w:r>
          </w:p>
        </w:tc>
        <w:tc>
          <w:tcPr>
            <w:tcW w:w="1912" w:type="dxa"/>
            <w:vAlign w:val="center"/>
          </w:tcPr>
          <w:p w14:paraId="7B309A06" w14:textId="305E5827" w:rsidR="00560EB5" w:rsidRPr="002410E0" w:rsidRDefault="5506B139" w:rsidP="00C343E4">
            <w:pPr>
              <w:spacing w:before="0" w:line="240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bCs/>
                <w:sz w:val="18"/>
                <w:szCs w:val="18"/>
              </w:rPr>
              <w:t>Completed</w:t>
            </w:r>
          </w:p>
        </w:tc>
        <w:tc>
          <w:tcPr>
            <w:tcW w:w="3496" w:type="dxa"/>
            <w:vMerge/>
            <w:vAlign w:val="center"/>
          </w:tcPr>
          <w:p w14:paraId="57C0D79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012E439A" w14:textId="77777777" w:rsidTr="00C343E4">
        <w:trPr>
          <w:trHeight w:val="1701"/>
        </w:trPr>
        <w:tc>
          <w:tcPr>
            <w:tcW w:w="1556" w:type="dxa"/>
            <w:vAlign w:val="center"/>
          </w:tcPr>
          <w:p w14:paraId="65BBD5D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731" w:type="dxa"/>
            <w:vAlign w:val="center"/>
          </w:tcPr>
          <w:p w14:paraId="6D09A95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gender split of speakers and chairpersons in seminars and workshops</w:t>
            </w:r>
          </w:p>
        </w:tc>
        <w:tc>
          <w:tcPr>
            <w:tcW w:w="2914" w:type="dxa"/>
            <w:vAlign w:val="center"/>
          </w:tcPr>
          <w:p w14:paraId="48BBD618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Lack of data (Athena Swan application 2015)</w:t>
            </w:r>
          </w:p>
        </w:tc>
        <w:tc>
          <w:tcPr>
            <w:tcW w:w="2797" w:type="dxa"/>
            <w:vAlign w:val="center"/>
          </w:tcPr>
          <w:p w14:paraId="3EB53EEC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Ask seminar &amp; workshop organisers to record seminar speakers</w:t>
            </w:r>
          </w:p>
          <w:p w14:paraId="3517D91E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Implement actions if necessary to improve gender balance</w:t>
            </w:r>
          </w:p>
        </w:tc>
        <w:tc>
          <w:tcPr>
            <w:tcW w:w="1912" w:type="dxa"/>
            <w:vAlign w:val="center"/>
          </w:tcPr>
          <w:p w14:paraId="26FDD00C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</w:p>
        </w:tc>
        <w:tc>
          <w:tcPr>
            <w:tcW w:w="3496" w:type="dxa"/>
            <w:vAlign w:val="center"/>
          </w:tcPr>
          <w:p w14:paraId="0D142F6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2E9B10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Each seminar series has a page on the departmental website (or other agreed online presence)</w:t>
            </w:r>
          </w:p>
          <w:p w14:paraId="4475AD1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990A88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At least 30% of invited speakers are female by Term 1 2021, in line with the proportion of female staff in the department and above the HESA average.</w:t>
            </w:r>
          </w:p>
        </w:tc>
      </w:tr>
      <w:tr w:rsidR="002410E0" w:rsidRPr="002410E0" w14:paraId="4C153A0F" w14:textId="77777777" w:rsidTr="00C343E4">
        <w:trPr>
          <w:trHeight w:val="958"/>
        </w:trPr>
        <w:tc>
          <w:tcPr>
            <w:tcW w:w="1556" w:type="dxa"/>
            <w:vMerge w:val="restart"/>
            <w:vAlign w:val="center"/>
          </w:tcPr>
          <w:p w14:paraId="0A1E9756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5.1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1731" w:type="dxa"/>
            <w:vMerge w:val="restart"/>
            <w:vAlign w:val="center"/>
          </w:tcPr>
          <w:p w14:paraId="7ABB7AE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Monitor gender participation in outreach and engagement activities</w:t>
            </w:r>
          </w:p>
        </w:tc>
        <w:tc>
          <w:tcPr>
            <w:tcW w:w="2914" w:type="dxa"/>
            <w:vMerge w:val="restart"/>
            <w:vAlign w:val="center"/>
          </w:tcPr>
          <w:p w14:paraId="2B49BBAF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CEGE has not recorded the gender split of staff and students involved in outreach and engagement activities (Athena Swan application 2015)</w:t>
            </w:r>
          </w:p>
          <w:p w14:paraId="120C4E94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DAEF57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There are more female than male staff helping with outreach activities</w:t>
            </w:r>
          </w:p>
        </w:tc>
        <w:tc>
          <w:tcPr>
            <w:tcW w:w="2797" w:type="dxa"/>
            <w:vAlign w:val="center"/>
          </w:tcPr>
          <w:p w14:paraId="53969F72" w14:textId="77777777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Record data on gender helping with outreach activities</w:t>
            </w:r>
          </w:p>
        </w:tc>
        <w:tc>
          <w:tcPr>
            <w:tcW w:w="1912" w:type="dxa"/>
            <w:vMerge w:val="restart"/>
            <w:vAlign w:val="center"/>
          </w:tcPr>
          <w:p w14:paraId="46C9D9A8" w14:textId="77777777" w:rsidR="00560EB5" w:rsidRPr="002410E0" w:rsidRDefault="006706E9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Ongoing</w:t>
            </w:r>
            <w:bookmarkStart w:id="0" w:name="_GoBack"/>
            <w:bookmarkEnd w:id="0"/>
          </w:p>
        </w:tc>
        <w:tc>
          <w:tcPr>
            <w:tcW w:w="3496" w:type="dxa"/>
            <w:vMerge w:val="restart"/>
            <w:vAlign w:val="center"/>
          </w:tcPr>
          <w:p w14:paraId="42AFC42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880AD1D" w14:textId="4C5B7CA2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50% female participants over the course of each year</w:t>
            </w:r>
          </w:p>
          <w:p w14:paraId="271CA72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252441D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 xml:space="preserve">50% female staff participating in outreach by </w:t>
            </w:r>
            <w:r w:rsidR="000315A2" w:rsidRPr="002410E0">
              <w:rPr>
                <w:rFonts w:ascii="Arial" w:eastAsia="Calibri" w:hAnsi="Arial" w:cs="Arial"/>
                <w:sz w:val="18"/>
                <w:szCs w:val="18"/>
              </w:rPr>
              <w:t>Term 1 2021</w:t>
            </w:r>
          </w:p>
          <w:p w14:paraId="75FBE42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410E0" w:rsidRPr="002410E0" w14:paraId="7E28A331" w14:textId="77777777" w:rsidTr="00C343E4">
        <w:trPr>
          <w:trHeight w:val="957"/>
        </w:trPr>
        <w:tc>
          <w:tcPr>
            <w:tcW w:w="1556" w:type="dxa"/>
            <w:vMerge/>
            <w:vAlign w:val="center"/>
          </w:tcPr>
          <w:p w14:paraId="2D3F0BEC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vAlign w:val="center"/>
          </w:tcPr>
          <w:p w14:paraId="75CF4315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14:paraId="3CB648E9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7" w:type="dxa"/>
            <w:vAlign w:val="center"/>
          </w:tcPr>
          <w:p w14:paraId="4A083A5B" w14:textId="6CC93468" w:rsidR="00560EB5" w:rsidRPr="002410E0" w:rsidRDefault="00560EB5" w:rsidP="00C343E4">
            <w:pPr>
              <w:pStyle w:val="ListParagraph"/>
              <w:numPr>
                <w:ilvl w:val="0"/>
                <w:numId w:val="11"/>
              </w:num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410E0">
              <w:rPr>
                <w:rFonts w:ascii="Arial" w:eastAsia="Calibri" w:hAnsi="Arial" w:cs="Arial"/>
                <w:sz w:val="18"/>
                <w:szCs w:val="18"/>
              </w:rPr>
              <w:t>Encourage male staff to participate in outreach by raising awareness</w:t>
            </w:r>
          </w:p>
        </w:tc>
        <w:tc>
          <w:tcPr>
            <w:tcW w:w="1912" w:type="dxa"/>
            <w:vMerge/>
            <w:vAlign w:val="center"/>
          </w:tcPr>
          <w:p w14:paraId="0C178E9E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96" w:type="dxa"/>
            <w:vMerge/>
            <w:vAlign w:val="center"/>
          </w:tcPr>
          <w:p w14:paraId="3C0395D3" w14:textId="77777777" w:rsidR="00560EB5" w:rsidRPr="002410E0" w:rsidRDefault="00560EB5" w:rsidP="00C343E4">
            <w:pPr>
              <w:spacing w:before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254BC2F" w14:textId="77777777" w:rsidR="00954F28" w:rsidRPr="002410E0" w:rsidRDefault="00954F28" w:rsidP="00A064A0">
      <w:pPr>
        <w:rPr>
          <w:rFonts w:ascii="Arial" w:hAnsi="Arial" w:cs="Arial"/>
          <w:sz w:val="18"/>
          <w:szCs w:val="18"/>
        </w:rPr>
      </w:pPr>
    </w:p>
    <w:sectPr w:rsidR="00954F28" w:rsidRPr="002410E0" w:rsidSect="00560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1C6D"/>
    <w:multiLevelType w:val="hybridMultilevel"/>
    <w:tmpl w:val="423C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47F"/>
    <w:multiLevelType w:val="hybridMultilevel"/>
    <w:tmpl w:val="7032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A96"/>
    <w:multiLevelType w:val="hybridMultilevel"/>
    <w:tmpl w:val="56EE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9F6"/>
    <w:multiLevelType w:val="hybridMultilevel"/>
    <w:tmpl w:val="530E8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0967"/>
    <w:multiLevelType w:val="hybridMultilevel"/>
    <w:tmpl w:val="E930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57571"/>
    <w:multiLevelType w:val="hybridMultilevel"/>
    <w:tmpl w:val="0F68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07E7"/>
    <w:multiLevelType w:val="hybridMultilevel"/>
    <w:tmpl w:val="B9A6C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275C6"/>
    <w:multiLevelType w:val="hybridMultilevel"/>
    <w:tmpl w:val="0A2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64DF3"/>
    <w:multiLevelType w:val="hybridMultilevel"/>
    <w:tmpl w:val="B4F22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726FA"/>
    <w:multiLevelType w:val="hybridMultilevel"/>
    <w:tmpl w:val="1AD4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411B2"/>
    <w:multiLevelType w:val="hybridMultilevel"/>
    <w:tmpl w:val="D456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B5"/>
    <w:rsid w:val="000315A2"/>
    <w:rsid w:val="0003527F"/>
    <w:rsid w:val="0018081C"/>
    <w:rsid w:val="002410E0"/>
    <w:rsid w:val="00281F47"/>
    <w:rsid w:val="003D2100"/>
    <w:rsid w:val="004915BD"/>
    <w:rsid w:val="00506243"/>
    <w:rsid w:val="00560EB5"/>
    <w:rsid w:val="006706E9"/>
    <w:rsid w:val="00936572"/>
    <w:rsid w:val="00954F28"/>
    <w:rsid w:val="00A064A0"/>
    <w:rsid w:val="00C343E4"/>
    <w:rsid w:val="00DB46C9"/>
    <w:rsid w:val="541074BB"/>
    <w:rsid w:val="5506B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E689"/>
  <w15:chartTrackingRefBased/>
  <w15:docId w15:val="{E9469447-51D5-48C3-BA4D-4735721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60EB5"/>
    <w:pPr>
      <w:spacing w:before="240" w:after="0" w:line="240" w:lineRule="atLeast"/>
    </w:pPr>
    <w:rPr>
      <w:rFonts w:ascii="Calibri" w:hAnsi="Calibri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5">
    <w:name w:val="Table Grid25"/>
    <w:basedOn w:val="TableNormal"/>
    <w:next w:val="TableGrid"/>
    <w:uiPriority w:val="59"/>
    <w:rsid w:val="00560EB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6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Gillen</dc:creator>
  <cp:keywords/>
  <dc:description/>
  <cp:lastModifiedBy>Andrew Gillen</cp:lastModifiedBy>
  <cp:revision>12</cp:revision>
  <dcterms:created xsi:type="dcterms:W3CDTF">2020-11-19T15:47:00Z</dcterms:created>
  <dcterms:modified xsi:type="dcterms:W3CDTF">2020-11-26T10:34:00Z</dcterms:modified>
</cp:coreProperties>
</file>