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C4" w:rsidRPr="001D3D13" w:rsidRDefault="00B50CC4" w:rsidP="00B50CC4">
      <w:pPr>
        <w:pStyle w:val="Heading1"/>
        <w:rPr>
          <w:rFonts w:ascii="Arial" w:hAnsi="Arial" w:cs="Arial"/>
          <w:sz w:val="52"/>
        </w:rPr>
      </w:pPr>
      <w:r w:rsidRPr="001D3D13">
        <w:rPr>
          <w:b w:val="0"/>
          <w:bCs w:val="0"/>
          <w:noProof/>
          <w:sz w:val="40"/>
        </w:rPr>
        <w:drawing>
          <wp:anchor distT="0" distB="0" distL="114300" distR="114300" simplePos="0" relativeHeight="251658240" behindDoc="1" locked="0" layoutInCell="1" allowOverlap="1">
            <wp:simplePos x="0" y="0"/>
            <wp:positionH relativeFrom="margin">
              <wp:posOffset>6113720</wp:posOffset>
            </wp:positionH>
            <wp:positionV relativeFrom="paragraph">
              <wp:posOffset>10633</wp:posOffset>
            </wp:positionV>
            <wp:extent cx="701379" cy="10359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1" t="1387" r="33612" b="556"/>
                    <a:stretch/>
                  </pic:blipFill>
                  <pic:spPr bwMode="auto">
                    <a:xfrm>
                      <a:off x="0" y="0"/>
                      <a:ext cx="709225" cy="104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D13">
        <w:rPr>
          <w:rFonts w:ascii="Arial" w:hAnsi="Arial" w:cs="Arial"/>
          <w:sz w:val="52"/>
        </w:rPr>
        <w:t>Department of Chemistry</w:t>
      </w:r>
    </w:p>
    <w:p w:rsidR="00B50CC4" w:rsidRDefault="00881303" w:rsidP="00B50CC4">
      <w:pPr>
        <w:pStyle w:val="Heading1"/>
        <w:rPr>
          <w:rFonts w:ascii="Arial" w:hAnsi="Arial" w:cs="Arial"/>
          <w:sz w:val="52"/>
        </w:rPr>
      </w:pPr>
      <w:r w:rsidRPr="001D3D13">
        <w:rPr>
          <w:rFonts w:ascii="Arial" w:hAnsi="Arial" w:cs="Arial"/>
          <w:sz w:val="52"/>
        </w:rPr>
        <w:t>Pregnancy timeline checklist</w:t>
      </w:r>
    </w:p>
    <w:p w:rsidR="007057D1" w:rsidRDefault="007057D1" w:rsidP="00B50CC4">
      <w:pPr>
        <w:pStyle w:val="Heading1"/>
        <w:rPr>
          <w:rFonts w:ascii="Arial" w:hAnsi="Arial" w:cs="Arial"/>
          <w:sz w:val="2"/>
        </w:rPr>
      </w:pPr>
    </w:p>
    <w:p w:rsidR="007057D1" w:rsidRPr="004F6D69" w:rsidRDefault="007057D1" w:rsidP="007057D1">
      <w:pPr>
        <w:pStyle w:val="NormalWeb"/>
        <w:rPr>
          <w:rFonts w:ascii="Arial" w:hAnsi="Arial" w:cs="Arial"/>
          <w:color w:val="000000"/>
          <w:sz w:val="20"/>
          <w:szCs w:val="20"/>
        </w:rPr>
      </w:pPr>
      <w:r w:rsidRPr="004F6D69">
        <w:rPr>
          <w:rFonts w:ascii="Arial" w:hAnsi="Arial" w:cs="Arial"/>
          <w:color w:val="000000"/>
          <w:sz w:val="20"/>
          <w:szCs w:val="20"/>
        </w:rPr>
        <w:t xml:space="preserve">This pregnancy checklist is to help guide you through the coming weeks and after the birth of your child.  You are entitled to paid time off for any antenatal appointments, these need to be recorded on </w:t>
      </w:r>
      <w:proofErr w:type="spellStart"/>
      <w:r w:rsidRPr="004F6D69">
        <w:rPr>
          <w:rFonts w:ascii="Arial" w:hAnsi="Arial" w:cs="Arial"/>
          <w:color w:val="000000"/>
          <w:sz w:val="20"/>
          <w:szCs w:val="20"/>
        </w:rPr>
        <w:t>MyView</w:t>
      </w:r>
      <w:proofErr w:type="spellEnd"/>
      <w:r w:rsidRPr="004F6D69">
        <w:rPr>
          <w:rFonts w:ascii="Arial" w:hAnsi="Arial" w:cs="Arial"/>
          <w:color w:val="000000"/>
          <w:sz w:val="20"/>
          <w:szCs w:val="20"/>
        </w:rPr>
        <w:t xml:space="preserve"> however.</w:t>
      </w:r>
    </w:p>
    <w:p w:rsidR="007057D1" w:rsidRPr="004F6D69" w:rsidRDefault="007057D1" w:rsidP="007057D1">
      <w:pPr>
        <w:pStyle w:val="NormalWeb"/>
        <w:rPr>
          <w:rFonts w:ascii="Arial" w:hAnsi="Arial" w:cs="Arial"/>
          <w:b/>
          <w:color w:val="000000"/>
          <w:sz w:val="20"/>
          <w:szCs w:val="20"/>
        </w:rPr>
      </w:pPr>
    </w:p>
    <w:p w:rsidR="007057D1" w:rsidRPr="004F6D69" w:rsidRDefault="007057D1" w:rsidP="007057D1">
      <w:pPr>
        <w:pStyle w:val="NormalWeb"/>
        <w:rPr>
          <w:rFonts w:ascii="Arial" w:hAnsi="Arial" w:cs="Arial"/>
          <w:color w:val="000000"/>
          <w:sz w:val="20"/>
          <w:szCs w:val="20"/>
        </w:rPr>
      </w:pPr>
      <w:r w:rsidRPr="004F6D69">
        <w:rPr>
          <w:rFonts w:ascii="Arial" w:hAnsi="Arial" w:cs="Arial"/>
          <w:b/>
          <w:color w:val="000000"/>
          <w:sz w:val="20"/>
          <w:szCs w:val="20"/>
        </w:rPr>
        <w:t>UCL FAQs - </w:t>
      </w:r>
      <w:hyperlink r:id="rId7" w:history="1">
        <w:r w:rsidRPr="004F6D69">
          <w:rPr>
            <w:rStyle w:val="Hyperlink"/>
            <w:rFonts w:ascii="Arial" w:hAnsi="Arial" w:cs="Arial"/>
            <w:sz w:val="20"/>
            <w:szCs w:val="20"/>
          </w:rPr>
          <w:t>https://www.ucl.ac.uk/human-resources/maternity-paternity-adoption-parental-leave-faqs</w:t>
        </w:r>
      </w:hyperlink>
      <w:bookmarkStart w:id="0" w:name="_GoBack"/>
      <w:bookmarkEnd w:id="0"/>
    </w:p>
    <w:p w:rsidR="007057D1" w:rsidRPr="004F6D69" w:rsidRDefault="007057D1" w:rsidP="007057D1">
      <w:pPr>
        <w:pStyle w:val="NormalWeb"/>
        <w:rPr>
          <w:rFonts w:ascii="Arial" w:hAnsi="Arial" w:cs="Arial"/>
          <w:color w:val="000000"/>
          <w:sz w:val="20"/>
          <w:szCs w:val="20"/>
        </w:rPr>
      </w:pPr>
    </w:p>
    <w:tbl>
      <w:tblPr>
        <w:tblStyle w:val="TableGrid"/>
        <w:tblW w:w="11194" w:type="dxa"/>
        <w:tblLook w:val="04A0" w:firstRow="1" w:lastRow="0" w:firstColumn="1" w:lastColumn="0" w:noHBand="0" w:noVBand="1"/>
      </w:tblPr>
      <w:tblGrid>
        <w:gridCol w:w="1823"/>
        <w:gridCol w:w="9371"/>
      </w:tblGrid>
      <w:tr w:rsidR="00881303" w:rsidRPr="004F6D69" w:rsidTr="00940DB1">
        <w:tc>
          <w:tcPr>
            <w:tcW w:w="0" w:type="auto"/>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Week of pregnancy</w:t>
            </w:r>
          </w:p>
        </w:tc>
        <w:tc>
          <w:tcPr>
            <w:tcW w:w="9371" w:type="dxa"/>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Checklist</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 </w:t>
            </w:r>
          </w:p>
        </w:tc>
        <w:tc>
          <w:tcPr>
            <w:tcW w:w="9371" w:type="dxa"/>
            <w:hideMark/>
          </w:tcPr>
          <w:p w:rsidR="004F6D69" w:rsidRPr="004F6D69" w:rsidRDefault="00A817FA" w:rsidP="00A817FA">
            <w:r w:rsidRPr="004F6D69">
              <w:t xml:space="preserve">Once you have told your Line Manager and the Departmental Senior HR Administrator that you are pregnant, they must review the existing risk assessment(s) for your work and consider any risks to your own health and safety, or that of your unborn child. </w:t>
            </w:r>
          </w:p>
          <w:p w:rsidR="004F6D69" w:rsidRPr="004F6D69" w:rsidRDefault="004F6D69" w:rsidP="00A817FA"/>
          <w:p w:rsidR="004F6D69" w:rsidRPr="004F6D69" w:rsidRDefault="004F6D69" w:rsidP="004F6D69">
            <w:pPr>
              <w:rPr>
                <w:rFonts w:eastAsia="Times New Roman"/>
                <w:bCs/>
                <w:snapToGrid/>
                <w:spacing w:val="0"/>
              </w:rPr>
            </w:pPr>
            <w:r w:rsidRPr="004F6D69">
              <w:rPr>
                <w:rFonts w:eastAsia="Times New Roman"/>
                <w:bCs/>
                <w:snapToGrid/>
                <w:spacing w:val="0"/>
              </w:rPr>
              <w:t>All those that work in a laboratory, must have a full risk assessment carried out by the Departmental Safety Officer.</w:t>
            </w:r>
          </w:p>
          <w:p w:rsidR="004F6D69" w:rsidRPr="004F6D69" w:rsidRDefault="004F6D69" w:rsidP="004F6D69">
            <w:pPr>
              <w:rPr>
                <w:rFonts w:eastAsia="Times New Roman"/>
                <w:bCs/>
                <w:snapToGrid/>
                <w:spacing w:val="0"/>
              </w:rPr>
            </w:pPr>
          </w:p>
          <w:p w:rsidR="004F6D69" w:rsidRPr="004F6D69" w:rsidRDefault="004F6D69" w:rsidP="00A817FA">
            <w:r w:rsidRPr="004F6D69">
              <w:t>Further information on risk assessments can be found below:</w:t>
            </w:r>
          </w:p>
          <w:p w:rsidR="004F6D69" w:rsidRPr="004F6D69" w:rsidRDefault="004F6D69" w:rsidP="00A817FA"/>
          <w:p w:rsidR="004F6D69" w:rsidRPr="004F6D69" w:rsidRDefault="004F6D69" w:rsidP="00A817FA">
            <w:pPr>
              <w:rPr>
                <w:color w:val="1F497D"/>
              </w:rPr>
            </w:pPr>
            <w:r w:rsidRPr="004F6D69">
              <w:t xml:space="preserve">UCL website: </w:t>
            </w:r>
            <w:hyperlink r:id="rId8" w:history="1">
              <w:r w:rsidRPr="004F6D69">
                <w:rPr>
                  <w:rStyle w:val="Hyperlink"/>
                </w:rPr>
                <w:t>https://www.ucl.ac.uk/safety-services/a-z/new-and-expectant-mothers/table-risk-factors</w:t>
              </w:r>
            </w:hyperlink>
          </w:p>
          <w:p w:rsidR="004F6D69" w:rsidRPr="004F6D69" w:rsidRDefault="004F6D69" w:rsidP="00A817FA">
            <w:pPr>
              <w:rPr>
                <w:color w:val="1F497D"/>
              </w:rPr>
            </w:pPr>
          </w:p>
          <w:p w:rsidR="004F6D69" w:rsidRPr="004F6D69" w:rsidRDefault="004F6D69" w:rsidP="00A817FA">
            <w:pPr>
              <w:rPr>
                <w:rStyle w:val="Hyperlink"/>
              </w:rPr>
            </w:pPr>
            <w:r w:rsidRPr="004F6D69">
              <w:t xml:space="preserve">HSE website: </w:t>
            </w:r>
            <w:hyperlink r:id="rId9" w:history="1">
              <w:r w:rsidRPr="004F6D69">
                <w:rPr>
                  <w:rStyle w:val="Hyperlink"/>
                </w:rPr>
                <w:t>http://www.hse.gov.uk/pubns/books/infection-mothers.htm</w:t>
              </w:r>
            </w:hyperlink>
          </w:p>
          <w:p w:rsidR="004F6D69" w:rsidRPr="004F6D69" w:rsidRDefault="004F6D69" w:rsidP="00A817FA">
            <w:pPr>
              <w:rPr>
                <w:rFonts w:eastAsia="Times New Roman"/>
                <w:bCs/>
                <w:snapToGrid/>
                <w:spacing w:val="0"/>
              </w:rPr>
            </w:pPr>
          </w:p>
          <w:p w:rsidR="004F6D69" w:rsidRPr="004F6D69" w:rsidRDefault="004F6D69" w:rsidP="004F6D69">
            <w:pPr>
              <w:rPr>
                <w:color w:val="1F497D"/>
              </w:rPr>
            </w:pPr>
            <w:r w:rsidRPr="004F6D69">
              <w:t xml:space="preserve">Manager’s duties: </w:t>
            </w:r>
            <w:hyperlink r:id="rId10" w:history="1">
              <w:r w:rsidRPr="004F6D69">
                <w:rPr>
                  <w:rStyle w:val="Hyperlink"/>
                </w:rPr>
                <w:t>https://www.ucl.ac.uk/safety-services/a-z/new-and-expectant-mothers</w:t>
              </w:r>
            </w:hyperlink>
            <w:r w:rsidRPr="004F6D69">
              <w:rPr>
                <w:color w:val="1F497D"/>
              </w:rPr>
              <w:t xml:space="preserve"> </w:t>
            </w:r>
          </w:p>
          <w:p w:rsidR="004F6D69" w:rsidRPr="004F6D69" w:rsidRDefault="004F6D69" w:rsidP="00A817FA">
            <w:pPr>
              <w:rPr>
                <w:rFonts w:eastAsia="Times New Roman"/>
                <w:bCs/>
                <w:snapToGrid/>
                <w:spacing w:val="0"/>
              </w:rPr>
            </w:pPr>
          </w:p>
          <w:p w:rsidR="00881303" w:rsidRPr="004F6D69" w:rsidRDefault="00881303" w:rsidP="00B50CC4">
            <w:pPr>
              <w:rPr>
                <w:rFonts w:eastAsia="Times New Roman"/>
                <w:snapToGrid/>
                <w:spacing w:val="0"/>
              </w:rPr>
            </w:pPr>
          </w:p>
        </w:tc>
      </w:tr>
      <w:tr w:rsidR="00881303" w:rsidRPr="004F6D69" w:rsidTr="00940DB1">
        <w:tc>
          <w:tcPr>
            <w:tcW w:w="0" w:type="auto"/>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First trimester</w:t>
            </w:r>
          </w:p>
        </w:tc>
        <w:tc>
          <w:tcPr>
            <w:tcW w:w="9371" w:type="dxa"/>
            <w:shd w:val="clear" w:color="auto" w:fill="DEEAF6" w:themeFill="accent1" w:themeFillTint="33"/>
          </w:tcPr>
          <w:p w:rsidR="00881303" w:rsidRPr="004F6D69" w:rsidRDefault="00881303" w:rsidP="00B50CC4">
            <w:pPr>
              <w:rPr>
                <w:rFonts w:eastAsia="Times New Roman"/>
                <w:b/>
                <w:bCs/>
                <w:snapToGrid/>
                <w:spacing w:val="0"/>
              </w:rPr>
            </w:pPr>
          </w:p>
        </w:tc>
      </w:tr>
      <w:tr w:rsidR="00881303" w:rsidRPr="004F6D69" w:rsidTr="00940DB1">
        <w:trPr>
          <w:trHeight w:val="657"/>
        </w:trPr>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1 -11 weeks</w:t>
            </w:r>
          </w:p>
        </w:tc>
        <w:tc>
          <w:tcPr>
            <w:tcW w:w="9371" w:type="dxa"/>
            <w:hideMark/>
          </w:tcPr>
          <w:p w:rsidR="007057D1" w:rsidRPr="004F6D69" w:rsidRDefault="00881303" w:rsidP="00724007">
            <w:pPr>
              <w:rPr>
                <w:rFonts w:eastAsia="Times New Roman"/>
                <w:snapToGrid/>
                <w:spacing w:val="0"/>
              </w:rPr>
            </w:pPr>
            <w:r w:rsidRPr="004F6D69">
              <w:rPr>
                <w:rFonts w:eastAsia="Times New Roman"/>
                <w:snapToGrid/>
                <w:spacing w:val="0"/>
              </w:rPr>
              <w:t xml:space="preserve">Consider the </w:t>
            </w:r>
            <w:hyperlink r:id="rId11" w:history="1">
              <w:r w:rsidRPr="004F6D69">
                <w:rPr>
                  <w:rStyle w:val="Hyperlink"/>
                  <w:rFonts w:eastAsia="Times New Roman"/>
                  <w:snapToGrid/>
                  <w:spacing w:val="0"/>
                </w:rPr>
                <w:t>Staff health and wellbeing webpages</w:t>
              </w:r>
            </w:hyperlink>
            <w:r w:rsidRPr="004F6D69">
              <w:rPr>
                <w:rFonts w:eastAsia="Times New Roman"/>
                <w:snapToGrid/>
                <w:spacing w:val="0"/>
              </w:rPr>
              <w:t xml:space="preserve"> for information on managing stress, work/life balance and wellbeing initiatives.</w:t>
            </w:r>
          </w:p>
          <w:p w:rsidR="00724007" w:rsidRPr="004F6D69" w:rsidRDefault="00724007" w:rsidP="00724007">
            <w:pPr>
              <w:rPr>
                <w:rFonts w:eastAsia="Times New Roman"/>
                <w:snapToGrid/>
                <w:spacing w:val="0"/>
              </w:rPr>
            </w:pP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12 weeks</w:t>
            </w:r>
          </w:p>
        </w:tc>
        <w:tc>
          <w:tcPr>
            <w:tcW w:w="9371" w:type="dxa"/>
            <w:hideMark/>
          </w:tcPr>
          <w:p w:rsidR="00881303" w:rsidRDefault="00881303" w:rsidP="00B50CC4">
            <w:pPr>
              <w:rPr>
                <w:rFonts w:eastAsia="Times New Roman"/>
                <w:snapToGrid/>
                <w:spacing w:val="0"/>
              </w:rPr>
            </w:pPr>
            <w:r w:rsidRPr="004F6D69">
              <w:rPr>
                <w:rFonts w:eastAsia="Times New Roman"/>
                <w:snapToGrid/>
                <w:spacing w:val="0"/>
              </w:rPr>
              <w:t>Approximate date of first ultrasound scan</w:t>
            </w:r>
            <w:r w:rsidR="005A3F40">
              <w:rPr>
                <w:rFonts w:eastAsia="Times New Roman"/>
                <w:snapToGrid/>
                <w:spacing w:val="0"/>
              </w:rPr>
              <w:t xml:space="preserve"> &amp; screening tests</w:t>
            </w:r>
          </w:p>
          <w:p w:rsidR="004F6D69" w:rsidRPr="004F6D69" w:rsidRDefault="004F6D69" w:rsidP="00B50CC4">
            <w:pPr>
              <w:rPr>
                <w:rFonts w:eastAsia="Times New Roman"/>
                <w:snapToGrid/>
                <w:spacing w:val="0"/>
              </w:rPr>
            </w:pPr>
          </w:p>
          <w:p w:rsidR="00724007" w:rsidRPr="004F6D69" w:rsidRDefault="00724007" w:rsidP="00B50CC4">
            <w:pPr>
              <w:rPr>
                <w:rFonts w:eastAsia="Times New Roman"/>
                <w:snapToGrid/>
                <w:spacing w:val="0"/>
              </w:rPr>
            </w:pPr>
          </w:p>
        </w:tc>
      </w:tr>
      <w:tr w:rsidR="00881303" w:rsidRPr="004F6D69" w:rsidTr="00940DB1">
        <w:tc>
          <w:tcPr>
            <w:tcW w:w="0" w:type="auto"/>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Second trimester</w:t>
            </w:r>
          </w:p>
        </w:tc>
        <w:tc>
          <w:tcPr>
            <w:tcW w:w="9371" w:type="dxa"/>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If you haven't already had your maternity risk assessment this should be arranged with your manager and regular reviews agreed.</w:t>
            </w:r>
            <w:r w:rsidR="00724007" w:rsidRPr="004F6D69">
              <w:rPr>
                <w:rFonts w:eastAsia="Times New Roman"/>
                <w:b/>
                <w:bCs/>
                <w:snapToGrid/>
                <w:spacing w:val="0"/>
              </w:rPr>
              <w:t xml:space="preserve">  This can also be carried out by the departments Safety Officer.</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13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14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15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16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r w:rsidR="005A3F40">
              <w:rPr>
                <w:rFonts w:eastAsia="Times New Roman"/>
                <w:snapToGrid/>
                <w:spacing w:val="0"/>
              </w:rPr>
              <w:t>Book vaccinations – Whooping cough, German Measles &amp; Flu jabs to protect your baby</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17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18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19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20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Approximate date of second ultrasound scan</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21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Your GP/midwife will give you the MATB1 form</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22 weeks</w:t>
            </w:r>
          </w:p>
        </w:tc>
        <w:tc>
          <w:tcPr>
            <w:tcW w:w="9371" w:type="dxa"/>
            <w:hideMark/>
          </w:tcPr>
          <w:p w:rsidR="00881303" w:rsidRPr="004F6D69" w:rsidRDefault="006F0B74" w:rsidP="00B50CC4">
            <w:pPr>
              <w:rPr>
                <w:rFonts w:eastAsia="Times New Roman"/>
                <w:snapToGrid/>
                <w:spacing w:val="0"/>
              </w:rPr>
            </w:pPr>
            <w:r>
              <w:rPr>
                <w:rFonts w:eastAsia="Times New Roman"/>
                <w:snapToGrid/>
                <w:spacing w:val="0"/>
              </w:rPr>
              <w:t>Start looking at childcare options, nurseries get booked up months in advance.</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23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24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25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xml:space="preserve">You must inform your employer and </w:t>
            </w:r>
            <w:r w:rsidR="00D11A5D" w:rsidRPr="004F6D69">
              <w:rPr>
                <w:rFonts w:eastAsia="Times New Roman"/>
                <w:snapToGrid/>
                <w:spacing w:val="0"/>
              </w:rPr>
              <w:t xml:space="preserve">the Departmental Senior HR Administrator by </w:t>
            </w:r>
            <w:r w:rsidRPr="004F6D69">
              <w:rPr>
                <w:rFonts w:eastAsia="Times New Roman"/>
                <w:snapToGrid/>
                <w:spacing w:val="0"/>
              </w:rPr>
              <w:t>the 15th week before your baby is due (</w:t>
            </w:r>
            <w:proofErr w:type="spellStart"/>
            <w:r w:rsidRPr="004F6D69">
              <w:rPr>
                <w:rFonts w:eastAsia="Times New Roman"/>
                <w:snapToGrid/>
                <w:spacing w:val="0"/>
              </w:rPr>
              <w:t>approx</w:t>
            </w:r>
            <w:proofErr w:type="spellEnd"/>
            <w:r w:rsidRPr="004F6D69">
              <w:rPr>
                <w:rFonts w:eastAsia="Times New Roman"/>
                <w:snapToGrid/>
                <w:spacing w:val="0"/>
              </w:rPr>
              <w:t xml:space="preserve"> 25 weeks' pregnant) to qualify for maternity leave and pay (this is the Qualifying Week). Your partner should also have informed their employer by now if they will be taking paternity/maternity support leave.</w:t>
            </w:r>
            <w:r w:rsidR="00D11A5D" w:rsidRPr="004F6D69">
              <w:rPr>
                <w:rFonts w:eastAsia="Times New Roman"/>
                <w:snapToGrid/>
                <w:spacing w:val="0"/>
              </w:rPr>
              <w:t xml:space="preserve">  The Departmental Senior HR Administrator will ask you to complete a Maternity Form and return it with your MATB1 form for processing.</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26 weeks</w:t>
            </w:r>
          </w:p>
        </w:tc>
        <w:tc>
          <w:tcPr>
            <w:tcW w:w="9371" w:type="dxa"/>
            <w:hideMark/>
          </w:tcPr>
          <w:p w:rsidR="00881303" w:rsidRPr="004F6D69" w:rsidRDefault="005A3F40" w:rsidP="00B50CC4">
            <w:pPr>
              <w:rPr>
                <w:rFonts w:eastAsia="Times New Roman"/>
                <w:snapToGrid/>
                <w:spacing w:val="0"/>
              </w:rPr>
            </w:pPr>
            <w:bookmarkStart w:id="1" w:name="_Hlk2678508"/>
            <w:r w:rsidRPr="004F6D69">
              <w:rPr>
                <w:rFonts w:eastAsia="Times New Roman"/>
                <w:snapToGrid/>
                <w:spacing w:val="0"/>
              </w:rPr>
              <w:t xml:space="preserve">If you wish to opt out of the Pension Salary Exchange, you must inform </w:t>
            </w:r>
            <w:r>
              <w:rPr>
                <w:rFonts w:eastAsia="Times New Roman"/>
                <w:snapToGrid/>
                <w:spacing w:val="0"/>
              </w:rPr>
              <w:t>Payroll</w:t>
            </w:r>
            <w:r w:rsidRPr="004F6D69">
              <w:rPr>
                <w:rFonts w:eastAsia="Times New Roman"/>
                <w:snapToGrid/>
                <w:spacing w:val="0"/>
              </w:rPr>
              <w:t xml:space="preserve"> by this week at the latest.</w:t>
            </w:r>
            <w:bookmarkEnd w:id="1"/>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27 weeks</w:t>
            </w:r>
          </w:p>
        </w:tc>
        <w:tc>
          <w:tcPr>
            <w:tcW w:w="9371" w:type="dxa"/>
            <w:hideMark/>
          </w:tcPr>
          <w:p w:rsidR="00881303" w:rsidRPr="004F6D69" w:rsidRDefault="00881303" w:rsidP="00B50CC4">
            <w:pPr>
              <w:rPr>
                <w:rFonts w:eastAsia="Times New Roman"/>
                <w:snapToGrid/>
                <w:spacing w:val="0"/>
              </w:rPr>
            </w:pP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28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lastRenderedPageBreak/>
              <w:t>Third trimester</w:t>
            </w:r>
          </w:p>
        </w:tc>
        <w:tc>
          <w:tcPr>
            <w:tcW w:w="9371" w:type="dxa"/>
            <w:shd w:val="clear" w:color="auto" w:fill="DEEAF6" w:themeFill="accent1" w:themeFillTint="33"/>
            <w:hideMark/>
          </w:tcPr>
          <w:p w:rsidR="00881303" w:rsidRPr="004F6D69" w:rsidRDefault="00881303" w:rsidP="00B50CC4">
            <w:pPr>
              <w:rPr>
                <w:rFonts w:eastAsia="Times New Roman"/>
                <w:b/>
                <w:bCs/>
                <w:snapToGrid/>
                <w:spacing w:val="0"/>
              </w:rPr>
            </w:pPr>
            <w:r w:rsidRPr="004F6D69">
              <w:rPr>
                <w:rFonts w:eastAsia="Times New Roman"/>
                <w:b/>
                <w:bCs/>
                <w:snapToGrid/>
                <w:spacing w:val="0"/>
              </w:rPr>
              <w:t>Ensure you have a maternity risk assessment review this trimester</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29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Your 29th week of pregnancy is the earliest your maternity leave can begin (11th week before the Expected Week of Childbirth (EWC))</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30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31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32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33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34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35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36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xml:space="preserve">Your maternity leave </w:t>
            </w:r>
            <w:r w:rsidRPr="004F6D69">
              <w:rPr>
                <w:rFonts w:eastAsia="Times New Roman"/>
                <w:i/>
                <w:iCs/>
                <w:snapToGrid/>
                <w:spacing w:val="0"/>
              </w:rPr>
              <w:t>may</w:t>
            </w:r>
            <w:r w:rsidRPr="004F6D69">
              <w:rPr>
                <w:rFonts w:eastAsia="Times New Roman"/>
                <w:snapToGrid/>
                <w:spacing w:val="0"/>
              </w:rPr>
              <w:t xml:space="preserve"> start automatically if you are off sick with a pregnancy-related illness during the 4 weeks before your baby is due</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37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Your pregnancy is considered full-term</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38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 </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39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Maternity leave will commence the day after your baby is born, if the actual birth date is earlier than the commencement of maternity leave date you specified</w:t>
            </w:r>
          </w:p>
        </w:tc>
      </w:tr>
      <w:tr w:rsidR="00881303" w:rsidRPr="004F6D69" w:rsidTr="00940DB1">
        <w:tc>
          <w:tcPr>
            <w:tcW w:w="0" w:type="auto"/>
            <w:hideMark/>
          </w:tcPr>
          <w:p w:rsidR="00881303" w:rsidRPr="004F6D69" w:rsidRDefault="00881303" w:rsidP="00B50CC4">
            <w:pPr>
              <w:rPr>
                <w:rFonts w:eastAsia="Times New Roman"/>
                <w:snapToGrid/>
                <w:spacing w:val="0"/>
              </w:rPr>
            </w:pPr>
            <w:r w:rsidRPr="004F6D69">
              <w:rPr>
                <w:rFonts w:eastAsia="Times New Roman"/>
                <w:snapToGrid/>
                <w:spacing w:val="0"/>
              </w:rPr>
              <w:t>40 weeks</w:t>
            </w:r>
          </w:p>
        </w:tc>
        <w:tc>
          <w:tcPr>
            <w:tcW w:w="9371" w:type="dxa"/>
            <w:hideMark/>
          </w:tcPr>
          <w:p w:rsidR="00881303" w:rsidRPr="004F6D69" w:rsidRDefault="00881303" w:rsidP="00B50CC4">
            <w:pPr>
              <w:rPr>
                <w:rFonts w:eastAsia="Times New Roman"/>
                <w:snapToGrid/>
                <w:spacing w:val="0"/>
              </w:rPr>
            </w:pPr>
            <w:r w:rsidRPr="004F6D69">
              <w:rPr>
                <w:rFonts w:eastAsia="Times New Roman"/>
                <w:snapToGrid/>
                <w:spacing w:val="0"/>
              </w:rPr>
              <w:t>Expected Week of Childbirth (EWC)</w:t>
            </w:r>
          </w:p>
        </w:tc>
      </w:tr>
      <w:tr w:rsidR="001D3D13" w:rsidRPr="004F6D69" w:rsidTr="00940DB1">
        <w:tc>
          <w:tcPr>
            <w:tcW w:w="11194" w:type="dxa"/>
            <w:gridSpan w:val="2"/>
            <w:shd w:val="clear" w:color="auto" w:fill="DEEAF6" w:themeFill="accent1" w:themeFillTint="33"/>
            <w:hideMark/>
          </w:tcPr>
          <w:p w:rsidR="001D3D13" w:rsidRPr="004F6D69" w:rsidRDefault="001D3D13" w:rsidP="00B50CC4">
            <w:pPr>
              <w:rPr>
                <w:rFonts w:eastAsia="Times New Roman"/>
                <w:b/>
                <w:bCs/>
                <w:snapToGrid/>
                <w:spacing w:val="0"/>
              </w:rPr>
            </w:pPr>
            <w:r w:rsidRPr="004F6D69">
              <w:rPr>
                <w:rFonts w:eastAsia="Times New Roman"/>
                <w:b/>
                <w:bCs/>
                <w:snapToGrid/>
                <w:spacing w:val="0"/>
              </w:rPr>
              <w:t>After childbirth</w:t>
            </w:r>
          </w:p>
          <w:p w:rsidR="001D3D13" w:rsidRPr="004F6D69" w:rsidRDefault="001D3D13" w:rsidP="00B50CC4">
            <w:pPr>
              <w:rPr>
                <w:rFonts w:eastAsia="Times New Roman"/>
                <w:b/>
                <w:bCs/>
                <w:snapToGrid/>
                <w:spacing w:val="0"/>
              </w:rPr>
            </w:pPr>
            <w:r w:rsidRPr="004F6D69">
              <w:rPr>
                <w:rFonts w:eastAsia="Times New Roman"/>
                <w:b/>
                <w:bCs/>
                <w:snapToGrid/>
                <w:spacing w:val="0"/>
              </w:rPr>
              <w:t> </w:t>
            </w:r>
          </w:p>
        </w:tc>
      </w:tr>
      <w:tr w:rsidR="001D3D13" w:rsidRPr="004F6D69" w:rsidTr="00940DB1">
        <w:tc>
          <w:tcPr>
            <w:tcW w:w="11194" w:type="dxa"/>
            <w:gridSpan w:val="2"/>
            <w:hideMark/>
          </w:tcPr>
          <w:p w:rsidR="001D3D13" w:rsidRPr="004F6D69" w:rsidRDefault="001D3D13" w:rsidP="00B50CC4">
            <w:pPr>
              <w:rPr>
                <w:rFonts w:eastAsia="Times New Roman"/>
                <w:snapToGrid/>
                <w:spacing w:val="0"/>
              </w:rPr>
            </w:pPr>
            <w:r w:rsidRPr="004F6D69">
              <w:rPr>
                <w:rFonts w:eastAsia="Times New Roman"/>
                <w:snapToGrid/>
                <w:spacing w:val="0"/>
              </w:rPr>
              <w:t> </w:t>
            </w:r>
          </w:p>
          <w:p w:rsidR="001D3D13" w:rsidRPr="004F6D69" w:rsidRDefault="001D3D13" w:rsidP="001D3D13">
            <w:pPr>
              <w:pStyle w:val="ListParagraph"/>
              <w:numPr>
                <w:ilvl w:val="0"/>
                <w:numId w:val="1"/>
              </w:numPr>
              <w:ind w:left="360"/>
              <w:rPr>
                <w:rFonts w:eastAsia="Times New Roman"/>
                <w:snapToGrid/>
                <w:spacing w:val="0"/>
              </w:rPr>
            </w:pPr>
            <w:r w:rsidRPr="004F6D69">
              <w:rPr>
                <w:rFonts w:eastAsia="Times New Roman"/>
                <w:snapToGrid/>
                <w:spacing w:val="0"/>
              </w:rPr>
              <w:t>New mothers are not allowed to return to work within 2 weeks after their baby is born, for health and safety reasons.</w:t>
            </w:r>
          </w:p>
          <w:p w:rsidR="001D3D13" w:rsidRPr="004F6D69" w:rsidRDefault="001D3D13" w:rsidP="001D3D13">
            <w:pPr>
              <w:rPr>
                <w:rFonts w:eastAsia="Times New Roman"/>
                <w:snapToGrid/>
                <w:spacing w:val="0"/>
              </w:rPr>
            </w:pPr>
          </w:p>
          <w:p w:rsidR="001D3D13" w:rsidRPr="004F6D69" w:rsidRDefault="001D3D13" w:rsidP="001D3D13">
            <w:pPr>
              <w:pStyle w:val="ListParagraph"/>
              <w:numPr>
                <w:ilvl w:val="0"/>
                <w:numId w:val="1"/>
              </w:numPr>
              <w:ind w:left="360"/>
              <w:rPr>
                <w:rFonts w:eastAsia="Times New Roman"/>
                <w:snapToGrid/>
                <w:spacing w:val="0"/>
              </w:rPr>
            </w:pPr>
            <w:r w:rsidRPr="004F6D69">
              <w:rPr>
                <w:rFonts w:eastAsia="Times New Roman"/>
                <w:snapToGrid/>
                <w:spacing w:val="0"/>
              </w:rPr>
              <w:t xml:space="preserve">You may take up to 10 </w:t>
            </w:r>
            <w:hyperlink r:id="rId12" w:history="1">
              <w:r w:rsidRPr="004F6D69">
                <w:rPr>
                  <w:rFonts w:eastAsia="Times New Roman"/>
                  <w:snapToGrid/>
                  <w:color w:val="0000FF"/>
                  <w:spacing w:val="0"/>
                  <w:u w:val="single"/>
                </w:rPr>
                <w:t>Keeping in Touch (KIT days)</w:t>
              </w:r>
            </w:hyperlink>
            <w:r w:rsidRPr="004F6D69">
              <w:rPr>
                <w:rFonts w:eastAsia="Times New Roman"/>
                <w:snapToGrid/>
                <w:spacing w:val="0"/>
              </w:rPr>
              <w:t xml:space="preserve"> (section 4.43) during your maternity leave.</w:t>
            </w:r>
          </w:p>
          <w:p w:rsidR="001D3D13" w:rsidRPr="004F6D69" w:rsidRDefault="001D3D13" w:rsidP="001D3D13">
            <w:pPr>
              <w:rPr>
                <w:rFonts w:eastAsia="Times New Roman"/>
                <w:snapToGrid/>
                <w:spacing w:val="0"/>
              </w:rPr>
            </w:pPr>
          </w:p>
          <w:p w:rsidR="001D3D13" w:rsidRPr="004F6D69" w:rsidRDefault="001D3D13" w:rsidP="001D3D13">
            <w:pPr>
              <w:pStyle w:val="ListParagraph"/>
              <w:numPr>
                <w:ilvl w:val="0"/>
                <w:numId w:val="1"/>
              </w:numPr>
              <w:ind w:left="360"/>
              <w:rPr>
                <w:rFonts w:eastAsia="Times New Roman"/>
                <w:snapToGrid/>
                <w:spacing w:val="0"/>
              </w:rPr>
            </w:pPr>
            <w:r w:rsidRPr="004F6D69">
              <w:rPr>
                <w:rFonts w:eastAsia="Times New Roman"/>
                <w:snapToGrid/>
                <w:spacing w:val="0"/>
              </w:rPr>
              <w:t>If you are returning to work within six months of having the baby or you are still breastfeeding when you return than a further maternity risk assessment</w:t>
            </w:r>
            <w:r w:rsidRPr="004F6D69">
              <w:rPr>
                <w:rFonts w:eastAsia="Times New Roman"/>
                <w:snapToGrid/>
                <w:spacing w:val="0"/>
                <w:u w:val="single"/>
              </w:rPr>
              <w:t xml:space="preserve"> </w:t>
            </w:r>
            <w:r w:rsidRPr="004F6D69">
              <w:rPr>
                <w:rFonts w:eastAsia="Times New Roman"/>
                <w:snapToGrid/>
                <w:spacing w:val="0"/>
              </w:rPr>
              <w:t>should be carried out. The University regards it as best practice to offer a risk assessment to all returning mothers even if they are returning after 6 months or are not breastfeeding.</w:t>
            </w:r>
          </w:p>
          <w:p w:rsidR="001D3D13" w:rsidRPr="004F6D69" w:rsidRDefault="001D3D13" w:rsidP="001D3D13">
            <w:pPr>
              <w:pStyle w:val="ListParagraph"/>
              <w:rPr>
                <w:rFonts w:eastAsia="Times New Roman"/>
                <w:snapToGrid/>
                <w:spacing w:val="0"/>
              </w:rPr>
            </w:pPr>
          </w:p>
          <w:p w:rsidR="001D3D13" w:rsidRPr="004F6D69" w:rsidRDefault="001D3D13" w:rsidP="001D3D13">
            <w:pPr>
              <w:pStyle w:val="ListParagraph"/>
              <w:numPr>
                <w:ilvl w:val="0"/>
                <w:numId w:val="1"/>
              </w:numPr>
              <w:ind w:left="360"/>
              <w:rPr>
                <w:rFonts w:eastAsia="Times New Roman"/>
                <w:snapToGrid/>
                <w:spacing w:val="0"/>
              </w:rPr>
            </w:pPr>
            <w:r w:rsidRPr="004F6D69">
              <w:rPr>
                <w:rFonts w:eastAsia="Times New Roman"/>
                <w:snapToGrid/>
                <w:spacing w:val="0"/>
              </w:rPr>
              <w:t>The department has a family friendly room for parents wishing to feed their child, this is available on the ground floor of the CIB.</w:t>
            </w:r>
          </w:p>
          <w:p w:rsidR="001D3D13" w:rsidRPr="004F6D69" w:rsidRDefault="001D3D13" w:rsidP="001D3D13">
            <w:pPr>
              <w:rPr>
                <w:rFonts w:eastAsia="Times New Roman"/>
                <w:snapToGrid/>
                <w:spacing w:val="0"/>
              </w:rPr>
            </w:pPr>
          </w:p>
          <w:p w:rsidR="001D3D13" w:rsidRPr="004F6D69" w:rsidRDefault="001D3D13" w:rsidP="001D3D13">
            <w:pPr>
              <w:pStyle w:val="ListParagraph"/>
              <w:ind w:left="360"/>
              <w:rPr>
                <w:rFonts w:eastAsia="Times New Roman"/>
                <w:snapToGrid/>
                <w:spacing w:val="0"/>
              </w:rPr>
            </w:pPr>
          </w:p>
        </w:tc>
      </w:tr>
    </w:tbl>
    <w:p w:rsidR="001D3D13" w:rsidRPr="004F6D69" w:rsidRDefault="001D3D13" w:rsidP="00F8558F"/>
    <w:p w:rsidR="00F8558F" w:rsidRPr="004F6D69" w:rsidRDefault="00F8558F" w:rsidP="00F8558F">
      <w:r w:rsidRPr="004F6D69">
        <w:t>A quick guide to your UCL parental leave entitlements*:</w:t>
      </w:r>
    </w:p>
    <w:tbl>
      <w:tblPr>
        <w:tblStyle w:val="GridTable4-Accent1"/>
        <w:tblW w:w="0" w:type="auto"/>
        <w:tblLook w:val="04A0" w:firstRow="1" w:lastRow="0" w:firstColumn="1" w:lastColumn="0" w:noHBand="0" w:noVBand="1"/>
      </w:tblPr>
      <w:tblGrid>
        <w:gridCol w:w="2547"/>
        <w:gridCol w:w="1276"/>
        <w:gridCol w:w="6967"/>
      </w:tblGrid>
      <w:tr w:rsidR="00F8558F" w:rsidRPr="004F6D69" w:rsidTr="00F85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r w:rsidRPr="004F6D69">
              <w:t>Type of Leave</w:t>
            </w:r>
          </w:p>
        </w:tc>
        <w:tc>
          <w:tcPr>
            <w:tcW w:w="1276" w:type="dxa"/>
          </w:tcPr>
          <w:p w:rsidR="00F8558F" w:rsidRPr="004F6D69" w:rsidRDefault="00F8558F" w:rsidP="00F8558F">
            <w:pPr>
              <w:cnfStyle w:val="100000000000" w:firstRow="1" w:lastRow="0" w:firstColumn="0" w:lastColumn="0" w:oddVBand="0" w:evenVBand="0" w:oddHBand="0" w:evenHBand="0" w:firstRowFirstColumn="0" w:firstRowLastColumn="0" w:lastRowFirstColumn="0" w:lastRowLastColumn="0"/>
            </w:pPr>
            <w:r w:rsidRPr="004F6D69">
              <w:t>Length</w:t>
            </w:r>
          </w:p>
        </w:tc>
        <w:tc>
          <w:tcPr>
            <w:tcW w:w="6967" w:type="dxa"/>
          </w:tcPr>
          <w:p w:rsidR="00F8558F" w:rsidRPr="004F6D69" w:rsidRDefault="00F8558F" w:rsidP="00F8558F">
            <w:pPr>
              <w:cnfStyle w:val="100000000000" w:firstRow="1" w:lastRow="0" w:firstColumn="0" w:lastColumn="0" w:oddVBand="0" w:evenVBand="0" w:oddHBand="0" w:evenHBand="0" w:firstRowFirstColumn="0" w:firstRowLastColumn="0" w:lastRowFirstColumn="0" w:lastRowLastColumn="0"/>
            </w:pPr>
            <w:r w:rsidRPr="004F6D69">
              <w:t>Additional Information</w:t>
            </w:r>
          </w:p>
        </w:tc>
      </w:tr>
      <w:tr w:rsidR="00F8558F" w:rsidRPr="004F6D69" w:rsidTr="00F85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pPr>
              <w:rPr>
                <w:b w:val="0"/>
              </w:rPr>
            </w:pPr>
            <w:r w:rsidRPr="004F6D69">
              <w:rPr>
                <w:b w:val="0"/>
              </w:rPr>
              <w:t>Maternity Leave</w:t>
            </w:r>
          </w:p>
        </w:tc>
        <w:tc>
          <w:tcPr>
            <w:tcW w:w="1276"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52 weeks</w:t>
            </w:r>
          </w:p>
        </w:tc>
        <w:tc>
          <w:tcPr>
            <w:tcW w:w="6967"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The first two weeks of maternity leave following birth are compulsory.</w:t>
            </w:r>
          </w:p>
        </w:tc>
      </w:tr>
      <w:tr w:rsidR="00F8558F" w:rsidRPr="004F6D69" w:rsidTr="00F8558F">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pPr>
              <w:rPr>
                <w:b w:val="0"/>
              </w:rPr>
            </w:pPr>
            <w:r w:rsidRPr="004F6D69">
              <w:rPr>
                <w:b w:val="0"/>
              </w:rPr>
              <w:t>Paternity Leave</w:t>
            </w:r>
          </w:p>
        </w:tc>
        <w:tc>
          <w:tcPr>
            <w:tcW w:w="1276"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4 weeks</w:t>
            </w:r>
          </w:p>
        </w:tc>
        <w:tc>
          <w:tcPr>
            <w:tcW w:w="6967"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p>
        </w:tc>
      </w:tr>
      <w:tr w:rsidR="00F8558F" w:rsidRPr="004F6D69" w:rsidTr="00F85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pPr>
              <w:rPr>
                <w:b w:val="0"/>
              </w:rPr>
            </w:pPr>
            <w:r w:rsidRPr="004F6D69">
              <w:rPr>
                <w:b w:val="0"/>
              </w:rPr>
              <w:t>Ordinary Parental Leave</w:t>
            </w:r>
          </w:p>
        </w:tc>
        <w:tc>
          <w:tcPr>
            <w:tcW w:w="1276"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18 weeks</w:t>
            </w:r>
          </w:p>
        </w:tc>
        <w:tc>
          <w:tcPr>
            <w:tcW w:w="6967"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Ordinary Parental Leave can be taken up to the child’s 18th birthday in blocks of up to four weeks (as approved by your line manager). OPL requires 12 months’ continuous service before being taken.</w:t>
            </w:r>
          </w:p>
        </w:tc>
      </w:tr>
      <w:tr w:rsidR="00F8558F" w:rsidRPr="004F6D69" w:rsidTr="00F8558F">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pPr>
              <w:rPr>
                <w:b w:val="0"/>
              </w:rPr>
            </w:pPr>
            <w:r w:rsidRPr="004F6D69">
              <w:rPr>
                <w:b w:val="0"/>
              </w:rPr>
              <w:t>Shared Parental Leave</w:t>
            </w:r>
          </w:p>
        </w:tc>
        <w:tc>
          <w:tcPr>
            <w:tcW w:w="1276"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52 weeks</w:t>
            </w:r>
          </w:p>
        </w:tc>
        <w:tc>
          <w:tcPr>
            <w:tcW w:w="6967"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Any Shared Parental Leave taken will reduce the mother’s maternity leave entitlement by an equivalent amount.</w:t>
            </w:r>
          </w:p>
        </w:tc>
      </w:tr>
      <w:tr w:rsidR="00F8558F" w:rsidRPr="004F6D69" w:rsidTr="00F85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8558F" w:rsidRPr="004F6D69" w:rsidRDefault="00F8558F" w:rsidP="00F8558F">
            <w:pPr>
              <w:rPr>
                <w:b w:val="0"/>
              </w:rPr>
            </w:pPr>
            <w:r w:rsidRPr="004F6D69">
              <w:rPr>
                <w:b w:val="0"/>
              </w:rPr>
              <w:t>Sabbatical Leave</w:t>
            </w:r>
          </w:p>
        </w:tc>
        <w:tc>
          <w:tcPr>
            <w:tcW w:w="1276"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1 term</w:t>
            </w:r>
          </w:p>
        </w:tc>
        <w:tc>
          <w:tcPr>
            <w:tcW w:w="6967"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Only applies to research-active academic staff at the discretion of the Dean.</w:t>
            </w:r>
          </w:p>
        </w:tc>
      </w:tr>
    </w:tbl>
    <w:p w:rsidR="00F8558F" w:rsidRPr="004F6D69" w:rsidRDefault="00F8558F" w:rsidP="00F8558F"/>
    <w:tbl>
      <w:tblPr>
        <w:tblStyle w:val="GridTable4-Accent1"/>
        <w:tblW w:w="0" w:type="auto"/>
        <w:tblLook w:val="04A0" w:firstRow="1" w:lastRow="0" w:firstColumn="1" w:lastColumn="0" w:noHBand="0" w:noVBand="1"/>
      </w:tblPr>
      <w:tblGrid>
        <w:gridCol w:w="3539"/>
        <w:gridCol w:w="2268"/>
        <w:gridCol w:w="2285"/>
        <w:gridCol w:w="2698"/>
      </w:tblGrid>
      <w:tr w:rsidR="00F8558F" w:rsidRPr="004F6D69" w:rsidTr="00F85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8558F" w:rsidRPr="004F6D69" w:rsidRDefault="00F8558F" w:rsidP="00F8558F">
            <w:pPr>
              <w:rPr>
                <w:b w:val="0"/>
              </w:rPr>
            </w:pPr>
            <w:r w:rsidRPr="004F6D69">
              <w:rPr>
                <w:b w:val="0"/>
              </w:rPr>
              <w:t>Type of Pay</w:t>
            </w:r>
          </w:p>
        </w:tc>
        <w:tc>
          <w:tcPr>
            <w:tcW w:w="2268" w:type="dxa"/>
          </w:tcPr>
          <w:p w:rsidR="00F8558F" w:rsidRPr="004F6D69" w:rsidRDefault="00F8558F" w:rsidP="00F8558F">
            <w:pPr>
              <w:cnfStyle w:val="100000000000" w:firstRow="1" w:lastRow="0" w:firstColumn="0" w:lastColumn="0" w:oddVBand="0" w:evenVBand="0" w:oddHBand="0" w:evenHBand="0" w:firstRowFirstColumn="0" w:firstRowLastColumn="0" w:lastRowFirstColumn="0" w:lastRowLastColumn="0"/>
              <w:rPr>
                <w:b w:val="0"/>
              </w:rPr>
            </w:pPr>
            <w:r w:rsidRPr="004F6D69">
              <w:rPr>
                <w:b w:val="0"/>
              </w:rPr>
              <w:t>Length</w:t>
            </w:r>
          </w:p>
        </w:tc>
        <w:tc>
          <w:tcPr>
            <w:tcW w:w="2285" w:type="dxa"/>
          </w:tcPr>
          <w:p w:rsidR="00F8558F" w:rsidRPr="004F6D69" w:rsidRDefault="00F8558F" w:rsidP="00F8558F">
            <w:pPr>
              <w:cnfStyle w:val="100000000000" w:firstRow="1" w:lastRow="0" w:firstColumn="0" w:lastColumn="0" w:oddVBand="0" w:evenVBand="0" w:oddHBand="0" w:evenHBand="0" w:firstRowFirstColumn="0" w:firstRowLastColumn="0" w:lastRowFirstColumn="0" w:lastRowLastColumn="0"/>
              <w:rPr>
                <w:b w:val="0"/>
              </w:rPr>
            </w:pPr>
            <w:r w:rsidRPr="004F6D69">
              <w:rPr>
                <w:b w:val="0"/>
              </w:rPr>
              <w:t>How much?</w:t>
            </w:r>
          </w:p>
        </w:tc>
        <w:tc>
          <w:tcPr>
            <w:tcW w:w="2698" w:type="dxa"/>
          </w:tcPr>
          <w:p w:rsidR="00F8558F" w:rsidRPr="004F6D69" w:rsidRDefault="00F8558F" w:rsidP="00F8558F">
            <w:pPr>
              <w:cnfStyle w:val="100000000000" w:firstRow="1" w:lastRow="0" w:firstColumn="0" w:lastColumn="0" w:oddVBand="0" w:evenVBand="0" w:oddHBand="0" w:evenHBand="0" w:firstRowFirstColumn="0" w:firstRowLastColumn="0" w:lastRowFirstColumn="0" w:lastRowLastColumn="0"/>
              <w:rPr>
                <w:b w:val="0"/>
              </w:rPr>
            </w:pPr>
            <w:r w:rsidRPr="004F6D69">
              <w:rPr>
                <w:b w:val="0"/>
              </w:rPr>
              <w:t>Required Length of Service</w:t>
            </w:r>
          </w:p>
        </w:tc>
      </w:tr>
      <w:tr w:rsidR="00F8558F" w:rsidRPr="004F6D69" w:rsidTr="00F85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8558F" w:rsidRPr="004F6D69" w:rsidRDefault="00F8558F" w:rsidP="00F8558F">
            <w:pPr>
              <w:rPr>
                <w:b w:val="0"/>
              </w:rPr>
            </w:pPr>
            <w:r w:rsidRPr="004F6D69">
              <w:rPr>
                <w:b w:val="0"/>
              </w:rPr>
              <w:t>Occupational Maternity Pay</w:t>
            </w:r>
          </w:p>
        </w:tc>
        <w:tc>
          <w:tcPr>
            <w:tcW w:w="2268"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18 weeks</w:t>
            </w:r>
          </w:p>
        </w:tc>
        <w:tc>
          <w:tcPr>
            <w:tcW w:w="2285"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Full pay</w:t>
            </w:r>
          </w:p>
        </w:tc>
        <w:tc>
          <w:tcPr>
            <w:tcW w:w="2698"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None</w:t>
            </w:r>
          </w:p>
        </w:tc>
      </w:tr>
      <w:tr w:rsidR="00F8558F" w:rsidRPr="004F6D69" w:rsidTr="00F8558F">
        <w:tc>
          <w:tcPr>
            <w:cnfStyle w:val="001000000000" w:firstRow="0" w:lastRow="0" w:firstColumn="1" w:lastColumn="0" w:oddVBand="0" w:evenVBand="0" w:oddHBand="0" w:evenHBand="0" w:firstRowFirstColumn="0" w:firstRowLastColumn="0" w:lastRowFirstColumn="0" w:lastRowLastColumn="0"/>
            <w:tcW w:w="3539" w:type="dxa"/>
          </w:tcPr>
          <w:p w:rsidR="00F8558F" w:rsidRPr="004F6D69" w:rsidRDefault="00F8558F" w:rsidP="00F8558F">
            <w:pPr>
              <w:rPr>
                <w:b w:val="0"/>
              </w:rPr>
            </w:pPr>
            <w:r w:rsidRPr="004F6D69">
              <w:rPr>
                <w:b w:val="0"/>
              </w:rPr>
              <w:t>Occupational Paternity Pay</w:t>
            </w:r>
          </w:p>
        </w:tc>
        <w:tc>
          <w:tcPr>
            <w:tcW w:w="2268"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4 weeks</w:t>
            </w:r>
          </w:p>
        </w:tc>
        <w:tc>
          <w:tcPr>
            <w:tcW w:w="2285"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Full pay</w:t>
            </w:r>
          </w:p>
        </w:tc>
        <w:tc>
          <w:tcPr>
            <w:tcW w:w="2698" w:type="dxa"/>
          </w:tcPr>
          <w:p w:rsidR="00F8558F" w:rsidRPr="004F6D69" w:rsidRDefault="00F8558F" w:rsidP="00F8558F">
            <w:pPr>
              <w:cnfStyle w:val="000000000000" w:firstRow="0" w:lastRow="0" w:firstColumn="0" w:lastColumn="0" w:oddVBand="0" w:evenVBand="0" w:oddHBand="0" w:evenHBand="0" w:firstRowFirstColumn="0" w:firstRowLastColumn="0" w:lastRowFirstColumn="0" w:lastRowLastColumn="0"/>
            </w:pPr>
            <w:r w:rsidRPr="004F6D69">
              <w:t>None</w:t>
            </w:r>
          </w:p>
        </w:tc>
      </w:tr>
      <w:tr w:rsidR="00F8558F" w:rsidRPr="004F6D69" w:rsidTr="00F85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8558F" w:rsidRPr="004F6D69" w:rsidRDefault="00F8558F" w:rsidP="00F8558F">
            <w:pPr>
              <w:rPr>
                <w:b w:val="0"/>
              </w:rPr>
            </w:pPr>
            <w:r w:rsidRPr="004F6D69">
              <w:rPr>
                <w:b w:val="0"/>
              </w:rPr>
              <w:t>Occupational Shared Parental Pay</w:t>
            </w:r>
          </w:p>
        </w:tc>
        <w:tc>
          <w:tcPr>
            <w:tcW w:w="2268"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18 weeks</w:t>
            </w:r>
          </w:p>
        </w:tc>
        <w:tc>
          <w:tcPr>
            <w:tcW w:w="2285"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Full pay</w:t>
            </w:r>
          </w:p>
        </w:tc>
        <w:tc>
          <w:tcPr>
            <w:tcW w:w="2698" w:type="dxa"/>
          </w:tcPr>
          <w:p w:rsidR="00F8558F" w:rsidRPr="004F6D69" w:rsidRDefault="00F8558F" w:rsidP="00F8558F">
            <w:pPr>
              <w:cnfStyle w:val="000000100000" w:firstRow="0" w:lastRow="0" w:firstColumn="0" w:lastColumn="0" w:oddVBand="0" w:evenVBand="0" w:oddHBand="1" w:evenHBand="0" w:firstRowFirstColumn="0" w:firstRowLastColumn="0" w:lastRowFirstColumn="0" w:lastRowLastColumn="0"/>
            </w:pPr>
            <w:r w:rsidRPr="004F6D69">
              <w:t>None</w:t>
            </w:r>
          </w:p>
        </w:tc>
      </w:tr>
    </w:tbl>
    <w:p w:rsidR="00F8558F" w:rsidRPr="004F6D69" w:rsidRDefault="00F8558F" w:rsidP="00F8558F"/>
    <w:p w:rsidR="00940DB1" w:rsidRPr="004F6D69" w:rsidRDefault="00F8558F" w:rsidP="00F8558F">
      <w:r w:rsidRPr="004F6D69">
        <w:t xml:space="preserve">*Please note that your statutory entitlements will depend on your personal circumstances. Please refer to the HR policies and speak to UCL HR Employment Contracts Administration for information regarding your individual entitlement. The UCL maternity leave calculator can be found on the UCL HR website: https:// </w:t>
      </w:r>
      <w:hyperlink r:id="rId13" w:history="1">
        <w:r w:rsidR="00940DB1" w:rsidRPr="004F6D69">
          <w:rPr>
            <w:rStyle w:val="Hyperlink"/>
          </w:rPr>
          <w:t>www.ucl.ac.uk/hr/docs/maternity_calculator.php</w:t>
        </w:r>
      </w:hyperlink>
      <w:r w:rsidRPr="004F6D69">
        <w:t>.</w:t>
      </w:r>
    </w:p>
    <w:p w:rsidR="00940DB1" w:rsidRPr="00940DB1" w:rsidRDefault="00940DB1" w:rsidP="00F8558F">
      <w:pPr>
        <w:rPr>
          <w:sz w:val="22"/>
        </w:rPr>
      </w:pPr>
    </w:p>
    <w:sectPr w:rsidR="00940DB1" w:rsidRPr="00940DB1" w:rsidSect="00B50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7655"/>
    <w:multiLevelType w:val="hybridMultilevel"/>
    <w:tmpl w:val="B9C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03"/>
    <w:rsid w:val="001D3D13"/>
    <w:rsid w:val="002F3FF8"/>
    <w:rsid w:val="004F6D69"/>
    <w:rsid w:val="00544BFA"/>
    <w:rsid w:val="00557523"/>
    <w:rsid w:val="005A3F40"/>
    <w:rsid w:val="006F0B74"/>
    <w:rsid w:val="007057D1"/>
    <w:rsid w:val="00724007"/>
    <w:rsid w:val="007C31D4"/>
    <w:rsid w:val="00881303"/>
    <w:rsid w:val="00940DB1"/>
    <w:rsid w:val="00A817FA"/>
    <w:rsid w:val="00A921A6"/>
    <w:rsid w:val="00B50CC4"/>
    <w:rsid w:val="00B818C2"/>
    <w:rsid w:val="00D11A5D"/>
    <w:rsid w:val="00F8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B3DB"/>
  <w15:chartTrackingRefBased/>
  <w15:docId w15:val="{35752BF2-A5B0-41D5-A9AF-94B40A8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napToGrid w:val="0"/>
        <w:spacing w:val="-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1303"/>
    <w:pPr>
      <w:spacing w:before="100" w:beforeAutospacing="1" w:after="100" w:afterAutospacing="1" w:line="240" w:lineRule="auto"/>
      <w:outlineLvl w:val="0"/>
    </w:pPr>
    <w:rPr>
      <w:rFonts w:ascii="Times New Roman" w:eastAsia="Times New Roman" w:hAnsi="Times New Roman" w:cs="Times New Roman"/>
      <w:b/>
      <w:bCs/>
      <w:snapToGrid/>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03"/>
    <w:rPr>
      <w:rFonts w:ascii="Times New Roman" w:eastAsia="Times New Roman" w:hAnsi="Times New Roman" w:cs="Times New Roman"/>
      <w:b/>
      <w:bCs/>
      <w:snapToGrid/>
      <w:spacing w:val="0"/>
      <w:kern w:val="36"/>
      <w:sz w:val="48"/>
      <w:szCs w:val="48"/>
    </w:rPr>
  </w:style>
  <w:style w:type="character" w:styleId="Strong">
    <w:name w:val="Strong"/>
    <w:basedOn w:val="DefaultParagraphFont"/>
    <w:uiPriority w:val="22"/>
    <w:qFormat/>
    <w:rsid w:val="00881303"/>
    <w:rPr>
      <w:b/>
      <w:bCs/>
    </w:rPr>
  </w:style>
  <w:style w:type="character" w:styleId="Hyperlink">
    <w:name w:val="Hyperlink"/>
    <w:basedOn w:val="DefaultParagraphFont"/>
    <w:uiPriority w:val="99"/>
    <w:unhideWhenUsed/>
    <w:rsid w:val="00881303"/>
    <w:rPr>
      <w:color w:val="0000FF"/>
      <w:u w:val="single"/>
    </w:rPr>
  </w:style>
  <w:style w:type="character" w:styleId="Emphasis">
    <w:name w:val="Emphasis"/>
    <w:basedOn w:val="DefaultParagraphFont"/>
    <w:uiPriority w:val="20"/>
    <w:qFormat/>
    <w:rsid w:val="00881303"/>
    <w:rPr>
      <w:i/>
      <w:iCs/>
    </w:rPr>
  </w:style>
  <w:style w:type="table" w:styleId="TableGrid">
    <w:name w:val="Table Grid"/>
    <w:basedOn w:val="TableNormal"/>
    <w:uiPriority w:val="39"/>
    <w:rsid w:val="0088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CC4"/>
    <w:rPr>
      <w:color w:val="605E5C"/>
      <w:shd w:val="clear" w:color="auto" w:fill="E1DFDD"/>
    </w:rPr>
  </w:style>
  <w:style w:type="character" w:styleId="CommentReference">
    <w:name w:val="annotation reference"/>
    <w:basedOn w:val="DefaultParagraphFont"/>
    <w:uiPriority w:val="99"/>
    <w:semiHidden/>
    <w:unhideWhenUsed/>
    <w:rsid w:val="00B50CC4"/>
    <w:rPr>
      <w:sz w:val="16"/>
      <w:szCs w:val="16"/>
    </w:rPr>
  </w:style>
  <w:style w:type="paragraph" w:styleId="CommentText">
    <w:name w:val="annotation text"/>
    <w:basedOn w:val="Normal"/>
    <w:link w:val="CommentTextChar"/>
    <w:uiPriority w:val="99"/>
    <w:semiHidden/>
    <w:unhideWhenUsed/>
    <w:rsid w:val="00B50CC4"/>
    <w:pPr>
      <w:spacing w:line="240" w:lineRule="auto"/>
    </w:pPr>
  </w:style>
  <w:style w:type="character" w:customStyle="1" w:styleId="CommentTextChar">
    <w:name w:val="Comment Text Char"/>
    <w:basedOn w:val="DefaultParagraphFont"/>
    <w:link w:val="CommentText"/>
    <w:uiPriority w:val="99"/>
    <w:semiHidden/>
    <w:rsid w:val="00B50CC4"/>
  </w:style>
  <w:style w:type="paragraph" w:styleId="CommentSubject">
    <w:name w:val="annotation subject"/>
    <w:basedOn w:val="CommentText"/>
    <w:next w:val="CommentText"/>
    <w:link w:val="CommentSubjectChar"/>
    <w:uiPriority w:val="99"/>
    <w:semiHidden/>
    <w:unhideWhenUsed/>
    <w:rsid w:val="00B50CC4"/>
    <w:rPr>
      <w:b/>
      <w:bCs/>
    </w:rPr>
  </w:style>
  <w:style w:type="character" w:customStyle="1" w:styleId="CommentSubjectChar">
    <w:name w:val="Comment Subject Char"/>
    <w:basedOn w:val="CommentTextChar"/>
    <w:link w:val="CommentSubject"/>
    <w:uiPriority w:val="99"/>
    <w:semiHidden/>
    <w:rsid w:val="00B50CC4"/>
    <w:rPr>
      <w:b/>
      <w:bCs/>
    </w:rPr>
  </w:style>
  <w:style w:type="paragraph" w:styleId="BalloonText">
    <w:name w:val="Balloon Text"/>
    <w:basedOn w:val="Normal"/>
    <w:link w:val="BalloonTextChar"/>
    <w:uiPriority w:val="99"/>
    <w:semiHidden/>
    <w:unhideWhenUsed/>
    <w:rsid w:val="00B50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C4"/>
    <w:rPr>
      <w:rFonts w:ascii="Segoe UI" w:hAnsi="Segoe UI" w:cs="Segoe UI"/>
      <w:sz w:val="18"/>
      <w:szCs w:val="18"/>
    </w:rPr>
  </w:style>
  <w:style w:type="table" w:styleId="GridTable4-Accent1">
    <w:name w:val="Grid Table 4 Accent 1"/>
    <w:basedOn w:val="TableNormal"/>
    <w:uiPriority w:val="49"/>
    <w:rsid w:val="00F855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D3D13"/>
    <w:pPr>
      <w:ind w:left="720"/>
      <w:contextualSpacing/>
    </w:pPr>
  </w:style>
  <w:style w:type="paragraph" w:styleId="NormalWeb">
    <w:name w:val="Normal (Web)"/>
    <w:basedOn w:val="Normal"/>
    <w:uiPriority w:val="99"/>
    <w:semiHidden/>
    <w:unhideWhenUsed/>
    <w:rsid w:val="007057D1"/>
    <w:pPr>
      <w:spacing w:after="0" w:line="240" w:lineRule="auto"/>
    </w:pPr>
    <w:rPr>
      <w:rFonts w:ascii="Calibri" w:hAnsi="Calibri" w:cs="Calibri"/>
      <w:snapToGrid/>
      <w:spacing w:val="0"/>
      <w:sz w:val="22"/>
      <w:szCs w:val="22"/>
      <w:lang w:val="en-GB" w:eastAsia="en-GB"/>
    </w:rPr>
  </w:style>
  <w:style w:type="character" w:styleId="FollowedHyperlink">
    <w:name w:val="FollowedHyperlink"/>
    <w:basedOn w:val="DefaultParagraphFont"/>
    <w:uiPriority w:val="99"/>
    <w:semiHidden/>
    <w:unhideWhenUsed/>
    <w:rsid w:val="004F6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4366">
      <w:bodyDiv w:val="1"/>
      <w:marLeft w:val="0"/>
      <w:marRight w:val="0"/>
      <w:marTop w:val="0"/>
      <w:marBottom w:val="0"/>
      <w:divBdr>
        <w:top w:val="none" w:sz="0" w:space="0" w:color="auto"/>
        <w:left w:val="none" w:sz="0" w:space="0" w:color="auto"/>
        <w:bottom w:val="none" w:sz="0" w:space="0" w:color="auto"/>
        <w:right w:val="none" w:sz="0" w:space="0" w:color="auto"/>
      </w:divBdr>
    </w:div>
    <w:div w:id="1196504137">
      <w:bodyDiv w:val="1"/>
      <w:marLeft w:val="0"/>
      <w:marRight w:val="0"/>
      <w:marTop w:val="0"/>
      <w:marBottom w:val="0"/>
      <w:divBdr>
        <w:top w:val="none" w:sz="0" w:space="0" w:color="auto"/>
        <w:left w:val="none" w:sz="0" w:space="0" w:color="auto"/>
        <w:bottom w:val="none" w:sz="0" w:space="0" w:color="auto"/>
        <w:right w:val="none" w:sz="0" w:space="0" w:color="auto"/>
      </w:divBdr>
    </w:div>
    <w:div w:id="1716199288">
      <w:bodyDiv w:val="1"/>
      <w:marLeft w:val="0"/>
      <w:marRight w:val="0"/>
      <w:marTop w:val="0"/>
      <w:marBottom w:val="0"/>
      <w:divBdr>
        <w:top w:val="none" w:sz="0" w:space="0" w:color="auto"/>
        <w:left w:val="none" w:sz="0" w:space="0" w:color="auto"/>
        <w:bottom w:val="none" w:sz="0" w:space="0" w:color="auto"/>
        <w:right w:val="none" w:sz="0" w:space="0" w:color="auto"/>
      </w:divBdr>
    </w:div>
    <w:div w:id="18065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afety-services/a-z/new-and-expectant-mothers/table-risk-factors" TargetMode="External"/><Relationship Id="rId13" Type="http://schemas.openxmlformats.org/officeDocument/2006/relationships/hyperlink" Target="http://www.ucl.ac.uk/hr/docs/maternity_calculator.php" TargetMode="External"/><Relationship Id="rId3" Type="http://schemas.openxmlformats.org/officeDocument/2006/relationships/settings" Target="settings.xml"/><Relationship Id="rId7" Type="http://schemas.openxmlformats.org/officeDocument/2006/relationships/hyperlink" Target="https://www.ucl.ac.uk/human-resources/maternity-paternity-adoption-parental-leave-faqs" TargetMode="External"/><Relationship Id="rId12" Type="http://schemas.openxmlformats.org/officeDocument/2006/relationships/hyperlink" Target="https://www.ucl.ac.uk/human-resources/ucl-parental-leave-and-pa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youngindianmommies.wordpress.com/2013/05/15/kegel-exercise-during-pregnancy/" TargetMode="External"/><Relationship Id="rId11" Type="http://schemas.openxmlformats.org/officeDocument/2006/relationships/hyperlink" Target="https://www.ucl.ac.uk/human-resources/health-wellbeing/wellbeinguc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ucl.ac.uk/safety-services/a-z/new-and-expectant-mothers" TargetMode="External"/><Relationship Id="rId4" Type="http://schemas.openxmlformats.org/officeDocument/2006/relationships/webSettings" Target="webSettings.xml"/><Relationship Id="rId9" Type="http://schemas.openxmlformats.org/officeDocument/2006/relationships/hyperlink" Target="https://eur01.safelinks.protection.outlook.com/?url=http%3A%2F%2Fwww.hse.gov.uk%2Fpubns%2Fbooks%2Finfection-mothers.htm&amp;data=02%7C01%7Cn.phillips%40ucl.ac.uk%7Ca3ea981117b541f6eb1a08d6a876f134%7C1faf88fea9984c5b93c9210a11d9a5c2%7C0%7C0%7C636881626133645787&amp;sdata=OidVlV1PZzdp29B5r2S9%2FbrWe0XLw%2FqWQgep3hQ5KS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Quesada</dc:creator>
  <cp:keywords/>
  <dc:description/>
  <cp:lastModifiedBy>Nicola Phillips</cp:lastModifiedBy>
  <cp:revision>5</cp:revision>
  <dcterms:created xsi:type="dcterms:W3CDTF">2019-03-12T13:18:00Z</dcterms:created>
  <dcterms:modified xsi:type="dcterms:W3CDTF">2019-03-26T16:16:00Z</dcterms:modified>
</cp:coreProperties>
</file>