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4AC08F28" w14:textId="77777777" w:rsidTr="0040652D">
        <w:trPr>
          <w:trHeight w:val="1192"/>
        </w:trPr>
        <w:tc>
          <w:tcPr>
            <w:tcW w:w="5634" w:type="dxa"/>
          </w:tcPr>
          <w:p w14:paraId="6DBBAE79" w14:textId="77777777" w:rsidR="00520F98" w:rsidRDefault="00520F98" w:rsidP="008105B7">
            <w:pPr>
              <w:pStyle w:val="Heading1"/>
              <w:rPr>
                <w:sz w:val="44"/>
                <w:szCs w:val="44"/>
              </w:rPr>
            </w:pPr>
            <w:bookmarkStart w:id="0" w:name="_MacBuGuideStaticData_560V"/>
            <w:bookmarkStart w:id="1" w:name="_MacBuGuideStaticData_11280V"/>
            <w:bookmarkStart w:id="2" w:name="_MacBuGuideStaticData_510H"/>
            <w:r w:rsidRPr="00974301">
              <w:rPr>
                <w:sz w:val="44"/>
                <w:szCs w:val="44"/>
              </w:rPr>
              <w:t>Job Description</w:t>
            </w:r>
          </w:p>
          <w:p w14:paraId="54215CCE" w14:textId="77777777" w:rsidR="00974301" w:rsidRPr="00974301" w:rsidRDefault="00974301" w:rsidP="00974301"/>
        </w:tc>
        <w:tc>
          <w:tcPr>
            <w:tcW w:w="5166" w:type="dxa"/>
          </w:tcPr>
          <w:p w14:paraId="1EF226A0" w14:textId="77777777" w:rsidR="00520F98" w:rsidRDefault="00520F98" w:rsidP="008105B7">
            <w:pPr>
              <w:pStyle w:val="Heading1"/>
            </w:pPr>
          </w:p>
        </w:tc>
      </w:tr>
    </w:tbl>
    <w:p w14:paraId="5840D2DD" w14:textId="77777777" w:rsidR="00974301" w:rsidRDefault="00974301" w:rsidP="00320FEA">
      <w:pPr>
        <w:pStyle w:val="Heading2"/>
        <w:sectPr w:rsidR="00974301" w:rsidSect="005136DA">
          <w:headerReference w:type="first" r:id="rId8"/>
          <w:type w:val="continuous"/>
          <w:pgSz w:w="11900" w:h="16840"/>
          <w:pgMar w:top="2268" w:right="567" w:bottom="1134" w:left="567" w:header="680" w:footer="709" w:gutter="0"/>
          <w:cols w:num="2" w:space="708"/>
          <w:titlePg/>
          <w:docGrid w:linePitch="326"/>
        </w:sectPr>
      </w:pPr>
    </w:p>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5941B128" w14:textId="77777777" w:rsidTr="0040652D">
        <w:trPr>
          <w:trHeight w:val="469"/>
        </w:trPr>
        <w:tc>
          <w:tcPr>
            <w:tcW w:w="5634" w:type="dxa"/>
          </w:tcPr>
          <w:p w14:paraId="49E64040" w14:textId="77777777" w:rsidR="00520F98" w:rsidRDefault="00520F98" w:rsidP="00320FEA">
            <w:pPr>
              <w:pStyle w:val="Heading2"/>
            </w:pPr>
          </w:p>
          <w:p w14:paraId="213BBA88" w14:textId="535319FB" w:rsidR="00974301" w:rsidRPr="00974301" w:rsidRDefault="00387C87" w:rsidP="00907C8F">
            <w:pPr>
              <w:rPr>
                <w:b/>
                <w:sz w:val="28"/>
                <w:szCs w:val="28"/>
              </w:rPr>
            </w:pPr>
            <w:r w:rsidRPr="00387C87">
              <w:rPr>
                <w:b/>
                <w:bCs/>
                <w:sz w:val="28"/>
                <w:szCs w:val="28"/>
              </w:rPr>
              <w:t>Research in</w:t>
            </w:r>
            <w:r>
              <w:rPr>
                <w:b/>
                <w:bCs/>
                <w:sz w:val="28"/>
                <w:szCs w:val="28"/>
              </w:rPr>
              <w:t xml:space="preserve"> </w:t>
            </w:r>
            <w:r w:rsidRPr="00387C87">
              <w:rPr>
                <w:b/>
                <w:bCs/>
                <w:sz w:val="28"/>
                <w:szCs w:val="28"/>
              </w:rPr>
              <w:t>Biomedical Molecular Dynamics for Drug Discovery</w:t>
            </w:r>
            <w:r>
              <w:rPr>
                <w:b/>
                <w:bCs/>
                <w:sz w:val="28"/>
                <w:szCs w:val="28"/>
              </w:rPr>
              <w:t xml:space="preserve"> </w:t>
            </w:r>
            <w:r w:rsidRPr="00387C87">
              <w:rPr>
                <w:b/>
                <w:bCs/>
                <w:sz w:val="28"/>
                <w:szCs w:val="28"/>
              </w:rPr>
              <w:t>and Personalised Medicine</w:t>
            </w:r>
          </w:p>
        </w:tc>
        <w:tc>
          <w:tcPr>
            <w:tcW w:w="5166" w:type="dxa"/>
          </w:tcPr>
          <w:p w14:paraId="0B6FC0BC" w14:textId="77777777" w:rsidR="00520F98" w:rsidRDefault="00520F98" w:rsidP="008105B7">
            <w:pPr>
              <w:pStyle w:val="Heading3"/>
            </w:pPr>
          </w:p>
        </w:tc>
      </w:tr>
      <w:tr w:rsidR="0040652D" w14:paraId="2BB2E99B" w14:textId="77777777" w:rsidTr="0040652D">
        <w:trPr>
          <w:trHeight w:val="469"/>
        </w:trPr>
        <w:tc>
          <w:tcPr>
            <w:tcW w:w="5634" w:type="dxa"/>
          </w:tcPr>
          <w:p w14:paraId="48362299" w14:textId="77777777" w:rsidR="00520F98" w:rsidRDefault="00520F98" w:rsidP="00320FEA">
            <w:pPr>
              <w:pStyle w:val="Heading3"/>
            </w:pPr>
            <w:r>
              <w:t>Department</w:t>
            </w:r>
            <w:r w:rsidR="000A3F96">
              <w:t xml:space="preserve">: </w:t>
            </w:r>
            <w:r w:rsidR="00010BD4">
              <w:t xml:space="preserve">   </w:t>
            </w:r>
            <w:r w:rsidR="000A3F96">
              <w:t>Chemistry</w:t>
            </w:r>
          </w:p>
          <w:p w14:paraId="5FDA23F8" w14:textId="77777777" w:rsidR="00974301" w:rsidRDefault="00974301" w:rsidP="00010BD4">
            <w:pPr>
              <w:pStyle w:val="Heading3"/>
            </w:pPr>
            <w:r>
              <w:t>Grade:</w:t>
            </w:r>
            <w:r w:rsidR="00010BD4">
              <w:t xml:space="preserve">              </w:t>
            </w:r>
            <w:r>
              <w:t>7</w:t>
            </w:r>
          </w:p>
          <w:p w14:paraId="4EA2B982" w14:textId="77777777" w:rsidR="00974301" w:rsidRPr="00974301" w:rsidRDefault="00974301" w:rsidP="00010BD4">
            <w:pPr>
              <w:pStyle w:val="Heading3"/>
            </w:pPr>
            <w:r>
              <w:t>Location:        UCL Bloomsbury</w:t>
            </w:r>
            <w:r w:rsidR="00010BD4">
              <w:t xml:space="preserve"> Campus </w:t>
            </w:r>
          </w:p>
        </w:tc>
        <w:tc>
          <w:tcPr>
            <w:tcW w:w="5166" w:type="dxa"/>
          </w:tcPr>
          <w:p w14:paraId="53B396F4" w14:textId="77777777" w:rsidR="00520F98" w:rsidRDefault="00520F98" w:rsidP="00807790">
            <w:pPr>
              <w:pStyle w:val="Heading3"/>
            </w:pPr>
          </w:p>
        </w:tc>
      </w:tr>
    </w:tbl>
    <w:p w14:paraId="09B8A66B"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1B21A37D" wp14:editId="7489AE80">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40061801" w14:textId="77777777" w:rsidR="00542251" w:rsidRPr="00974301" w:rsidRDefault="00974301" w:rsidP="00E3153F">
                            <w:pPr>
                              <w:ind w:left="-142"/>
                              <w:rPr>
                                <w:rFonts w:ascii="Arial MT Std" w:hAnsi="Arial MT Std"/>
                                <w:b/>
                                <w:sz w:val="24"/>
                              </w:rPr>
                            </w:pPr>
                            <w:r w:rsidRPr="00974301">
                              <w:rPr>
                                <w:rFonts w:ascii="Arial MT Std" w:hAnsi="Arial MT Std"/>
                                <w:b/>
                                <w:sz w:val="24"/>
                              </w:rPr>
                              <w:t>Department of Chemistry</w:t>
                            </w:r>
                          </w:p>
                          <w:p w14:paraId="44D3BE6C" w14:textId="77777777" w:rsidR="000A3F96" w:rsidRPr="000A3F96" w:rsidRDefault="000A3F96" w:rsidP="00E3153F">
                            <w:pPr>
                              <w:ind w:left="-142"/>
                              <w:rPr>
                                <w:rFonts w:ascii="Arial MT Std" w:hAnsi="Arial MT Std"/>
                                <w:b/>
                                <w:sz w:val="18"/>
                                <w:szCs w:val="18"/>
                              </w:rPr>
                            </w:pPr>
                          </w:p>
                          <w:p w14:paraId="0A3D09D5" w14:textId="77777777" w:rsidR="000A3F96" w:rsidRPr="00130559" w:rsidRDefault="000A3F96"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21A37D"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" filled="f" stroked="f">
                <v:textbox>
                  <w:txbxContent>
                    <w:p w14:paraId="40061801" w14:textId="77777777" w:rsidR="00542251" w:rsidRPr="00974301" w:rsidRDefault="00974301" w:rsidP="00E3153F">
                      <w:pPr>
                        <w:ind w:left="-142"/>
                        <w:rPr>
                          <w:rFonts w:ascii="Arial MT Std" w:hAnsi="Arial MT Std"/>
                          <w:b/>
                          <w:sz w:val="24"/>
                        </w:rPr>
                      </w:pPr>
                      <w:r w:rsidRPr="00974301">
                        <w:rPr>
                          <w:rFonts w:ascii="Arial MT Std" w:hAnsi="Arial MT Std"/>
                          <w:b/>
                          <w:sz w:val="24"/>
                        </w:rPr>
                        <w:t>Department of Chemistry</w:t>
                      </w:r>
                    </w:p>
                    <w:p w14:paraId="44D3BE6C" w14:textId="77777777" w:rsidR="000A3F96" w:rsidRPr="000A3F96" w:rsidRDefault="000A3F96" w:rsidP="00E3153F">
                      <w:pPr>
                        <w:ind w:left="-142"/>
                        <w:rPr>
                          <w:rFonts w:ascii="Arial MT Std" w:hAnsi="Arial MT Std"/>
                          <w:b/>
                          <w:sz w:val="18"/>
                          <w:szCs w:val="18"/>
                        </w:rPr>
                      </w:pPr>
                    </w:p>
                    <w:p w14:paraId="0A3D09D5" w14:textId="77777777" w:rsidR="000A3F96" w:rsidRPr="00130559" w:rsidRDefault="000A3F96"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r w:rsidR="007C7FF1">
        <w:t>Reports to:</w:t>
      </w:r>
    </w:p>
    <w:p w14:paraId="0BD518D0" w14:textId="7434FF3D" w:rsidR="007C7FF1" w:rsidRPr="000A3F96" w:rsidRDefault="00E4740E" w:rsidP="007C7FF1">
      <w:pPr>
        <w:rPr>
          <w:i/>
        </w:rPr>
      </w:pPr>
      <w:r>
        <w:rPr>
          <w:i/>
        </w:rPr>
        <w:t xml:space="preserve">Professor Peter V. </w:t>
      </w:r>
      <w:proofErr w:type="spellStart"/>
      <w:r>
        <w:rPr>
          <w:i/>
        </w:rPr>
        <w:t>Coveney</w:t>
      </w:r>
      <w:proofErr w:type="spellEnd"/>
    </w:p>
    <w:p w14:paraId="0925910C" w14:textId="77777777" w:rsidR="00820FCA" w:rsidRDefault="00820FCA" w:rsidP="007C7FF1">
      <w:pPr>
        <w:pStyle w:val="Heading4"/>
        <w:rPr>
          <w:lang w:val="en-US" w:eastAsia="en-US"/>
        </w:rPr>
      </w:pPr>
      <w:r>
        <w:rPr>
          <w:lang w:val="en-US" w:eastAsia="en-US"/>
        </w:rPr>
        <w:t>Context</w:t>
      </w:r>
    </w:p>
    <w:p w14:paraId="013A36A8" w14:textId="77777777" w:rsidR="00974301" w:rsidRPr="002B34DC" w:rsidRDefault="00974301" w:rsidP="00974301">
      <w:pPr>
        <w:spacing w:before="288"/>
        <w:rPr>
          <w:rFonts w:cs="Arial"/>
          <w:b/>
          <w:bCs/>
          <w:spacing w:val="-6"/>
          <w:sz w:val="22"/>
          <w:szCs w:val="22"/>
        </w:rPr>
      </w:pPr>
      <w:r w:rsidRPr="002B34DC">
        <w:rPr>
          <w:rFonts w:cs="Arial"/>
          <w:b/>
          <w:bCs/>
          <w:spacing w:val="-6"/>
          <w:sz w:val="22"/>
          <w:szCs w:val="22"/>
        </w:rPr>
        <w:t>The Chemistry Department</w:t>
      </w:r>
    </w:p>
    <w:p w14:paraId="314F6E79" w14:textId="77777777" w:rsidR="00974301" w:rsidRPr="00631AF2" w:rsidRDefault="00974301" w:rsidP="00974301">
      <w:pPr>
        <w:spacing w:before="252"/>
        <w:jc w:val="both"/>
        <w:rPr>
          <w:rFonts w:cs="Arial"/>
          <w:sz w:val="22"/>
          <w:szCs w:val="22"/>
        </w:rPr>
      </w:pPr>
      <w:r w:rsidRPr="00631AF2">
        <w:rPr>
          <w:rFonts w:cs="Arial"/>
          <w:sz w:val="22"/>
          <w:szCs w:val="22"/>
        </w:rPr>
        <w:t xml:space="preserve">The Chemistry Department at University College London is the oldest in England, and today is one of the </w:t>
      </w:r>
      <w:r w:rsidRPr="00631AF2">
        <w:rPr>
          <w:rFonts w:cs="Arial"/>
          <w:spacing w:val="-3"/>
          <w:sz w:val="22"/>
          <w:szCs w:val="22"/>
        </w:rPr>
        <w:t>best in the UK, being ranked 2</w:t>
      </w:r>
      <w:r w:rsidRPr="00631AF2">
        <w:rPr>
          <w:rFonts w:cs="Arial"/>
          <w:spacing w:val="-3"/>
          <w:sz w:val="22"/>
          <w:szCs w:val="22"/>
          <w:vertAlign w:val="superscript"/>
        </w:rPr>
        <w:t>nd</w:t>
      </w:r>
      <w:r w:rsidRPr="00631AF2">
        <w:rPr>
          <w:rFonts w:cs="Arial"/>
          <w:spacing w:val="-3"/>
          <w:sz w:val="22"/>
          <w:szCs w:val="22"/>
        </w:rPr>
        <w:t xml:space="preserve"> in the UK for the world-class impact of its research in REF(2014)</w:t>
      </w:r>
      <w:r w:rsidRPr="00631AF2">
        <w:rPr>
          <w:rFonts w:cs="Arial"/>
          <w:sz w:val="22"/>
          <w:szCs w:val="22"/>
        </w:rPr>
        <w:t xml:space="preserve">. We are located in Bloomsbury, at the heart of London, and offer an exciting and vibrant environment in which to study in one of the UK's top universities. The Department of Chemistry at UCL is committed to supporting excellence in both research and teaching. The department offers undergraduate BSc and </w:t>
      </w:r>
      <w:proofErr w:type="spellStart"/>
      <w:r w:rsidRPr="00631AF2">
        <w:rPr>
          <w:rFonts w:cs="Arial"/>
          <w:sz w:val="22"/>
          <w:szCs w:val="22"/>
        </w:rPr>
        <w:t>MSci</w:t>
      </w:r>
      <w:proofErr w:type="spellEnd"/>
      <w:r w:rsidRPr="00631AF2">
        <w:rPr>
          <w:rFonts w:cs="Arial"/>
          <w:sz w:val="22"/>
          <w:szCs w:val="22"/>
        </w:rPr>
        <w:t xml:space="preserve"> programmes in Chemistry and currently teaches 400 undergraduates registered in Chemistry as well as students who select Chemistry on the Natural Sciences programme and first year Chemistry for life scientists. The department also offers a number of Postgraduate Taught Masters courses with about 60 students per year and has an overall PGR student school of about 250 students.</w:t>
      </w:r>
    </w:p>
    <w:p w14:paraId="4F4DEE93" w14:textId="77777777" w:rsidR="00974301" w:rsidRPr="00631AF2" w:rsidRDefault="00974301" w:rsidP="00974301">
      <w:pPr>
        <w:spacing w:before="252"/>
        <w:jc w:val="both"/>
        <w:rPr>
          <w:rFonts w:cs="Arial"/>
          <w:sz w:val="22"/>
          <w:szCs w:val="22"/>
        </w:rPr>
      </w:pPr>
      <w:r w:rsidRPr="00631AF2">
        <w:rPr>
          <w:rFonts w:cs="Arial"/>
          <w:sz w:val="22"/>
          <w:szCs w:val="22"/>
          <w:lang w:val="en"/>
        </w:rPr>
        <w:t xml:space="preserve">The Chemistry Department has over 50 members of academic staff carrying out world-leading research. We </w:t>
      </w:r>
      <w:proofErr w:type="spellStart"/>
      <w:r w:rsidRPr="00631AF2">
        <w:rPr>
          <w:rFonts w:cs="Arial"/>
          <w:sz w:val="22"/>
          <w:szCs w:val="22"/>
          <w:lang w:val="en"/>
        </w:rPr>
        <w:t>specialise</w:t>
      </w:r>
      <w:proofErr w:type="spellEnd"/>
      <w:r w:rsidRPr="00631AF2">
        <w:rPr>
          <w:rFonts w:cs="Arial"/>
          <w:sz w:val="22"/>
          <w:szCs w:val="22"/>
          <w:lang w:val="en"/>
        </w:rPr>
        <w:t xml:space="preserve"> in the areas of organic synthesis, chemical biology, computational chemistry, nanotechnology, inorganic and materials chemistry, physical chemistry and chemical physics. The department has an annual research income of around £15 million, derived from many sources including the Research Councils (EPSRC, BBSRC, MRC, and NERC), European Commission and a wide range of charities and industrial partners in the UK, Europe and the USA.</w:t>
      </w:r>
    </w:p>
    <w:p w14:paraId="7BC661D7" w14:textId="77777777" w:rsidR="00974301" w:rsidRPr="00010BD4" w:rsidRDefault="00974301" w:rsidP="00974301">
      <w:pPr>
        <w:spacing w:before="252"/>
        <w:jc w:val="both"/>
        <w:rPr>
          <w:rFonts w:cs="Arial"/>
          <w:spacing w:val="-4"/>
          <w:szCs w:val="20"/>
        </w:rPr>
      </w:pPr>
      <w:r w:rsidRPr="00631AF2">
        <w:rPr>
          <w:rFonts w:cs="Arial"/>
          <w:spacing w:val="4"/>
          <w:sz w:val="22"/>
          <w:szCs w:val="22"/>
        </w:rPr>
        <w:t xml:space="preserve">Details about our research can be found on the departmental </w:t>
      </w:r>
      <w:r w:rsidRPr="00631AF2">
        <w:rPr>
          <w:rFonts w:cs="Arial"/>
          <w:spacing w:val="-4"/>
          <w:sz w:val="22"/>
          <w:szCs w:val="22"/>
        </w:rPr>
        <w:t>website</w:t>
      </w:r>
      <w:r w:rsidRPr="00631AF2">
        <w:rPr>
          <w:rFonts w:cs="Arial"/>
          <w:color w:val="0000FF"/>
          <w:spacing w:val="-4"/>
          <w:sz w:val="22"/>
          <w:szCs w:val="22"/>
          <w:u w:val="single"/>
        </w:rPr>
        <w:t xml:space="preserve"> </w:t>
      </w:r>
      <w:hyperlink r:id="rId9" w:history="1">
        <w:r w:rsidRPr="00631AF2">
          <w:rPr>
            <w:rStyle w:val="Hyperlink"/>
            <w:rFonts w:cs="Arial"/>
            <w:spacing w:val="-4"/>
            <w:sz w:val="22"/>
            <w:szCs w:val="22"/>
          </w:rPr>
          <w:t>http://www.ucl.ac.uk/chemistry</w:t>
        </w:r>
      </w:hyperlink>
      <w:r w:rsidRPr="00010BD4">
        <w:rPr>
          <w:rFonts w:cs="Arial"/>
          <w:spacing w:val="-4"/>
          <w:szCs w:val="20"/>
        </w:rPr>
        <w:t>.</w:t>
      </w:r>
    </w:p>
    <w:p w14:paraId="04A474F0" w14:textId="4E0C9EC9" w:rsidR="00C0041D" w:rsidRDefault="00C0041D">
      <w:pPr>
        <w:spacing w:after="0" w:line="240" w:lineRule="auto"/>
        <w:rPr>
          <w:color w:val="auto"/>
          <w:lang w:val="en-US" w:eastAsia="en-US"/>
        </w:rPr>
      </w:pPr>
      <w:r>
        <w:rPr>
          <w:color w:val="auto"/>
          <w:lang w:val="en-US" w:eastAsia="en-US"/>
        </w:rPr>
        <w:br w:type="page"/>
      </w:r>
    </w:p>
    <w:p w14:paraId="3426CA2B" w14:textId="77777777" w:rsidR="007C7FF1" w:rsidRPr="00E4740E" w:rsidRDefault="007C7FF1" w:rsidP="007C7FF1">
      <w:pPr>
        <w:pStyle w:val="Heading4"/>
        <w:rPr>
          <w:color w:val="auto"/>
          <w:sz w:val="22"/>
          <w:szCs w:val="22"/>
          <w:lang w:val="en-US" w:eastAsia="en-US"/>
        </w:rPr>
      </w:pPr>
      <w:r w:rsidRPr="00E4740E">
        <w:rPr>
          <w:color w:val="auto"/>
          <w:sz w:val="22"/>
          <w:szCs w:val="22"/>
          <w:lang w:val="en-US" w:eastAsia="en-US"/>
        </w:rPr>
        <w:lastRenderedPageBreak/>
        <w:t>Main purpose of the job</w:t>
      </w:r>
    </w:p>
    <w:p w14:paraId="603228B8" w14:textId="77777777" w:rsidR="00E4740E" w:rsidRDefault="00E4740E" w:rsidP="00E4740E">
      <w:pPr>
        <w:spacing w:line="360" w:lineRule="auto"/>
        <w:jc w:val="both"/>
        <w:rPr>
          <w:color w:val="auto"/>
          <w:sz w:val="22"/>
          <w:szCs w:val="22"/>
          <w:lang w:val="en-US"/>
        </w:rPr>
      </w:pPr>
    </w:p>
    <w:p w14:paraId="5E69939C" w14:textId="58195DD9" w:rsidR="00E4740E" w:rsidRPr="00E4740E" w:rsidRDefault="00E4740E" w:rsidP="00E4740E">
      <w:pPr>
        <w:spacing w:line="360" w:lineRule="auto"/>
        <w:jc w:val="both"/>
        <w:rPr>
          <w:color w:val="auto"/>
          <w:sz w:val="22"/>
          <w:szCs w:val="22"/>
          <w:lang w:val="en-US"/>
        </w:rPr>
      </w:pPr>
      <w:r w:rsidRPr="00E4740E">
        <w:rPr>
          <w:color w:val="auto"/>
          <w:sz w:val="22"/>
          <w:szCs w:val="22"/>
          <w:lang w:val="en-US"/>
        </w:rPr>
        <w:t xml:space="preserve">The successful candidate will join a very active inter-disciplinary group in the Centre for Computational Science, working on projects in fields ranging from condensed matter physics and chemistry to life sciences and medicine. A Ph.D. degree in </w:t>
      </w:r>
      <w:proofErr w:type="spellStart"/>
      <w:r w:rsidRPr="00E4740E">
        <w:rPr>
          <w:color w:val="auto"/>
          <w:sz w:val="22"/>
          <w:szCs w:val="22"/>
          <w:lang w:val="en-US"/>
        </w:rPr>
        <w:t>biomolecular</w:t>
      </w:r>
      <w:proofErr w:type="spellEnd"/>
      <w:r w:rsidRPr="00E4740E">
        <w:rPr>
          <w:color w:val="auto"/>
          <w:sz w:val="22"/>
          <w:szCs w:val="22"/>
          <w:lang w:val="en-US"/>
        </w:rPr>
        <w:t xml:space="preserve"> dynamics as used to perform free energy and related calculations of ligand-protein binding is essential, as is experience with high performance computing.</w:t>
      </w:r>
    </w:p>
    <w:p w14:paraId="18D21EEF" w14:textId="3722A006" w:rsidR="00E4740E" w:rsidRPr="00E4740E" w:rsidRDefault="00E4740E" w:rsidP="00E4740E">
      <w:pPr>
        <w:spacing w:line="360" w:lineRule="auto"/>
        <w:jc w:val="both"/>
        <w:rPr>
          <w:color w:val="auto"/>
          <w:sz w:val="22"/>
          <w:szCs w:val="22"/>
          <w:lang w:val="en-US"/>
        </w:rPr>
      </w:pPr>
      <w:r w:rsidRPr="00E4740E">
        <w:rPr>
          <w:color w:val="auto"/>
          <w:sz w:val="22"/>
          <w:szCs w:val="22"/>
          <w:lang w:val="en-US"/>
        </w:rPr>
        <w:t>This post will involve the development of molecular models to support computer</w:t>
      </w:r>
      <w:r w:rsidR="00387C87">
        <w:rPr>
          <w:color w:val="auto"/>
          <w:sz w:val="22"/>
          <w:szCs w:val="22"/>
          <w:lang w:val="en-US"/>
        </w:rPr>
        <w:t>-</w:t>
      </w:r>
      <w:r w:rsidRPr="00E4740E">
        <w:rPr>
          <w:color w:val="auto"/>
          <w:sz w:val="22"/>
          <w:szCs w:val="22"/>
          <w:lang w:val="en-US"/>
        </w:rPr>
        <w:t>based</w:t>
      </w:r>
      <w:r w:rsidR="00387C87">
        <w:rPr>
          <w:color w:val="auto"/>
          <w:sz w:val="22"/>
          <w:szCs w:val="22"/>
          <w:lang w:val="en-US"/>
        </w:rPr>
        <w:t xml:space="preserve"> </w:t>
      </w:r>
      <w:r w:rsidRPr="00E4740E">
        <w:rPr>
          <w:color w:val="auto"/>
          <w:sz w:val="22"/>
          <w:szCs w:val="22"/>
          <w:lang w:val="en-US"/>
        </w:rPr>
        <w:t>drug discovery and to investigate the biophysical and biochemical origins of drug resistance in pathologies such as HIV, cancer</w:t>
      </w:r>
      <w:r w:rsidR="001D199C">
        <w:rPr>
          <w:color w:val="auto"/>
          <w:sz w:val="22"/>
          <w:szCs w:val="22"/>
          <w:lang w:val="en-US"/>
        </w:rPr>
        <w:t>,</w:t>
      </w:r>
      <w:r w:rsidRPr="00E4740E">
        <w:rPr>
          <w:color w:val="auto"/>
          <w:sz w:val="22"/>
          <w:szCs w:val="22"/>
          <w:lang w:val="en-US"/>
        </w:rPr>
        <w:t xml:space="preserve"> and antimicrobial resistance, using established molecular dynamics codes such as NAMD and </w:t>
      </w:r>
      <w:proofErr w:type="spellStart"/>
      <w:r w:rsidRPr="00E4740E">
        <w:rPr>
          <w:color w:val="auto"/>
          <w:sz w:val="22"/>
          <w:szCs w:val="22"/>
          <w:lang w:val="en-US"/>
        </w:rPr>
        <w:t>OpenMM</w:t>
      </w:r>
      <w:proofErr w:type="spellEnd"/>
      <w:r w:rsidRPr="00E4740E">
        <w:rPr>
          <w:color w:val="auto"/>
          <w:sz w:val="22"/>
          <w:szCs w:val="22"/>
          <w:lang w:val="en-US"/>
        </w:rPr>
        <w:t>. A key element of the approach is the development and use of automated workflows to assist in the rapid, accurate, precise and reproducible determination of binding affinities running on a range of ultra</w:t>
      </w:r>
      <w:r w:rsidR="00C16A9B">
        <w:rPr>
          <w:color w:val="auto"/>
          <w:sz w:val="22"/>
          <w:szCs w:val="22"/>
          <w:lang w:val="en-US"/>
        </w:rPr>
        <w:t>-</w:t>
      </w:r>
      <w:r w:rsidRPr="00E4740E">
        <w:rPr>
          <w:color w:val="auto"/>
          <w:sz w:val="22"/>
          <w:szCs w:val="22"/>
          <w:lang w:val="en-US"/>
        </w:rPr>
        <w:t>high-end supercomputers, including Summit, number one in the Top500 list of supercomputers worldwide.</w:t>
      </w:r>
    </w:p>
    <w:p w14:paraId="5DB6F358" w14:textId="5697DF0A" w:rsidR="009A1E18" w:rsidRDefault="00E4740E" w:rsidP="00E4740E">
      <w:pPr>
        <w:spacing w:line="360" w:lineRule="auto"/>
        <w:jc w:val="both"/>
        <w:rPr>
          <w:color w:val="auto"/>
          <w:sz w:val="22"/>
          <w:szCs w:val="22"/>
          <w:lang w:val="en-US"/>
        </w:rPr>
      </w:pPr>
      <w:r w:rsidRPr="00E4740E">
        <w:rPr>
          <w:color w:val="auto"/>
          <w:sz w:val="22"/>
          <w:szCs w:val="22"/>
          <w:lang w:val="en-US"/>
        </w:rPr>
        <w:t>The post-holder will work closely with a large number of international projects across Europe and USA, and with collaborating industrial (pharma/biotech) and public sector partners who have an interest in exploiting our approaches in industry and healthcare.</w:t>
      </w:r>
    </w:p>
    <w:p w14:paraId="1B54659E" w14:textId="77777777" w:rsidR="00C0041D" w:rsidRPr="00E4740E" w:rsidRDefault="00C0041D" w:rsidP="00E4740E">
      <w:pPr>
        <w:spacing w:line="360" w:lineRule="auto"/>
        <w:jc w:val="both"/>
        <w:rPr>
          <w:color w:val="auto"/>
          <w:sz w:val="22"/>
          <w:szCs w:val="22"/>
          <w:lang w:val="en-US"/>
        </w:rPr>
      </w:pPr>
    </w:p>
    <w:p w14:paraId="4EA27200" w14:textId="3DCE8D33" w:rsidR="008105B7" w:rsidRPr="008105B7" w:rsidRDefault="008105B7" w:rsidP="008105B7">
      <w:pPr>
        <w:pStyle w:val="Heading4"/>
        <w:rPr>
          <w:lang w:val="en-US" w:eastAsia="en-US"/>
        </w:rPr>
      </w:pPr>
      <w:r w:rsidRPr="00010BD4">
        <w:rPr>
          <w:sz w:val="22"/>
          <w:szCs w:val="22"/>
          <w:lang w:val="en-US" w:eastAsia="en-US"/>
        </w:rPr>
        <w:t>Duties and responsibilities:</w:t>
      </w:r>
    </w:p>
    <w:p w14:paraId="713E78CB" w14:textId="77777777" w:rsidR="00E4740E" w:rsidRDefault="00E4740E" w:rsidP="00E4740E">
      <w:pPr>
        <w:spacing w:line="360" w:lineRule="auto"/>
        <w:ind w:left="426" w:hanging="284"/>
        <w:rPr>
          <w:color w:val="auto"/>
          <w:sz w:val="22"/>
          <w:szCs w:val="22"/>
          <w:lang w:val="en-US"/>
        </w:rPr>
      </w:pPr>
    </w:p>
    <w:p w14:paraId="646845F7" w14:textId="351BDC19" w:rsidR="00E4740E" w:rsidRPr="00E4740E" w:rsidRDefault="00E4740E" w:rsidP="00E4740E">
      <w:pPr>
        <w:spacing w:line="360" w:lineRule="auto"/>
        <w:ind w:left="426" w:hanging="284"/>
        <w:rPr>
          <w:color w:val="auto"/>
          <w:sz w:val="22"/>
          <w:szCs w:val="22"/>
          <w:lang w:val="en-US"/>
        </w:rPr>
      </w:pPr>
      <w:r w:rsidRPr="00E4740E">
        <w:rPr>
          <w:color w:val="auto"/>
          <w:sz w:val="22"/>
          <w:szCs w:val="22"/>
          <w:lang w:val="en-US"/>
        </w:rPr>
        <w:t>To carry out research under the supervision of the Director of the Centre for Computational Science (Professor P</w:t>
      </w:r>
      <w:r w:rsidR="00FF6D48">
        <w:rPr>
          <w:color w:val="auto"/>
          <w:sz w:val="22"/>
          <w:szCs w:val="22"/>
          <w:lang w:val="en-US"/>
        </w:rPr>
        <w:t>.</w:t>
      </w:r>
      <w:r w:rsidRPr="00E4740E">
        <w:rPr>
          <w:color w:val="auto"/>
          <w:sz w:val="22"/>
          <w:szCs w:val="22"/>
          <w:lang w:val="en-US"/>
        </w:rPr>
        <w:t xml:space="preserve"> V</w:t>
      </w:r>
      <w:r w:rsidR="00FF6D48">
        <w:rPr>
          <w:color w:val="auto"/>
          <w:sz w:val="22"/>
          <w:szCs w:val="22"/>
          <w:lang w:val="en-US"/>
        </w:rPr>
        <w:t>.</w:t>
      </w:r>
      <w:r w:rsidRPr="00E4740E">
        <w:rPr>
          <w:color w:val="auto"/>
          <w:sz w:val="22"/>
          <w:szCs w:val="22"/>
          <w:lang w:val="en-US"/>
        </w:rPr>
        <w:t xml:space="preserve"> </w:t>
      </w:r>
      <w:proofErr w:type="spellStart"/>
      <w:r w:rsidRPr="00E4740E">
        <w:rPr>
          <w:color w:val="auto"/>
          <w:sz w:val="22"/>
          <w:szCs w:val="22"/>
          <w:lang w:val="en-US"/>
        </w:rPr>
        <w:t>Coveney</w:t>
      </w:r>
      <w:proofErr w:type="spellEnd"/>
      <w:r w:rsidRPr="00E4740E">
        <w:rPr>
          <w:color w:val="auto"/>
          <w:sz w:val="22"/>
          <w:szCs w:val="22"/>
          <w:lang w:val="en-US"/>
        </w:rPr>
        <w:t>), as follows:</w:t>
      </w:r>
    </w:p>
    <w:p w14:paraId="25710C17" w14:textId="1DCEB990" w:rsidR="00E4740E" w:rsidRPr="00E4740E" w:rsidRDefault="00E4740E" w:rsidP="00E4740E">
      <w:pPr>
        <w:pStyle w:val="ListParagraph"/>
        <w:spacing w:line="360" w:lineRule="auto"/>
        <w:rPr>
          <w:color w:val="auto"/>
          <w:sz w:val="22"/>
          <w:szCs w:val="22"/>
        </w:rPr>
      </w:pPr>
      <w:r w:rsidRPr="00E4740E">
        <w:rPr>
          <w:color w:val="auto"/>
          <w:sz w:val="22"/>
          <w:szCs w:val="22"/>
        </w:rPr>
        <w:t xml:space="preserve">Development of patient specific molecular models and automated workflows in order to study and quantify the efficacy of ligand-protein binding through free energy and related calculations based primarily on NAMD and </w:t>
      </w:r>
      <w:proofErr w:type="spellStart"/>
      <w:r w:rsidRPr="00E4740E">
        <w:rPr>
          <w:color w:val="auto"/>
          <w:sz w:val="22"/>
          <w:szCs w:val="22"/>
        </w:rPr>
        <w:t>OpenMM</w:t>
      </w:r>
      <w:proofErr w:type="spellEnd"/>
      <w:r w:rsidRPr="00E4740E">
        <w:rPr>
          <w:color w:val="auto"/>
          <w:sz w:val="22"/>
          <w:szCs w:val="22"/>
        </w:rPr>
        <w:t xml:space="preserve"> molecular dynamics </w:t>
      </w:r>
      <w:proofErr w:type="spellStart"/>
      <w:r w:rsidRPr="00E4740E">
        <w:rPr>
          <w:color w:val="auto"/>
          <w:sz w:val="22"/>
          <w:szCs w:val="22"/>
        </w:rPr>
        <w:t>engibes</w:t>
      </w:r>
      <w:proofErr w:type="spellEnd"/>
      <w:r w:rsidRPr="00E4740E">
        <w:rPr>
          <w:color w:val="auto"/>
          <w:sz w:val="22"/>
          <w:szCs w:val="22"/>
        </w:rPr>
        <w:t xml:space="preserve">; and to evaluate the performance of atomistic and coarse-grained molecular dynamics models, including on forthcoming </w:t>
      </w:r>
      <w:proofErr w:type="spellStart"/>
      <w:r w:rsidRPr="00E4740E">
        <w:rPr>
          <w:color w:val="auto"/>
          <w:sz w:val="22"/>
          <w:szCs w:val="22"/>
        </w:rPr>
        <w:t>exascale</w:t>
      </w:r>
      <w:proofErr w:type="spellEnd"/>
      <w:r w:rsidRPr="00E4740E">
        <w:rPr>
          <w:color w:val="auto"/>
          <w:sz w:val="22"/>
          <w:szCs w:val="22"/>
        </w:rPr>
        <w:t xml:space="preserve"> computers. </w:t>
      </w:r>
      <w:r w:rsidRPr="00E4740E">
        <w:rPr>
          <w:color w:val="auto"/>
          <w:sz w:val="22"/>
          <w:szCs w:val="22"/>
        </w:rPr>
        <w:tab/>
      </w:r>
    </w:p>
    <w:p w14:paraId="255497FC" w14:textId="40B5653B" w:rsidR="00E4740E" w:rsidRPr="00E4740E" w:rsidRDefault="00E4740E" w:rsidP="00E4740E">
      <w:pPr>
        <w:pStyle w:val="ListParagraph"/>
        <w:spacing w:line="360" w:lineRule="auto"/>
        <w:rPr>
          <w:color w:val="auto"/>
          <w:sz w:val="22"/>
          <w:szCs w:val="22"/>
        </w:rPr>
      </w:pPr>
      <w:r w:rsidRPr="00E4740E">
        <w:rPr>
          <w:color w:val="auto"/>
          <w:sz w:val="22"/>
          <w:szCs w:val="22"/>
        </w:rPr>
        <w:t>Running of such models, simulations and workflows on workstations, clusters, supercomputers and on distributed e-infrastructure, nationally and internationally.</w:t>
      </w:r>
    </w:p>
    <w:p w14:paraId="6784EFBE" w14:textId="6B0BAF27" w:rsidR="00E4740E" w:rsidRPr="00E4740E" w:rsidRDefault="00E4740E" w:rsidP="00E4740E">
      <w:pPr>
        <w:pStyle w:val="ListParagraph"/>
        <w:spacing w:line="360" w:lineRule="auto"/>
        <w:rPr>
          <w:color w:val="auto"/>
          <w:sz w:val="22"/>
          <w:szCs w:val="22"/>
        </w:rPr>
      </w:pPr>
      <w:r w:rsidRPr="00E4740E">
        <w:rPr>
          <w:color w:val="auto"/>
          <w:sz w:val="22"/>
          <w:szCs w:val="22"/>
        </w:rPr>
        <w:t>The integration of such workflows into wider research e-infrastructures, so as to allow these modelling techniques to ultimately be used routinely in the pharmaceutical industry and clinical contexts.</w:t>
      </w:r>
      <w:r w:rsidRPr="00E4740E">
        <w:rPr>
          <w:color w:val="auto"/>
          <w:sz w:val="22"/>
          <w:szCs w:val="22"/>
        </w:rPr>
        <w:tab/>
      </w:r>
    </w:p>
    <w:p w14:paraId="71EE4A46" w14:textId="45199FC5" w:rsidR="00E4740E" w:rsidRPr="00E4740E" w:rsidRDefault="00E4740E" w:rsidP="00E4740E">
      <w:pPr>
        <w:pStyle w:val="ListParagraph"/>
        <w:spacing w:line="360" w:lineRule="auto"/>
        <w:rPr>
          <w:color w:val="auto"/>
          <w:sz w:val="22"/>
          <w:szCs w:val="22"/>
        </w:rPr>
      </w:pPr>
      <w:r w:rsidRPr="00E4740E">
        <w:rPr>
          <w:color w:val="auto"/>
          <w:sz w:val="22"/>
          <w:szCs w:val="22"/>
        </w:rPr>
        <w:t xml:space="preserve">Preparation of research papers for publication in the scientific literature as well as regular reports and deliverables within various projects including </w:t>
      </w:r>
      <w:proofErr w:type="spellStart"/>
      <w:r w:rsidRPr="00E4740E">
        <w:rPr>
          <w:color w:val="auto"/>
          <w:sz w:val="22"/>
          <w:szCs w:val="22"/>
        </w:rPr>
        <w:t>CompBioMed</w:t>
      </w:r>
      <w:proofErr w:type="spellEnd"/>
      <w:r w:rsidRPr="00E4740E">
        <w:rPr>
          <w:color w:val="auto"/>
          <w:sz w:val="22"/>
          <w:szCs w:val="22"/>
        </w:rPr>
        <w:t xml:space="preserve"> (http://www.compbiomed.eu/); together with </w:t>
      </w:r>
      <w:r w:rsidRPr="00E4740E">
        <w:rPr>
          <w:color w:val="auto"/>
          <w:sz w:val="22"/>
          <w:szCs w:val="22"/>
        </w:rPr>
        <w:lastRenderedPageBreak/>
        <w:t>fully documented manuals describing the content of the software developed and used during the course of the appointment.</w:t>
      </w:r>
    </w:p>
    <w:p w14:paraId="06547742" w14:textId="08D1BECD" w:rsidR="00E4740E" w:rsidRPr="00E4740E" w:rsidRDefault="00E4740E" w:rsidP="00E4740E">
      <w:pPr>
        <w:pStyle w:val="ListParagraph"/>
        <w:spacing w:line="360" w:lineRule="auto"/>
        <w:rPr>
          <w:color w:val="auto"/>
          <w:sz w:val="22"/>
          <w:szCs w:val="22"/>
        </w:rPr>
      </w:pPr>
      <w:r w:rsidRPr="00E4740E">
        <w:rPr>
          <w:color w:val="auto"/>
          <w:sz w:val="22"/>
          <w:szCs w:val="22"/>
        </w:rPr>
        <w:t xml:space="preserve">Participation in regular meetings with colleagues at UCL and with colleagues in projects in which CCS is participating, including the reporting of results from the work being performed at UCL within these projects.  This will entail some level of foreign travel. Participation in grant proposals and submissions. </w:t>
      </w:r>
    </w:p>
    <w:p w14:paraId="6C760074" w14:textId="4A3161F5" w:rsidR="00E4740E" w:rsidRPr="00E4740E" w:rsidRDefault="00E4740E" w:rsidP="00E4740E">
      <w:pPr>
        <w:pStyle w:val="ListParagraph"/>
        <w:spacing w:line="360" w:lineRule="auto"/>
        <w:rPr>
          <w:color w:val="auto"/>
          <w:sz w:val="22"/>
          <w:szCs w:val="22"/>
        </w:rPr>
      </w:pPr>
      <w:r w:rsidRPr="00E4740E">
        <w:rPr>
          <w:color w:val="auto"/>
          <w:sz w:val="22"/>
          <w:szCs w:val="22"/>
        </w:rPr>
        <w:t>Assistance in the supervision of postgraduate and undergraduate students working on related computational projects within the CCS and more widely.</w:t>
      </w:r>
    </w:p>
    <w:p w14:paraId="23870841" w14:textId="19C09485" w:rsidR="00E4740E" w:rsidRPr="00E4740E" w:rsidRDefault="00E4740E" w:rsidP="00E4740E">
      <w:pPr>
        <w:pStyle w:val="ListParagraph"/>
        <w:spacing w:line="360" w:lineRule="auto"/>
        <w:rPr>
          <w:color w:val="auto"/>
          <w:sz w:val="22"/>
          <w:szCs w:val="22"/>
        </w:rPr>
      </w:pPr>
      <w:r w:rsidRPr="00E4740E">
        <w:rPr>
          <w:color w:val="auto"/>
          <w:sz w:val="22"/>
          <w:szCs w:val="22"/>
        </w:rPr>
        <w:t xml:space="preserve">The post-holder will carry out any other duties as are within the scope, spirit and purpose of the job as requested by Peter </w:t>
      </w:r>
      <w:proofErr w:type="spellStart"/>
      <w:r w:rsidRPr="00E4740E">
        <w:rPr>
          <w:color w:val="auto"/>
          <w:sz w:val="22"/>
          <w:szCs w:val="22"/>
        </w:rPr>
        <w:t>Coveney</w:t>
      </w:r>
      <w:proofErr w:type="spellEnd"/>
      <w:r w:rsidRPr="00E4740E">
        <w:rPr>
          <w:color w:val="auto"/>
          <w:sz w:val="22"/>
          <w:szCs w:val="22"/>
        </w:rPr>
        <w:t xml:space="preserve">  or the Head of Department.</w:t>
      </w:r>
    </w:p>
    <w:p w14:paraId="55FE8C9C" w14:textId="07C017B7" w:rsidR="00E4740E" w:rsidRPr="00C0041D" w:rsidRDefault="00E002CC" w:rsidP="00E4740E">
      <w:pPr>
        <w:pStyle w:val="ListParagraph"/>
        <w:spacing w:line="360" w:lineRule="auto"/>
        <w:rPr>
          <w:color w:val="auto"/>
          <w:sz w:val="22"/>
          <w:szCs w:val="22"/>
        </w:rPr>
      </w:pPr>
      <w:r w:rsidRPr="00C0041D">
        <w:rPr>
          <w:color w:val="auto"/>
          <w:sz w:val="22"/>
          <w:szCs w:val="22"/>
        </w:rPr>
        <w:t>T</w:t>
      </w:r>
      <w:r w:rsidR="00E4740E" w:rsidRPr="00C0041D">
        <w:rPr>
          <w:color w:val="auto"/>
          <w:sz w:val="22"/>
          <w:szCs w:val="22"/>
        </w:rPr>
        <w:t>he post-holder will actively follow UCL policies including Equal Opportunities and Race Equality policies</w:t>
      </w:r>
      <w:r w:rsidRPr="00C0041D">
        <w:rPr>
          <w:color w:val="auto"/>
          <w:sz w:val="22"/>
          <w:szCs w:val="22"/>
        </w:rPr>
        <w:t>.</w:t>
      </w:r>
    </w:p>
    <w:p w14:paraId="14BD93ED" w14:textId="06329A97" w:rsidR="00E4740E" w:rsidRPr="00C0041D" w:rsidRDefault="00E4740E" w:rsidP="00C0041D">
      <w:pPr>
        <w:pStyle w:val="ListParagraph"/>
        <w:spacing w:line="360" w:lineRule="auto"/>
        <w:rPr>
          <w:color w:val="auto"/>
          <w:sz w:val="22"/>
          <w:szCs w:val="22"/>
        </w:rPr>
      </w:pPr>
      <w:r w:rsidRPr="00C0041D">
        <w:rPr>
          <w:color w:val="auto"/>
          <w:sz w:val="22"/>
          <w:szCs w:val="22"/>
        </w:rPr>
        <w:t xml:space="preserve">The </w:t>
      </w:r>
      <w:proofErr w:type="spellStart"/>
      <w:r w:rsidRPr="00C0041D">
        <w:rPr>
          <w:color w:val="auto"/>
          <w:sz w:val="22"/>
          <w:szCs w:val="22"/>
        </w:rPr>
        <w:t>postholder</w:t>
      </w:r>
      <w:proofErr w:type="spellEnd"/>
      <w:r w:rsidRPr="00C0041D">
        <w:rPr>
          <w:color w:val="auto"/>
          <w:sz w:val="22"/>
          <w:szCs w:val="22"/>
        </w:rPr>
        <w:t xml:space="preserve"> will maintain an awareness and observation of Fire and Health &amp; Safety Regulations.</w:t>
      </w:r>
    </w:p>
    <w:p w14:paraId="27C8A0E4" w14:textId="77777777" w:rsidR="009A1E18" w:rsidRPr="00C0041D" w:rsidRDefault="00BA2705" w:rsidP="00631AF2">
      <w:pPr>
        <w:pStyle w:val="ListParagraph"/>
        <w:spacing w:line="360" w:lineRule="auto"/>
        <w:rPr>
          <w:color w:val="auto"/>
          <w:sz w:val="22"/>
          <w:szCs w:val="22"/>
          <w:lang w:val="en-US"/>
        </w:rPr>
      </w:pPr>
      <w:r w:rsidRPr="00C0041D">
        <w:rPr>
          <w:color w:val="auto"/>
          <w:sz w:val="22"/>
          <w:szCs w:val="22"/>
          <w:lang w:val="en-US"/>
        </w:rPr>
        <w:t>To undertake a limited amount of teaching in relation to subject area.</w:t>
      </w:r>
    </w:p>
    <w:p w14:paraId="6A4B84CA" w14:textId="77777777" w:rsidR="009A1E18" w:rsidRPr="00C0041D" w:rsidRDefault="00F35258" w:rsidP="00631AF2">
      <w:pPr>
        <w:pStyle w:val="ListParagraph"/>
        <w:spacing w:line="360" w:lineRule="auto"/>
        <w:rPr>
          <w:color w:val="auto"/>
          <w:sz w:val="22"/>
          <w:szCs w:val="22"/>
          <w:lang w:val="en-US"/>
        </w:rPr>
      </w:pPr>
      <w:r w:rsidRPr="00C0041D">
        <w:rPr>
          <w:color w:val="auto"/>
          <w:sz w:val="22"/>
          <w:szCs w:val="22"/>
          <w:lang w:val="en-US"/>
        </w:rPr>
        <w:t>The job description reflects the present requirements of the post, and as duties and responsibilities change/develop, the job description will be reviewed and be subject to amendment in consultation with the post-holder.</w:t>
      </w:r>
    </w:p>
    <w:p w14:paraId="51602E19" w14:textId="77777777" w:rsidR="00F35258" w:rsidRPr="00C0041D" w:rsidRDefault="00F35258" w:rsidP="00631AF2">
      <w:pPr>
        <w:pStyle w:val="ListParagraph"/>
        <w:spacing w:line="360" w:lineRule="auto"/>
        <w:rPr>
          <w:color w:val="auto"/>
          <w:sz w:val="22"/>
          <w:szCs w:val="22"/>
          <w:lang w:val="en-US"/>
        </w:rPr>
      </w:pPr>
      <w:r w:rsidRPr="00C0041D">
        <w:rPr>
          <w:color w:val="auto"/>
          <w:sz w:val="22"/>
          <w:szCs w:val="22"/>
          <w:lang w:val="en-US"/>
        </w:rPr>
        <w:t xml:space="preserve">The </w:t>
      </w:r>
      <w:proofErr w:type="spellStart"/>
      <w:r w:rsidRPr="00C0041D">
        <w:rPr>
          <w:color w:val="auto"/>
          <w:sz w:val="22"/>
          <w:szCs w:val="22"/>
          <w:lang w:val="en-US"/>
        </w:rPr>
        <w:t>postholder</w:t>
      </w:r>
      <w:proofErr w:type="spellEnd"/>
      <w:r w:rsidRPr="00C0041D">
        <w:rPr>
          <w:color w:val="auto"/>
          <w:sz w:val="22"/>
          <w:szCs w:val="22"/>
          <w:lang w:val="en-US"/>
        </w:rPr>
        <w:t xml:space="preserve"> will maintain an awareness and observation of Fire and Health &amp; Safety </w:t>
      </w:r>
      <w:r w:rsidR="006B6248" w:rsidRPr="00C0041D">
        <w:rPr>
          <w:color w:val="auto"/>
          <w:sz w:val="22"/>
          <w:szCs w:val="22"/>
          <w:lang w:val="en-US"/>
        </w:rPr>
        <w:t>Regulations.</w:t>
      </w:r>
    </w:p>
    <w:p w14:paraId="34136BF8" w14:textId="77777777" w:rsidR="00C0041D" w:rsidRPr="00C0041D" w:rsidRDefault="006B6248" w:rsidP="00C0041D">
      <w:pPr>
        <w:pStyle w:val="ListParagraph"/>
        <w:rPr>
          <w:color w:val="auto"/>
          <w:szCs w:val="20"/>
          <w:lang w:val="en-US"/>
        </w:rPr>
      </w:pPr>
      <w:r w:rsidRPr="00C0041D">
        <w:rPr>
          <w:color w:val="auto"/>
          <w:sz w:val="22"/>
          <w:szCs w:val="22"/>
          <w:lang w:val="en-US"/>
        </w:rPr>
        <w:t>To be aware of and act upon</w:t>
      </w:r>
      <w:r w:rsidR="00C0041D" w:rsidRPr="00C0041D">
        <w:rPr>
          <w:color w:val="auto"/>
          <w:sz w:val="22"/>
          <w:szCs w:val="22"/>
          <w:lang w:val="en-US"/>
        </w:rPr>
        <w:t xml:space="preserve"> d</w:t>
      </w:r>
      <w:r w:rsidRPr="00C0041D">
        <w:rPr>
          <w:color w:val="auto"/>
          <w:sz w:val="22"/>
          <w:szCs w:val="22"/>
          <w:lang w:val="en-US"/>
        </w:rPr>
        <w:t>isciplinary procedure and disciplinary rules</w:t>
      </w:r>
      <w:r w:rsidR="00C0041D" w:rsidRPr="00C0041D">
        <w:rPr>
          <w:color w:val="auto"/>
          <w:sz w:val="22"/>
          <w:szCs w:val="22"/>
          <w:lang w:val="en-US"/>
        </w:rPr>
        <w:t>, g</w:t>
      </w:r>
      <w:r w:rsidRPr="00C0041D">
        <w:rPr>
          <w:color w:val="auto"/>
          <w:sz w:val="22"/>
          <w:szCs w:val="22"/>
          <w:lang w:val="en-US"/>
        </w:rPr>
        <w:t>rievance procedure</w:t>
      </w:r>
      <w:r w:rsidR="00C0041D" w:rsidRPr="00C0041D">
        <w:rPr>
          <w:color w:val="auto"/>
          <w:sz w:val="22"/>
          <w:szCs w:val="22"/>
          <w:lang w:val="en-US"/>
        </w:rPr>
        <w:t>, s</w:t>
      </w:r>
      <w:r w:rsidRPr="00C0041D">
        <w:rPr>
          <w:color w:val="auto"/>
          <w:sz w:val="22"/>
          <w:szCs w:val="22"/>
          <w:lang w:val="en-US"/>
        </w:rPr>
        <w:t>ection 7 and 8 of the Health and Safety at Work Act</w:t>
      </w:r>
      <w:r w:rsidR="00C0041D">
        <w:rPr>
          <w:color w:val="auto"/>
          <w:sz w:val="22"/>
          <w:szCs w:val="22"/>
          <w:lang w:val="en-US"/>
        </w:rPr>
        <w:t>.</w:t>
      </w:r>
    </w:p>
    <w:p w14:paraId="537B9687" w14:textId="77777777" w:rsidR="00C0041D" w:rsidRDefault="00C0041D" w:rsidP="00C0041D">
      <w:pPr>
        <w:rPr>
          <w:color w:val="auto"/>
          <w:szCs w:val="20"/>
          <w:lang w:val="en-US"/>
        </w:rPr>
      </w:pPr>
    </w:p>
    <w:p w14:paraId="14396B09" w14:textId="77777777" w:rsidR="00C0041D" w:rsidRDefault="00C0041D" w:rsidP="00C0041D">
      <w:pPr>
        <w:rPr>
          <w:color w:val="auto"/>
          <w:szCs w:val="20"/>
          <w:lang w:val="en-US"/>
        </w:rPr>
      </w:pPr>
    </w:p>
    <w:p w14:paraId="7A7A864B" w14:textId="474A9B6C" w:rsidR="00C0041D" w:rsidRPr="00C0041D" w:rsidRDefault="00C0041D" w:rsidP="00C0041D">
      <w:pPr>
        <w:rPr>
          <w:color w:val="auto"/>
          <w:szCs w:val="20"/>
          <w:lang w:val="en-US"/>
        </w:rPr>
        <w:sectPr w:rsidR="00C0041D" w:rsidRPr="00C0041D" w:rsidSect="00974301">
          <w:type w:val="continuous"/>
          <w:pgSz w:w="11900" w:h="16840"/>
          <w:pgMar w:top="2268" w:right="567" w:bottom="1134" w:left="567" w:header="680" w:footer="709" w:gutter="0"/>
          <w:cols w:space="708"/>
          <w:titlePg/>
          <w:docGrid w:linePitch="326"/>
        </w:sectPr>
      </w:pPr>
    </w:p>
    <w:p w14:paraId="497EEBD3" w14:textId="77777777" w:rsidR="00647662" w:rsidRPr="00010BD4" w:rsidRDefault="006C089E" w:rsidP="005136DA">
      <w:pPr>
        <w:pStyle w:val="Heading1"/>
        <w:rPr>
          <w:sz w:val="44"/>
          <w:szCs w:val="44"/>
        </w:rPr>
      </w:pPr>
      <w:r w:rsidRPr="00010BD4">
        <w:rPr>
          <w:sz w:val="44"/>
          <w:szCs w:val="44"/>
        </w:rPr>
        <w:lastRenderedPageBreak/>
        <w:t>Person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222"/>
        <w:gridCol w:w="2551"/>
      </w:tblGrid>
      <w:tr w:rsidR="002F3442" w14:paraId="71E03DDB" w14:textId="77777777" w:rsidTr="00CB629F">
        <w:trPr>
          <w:trHeight w:val="395"/>
          <w:tblHeader/>
        </w:trPr>
        <w:tc>
          <w:tcPr>
            <w:tcW w:w="8222" w:type="dxa"/>
          </w:tcPr>
          <w:p w14:paraId="2529CBCE" w14:textId="77777777" w:rsidR="002F3442" w:rsidRDefault="002F3442" w:rsidP="0051405E">
            <w:pPr>
              <w:spacing w:after="0"/>
            </w:pPr>
            <w:r w:rsidRPr="003F4C49">
              <w:rPr>
                <w:rFonts w:eastAsiaTheme="majorEastAsia" w:cstheme="majorBidi"/>
                <w:iCs/>
                <w:color w:val="7A2B41"/>
                <w:sz w:val="24"/>
                <w:lang w:val="en-US" w:eastAsia="en-US"/>
              </w:rPr>
              <w:t>Criteria</w:t>
            </w:r>
          </w:p>
        </w:tc>
        <w:tc>
          <w:tcPr>
            <w:tcW w:w="2551" w:type="dxa"/>
          </w:tcPr>
          <w:p w14:paraId="4F7C629F" w14:textId="77777777" w:rsidR="002F3442" w:rsidRDefault="002F3442" w:rsidP="0051405E">
            <w:pPr>
              <w:spacing w:after="0"/>
            </w:pPr>
            <w:r w:rsidRPr="003F4C49">
              <w:rPr>
                <w:rFonts w:eastAsiaTheme="majorEastAsia" w:cstheme="majorBidi"/>
                <w:iCs/>
                <w:color w:val="7A2B41"/>
                <w:sz w:val="24"/>
                <w:lang w:val="en-US" w:eastAsia="en-US"/>
              </w:rPr>
              <w:t>Essential or Desirable</w:t>
            </w:r>
          </w:p>
        </w:tc>
      </w:tr>
      <w:tr w:rsidR="002F3442" w14:paraId="56AC373F" w14:textId="77777777" w:rsidTr="00CB629F">
        <w:trPr>
          <w:trHeight w:val="377"/>
        </w:trPr>
        <w:tc>
          <w:tcPr>
            <w:tcW w:w="8222" w:type="dxa"/>
            <w:shd w:val="clear" w:color="auto" w:fill="D9D9D9" w:themeFill="background1" w:themeFillShade="D9"/>
          </w:tcPr>
          <w:p w14:paraId="42B2016E" w14:textId="77777777" w:rsidR="002F3442" w:rsidRPr="00631AF2" w:rsidRDefault="00305A2F" w:rsidP="0051405E">
            <w:pPr>
              <w:rPr>
                <w:b/>
                <w:sz w:val="22"/>
                <w:szCs w:val="22"/>
              </w:rPr>
            </w:pPr>
            <w:r w:rsidRPr="00631AF2">
              <w:rPr>
                <w:b/>
                <w:sz w:val="22"/>
                <w:szCs w:val="22"/>
              </w:rPr>
              <w:t>Qualifications, e</w:t>
            </w:r>
            <w:r w:rsidR="001A3B52" w:rsidRPr="00631AF2">
              <w:rPr>
                <w:b/>
                <w:sz w:val="22"/>
                <w:szCs w:val="22"/>
              </w:rPr>
              <w:t>xperience and knowledge</w:t>
            </w:r>
          </w:p>
        </w:tc>
        <w:tc>
          <w:tcPr>
            <w:tcW w:w="2551" w:type="dxa"/>
            <w:shd w:val="clear" w:color="auto" w:fill="D9D9D9" w:themeFill="background1" w:themeFillShade="D9"/>
          </w:tcPr>
          <w:p w14:paraId="41EDB100" w14:textId="77777777" w:rsidR="002F3442" w:rsidRDefault="002F3442" w:rsidP="0051405E"/>
        </w:tc>
      </w:tr>
      <w:tr w:rsidR="002F3442" w14:paraId="6F5F9234" w14:textId="77777777" w:rsidTr="00CB629F">
        <w:trPr>
          <w:trHeight w:val="377"/>
        </w:trPr>
        <w:tc>
          <w:tcPr>
            <w:tcW w:w="8222" w:type="dxa"/>
          </w:tcPr>
          <w:p w14:paraId="27D05B75" w14:textId="64FEE783" w:rsidR="00CB629F" w:rsidRPr="003D36E2" w:rsidRDefault="006B6248" w:rsidP="0051405E">
            <w:pPr>
              <w:rPr>
                <w:sz w:val="22"/>
                <w:szCs w:val="22"/>
              </w:rPr>
            </w:pPr>
            <w:r w:rsidRPr="003D36E2">
              <w:rPr>
                <w:sz w:val="22"/>
                <w:szCs w:val="22"/>
              </w:rPr>
              <w:t xml:space="preserve">PhD </w:t>
            </w:r>
            <w:r w:rsidR="00A4642D">
              <w:rPr>
                <w:sz w:val="22"/>
                <w:szCs w:val="22"/>
              </w:rPr>
              <w:t xml:space="preserve">(or near to being awarded a PhD) </w:t>
            </w:r>
            <w:r w:rsidRPr="003D36E2">
              <w:rPr>
                <w:sz w:val="22"/>
                <w:szCs w:val="22"/>
              </w:rPr>
              <w:t xml:space="preserve">in </w:t>
            </w:r>
            <w:r w:rsidR="002F4912" w:rsidRPr="003D36E2">
              <w:rPr>
                <w:sz w:val="22"/>
                <w:szCs w:val="22"/>
              </w:rPr>
              <w:t>bio-molecular dynamics modelling for protein-ligand binding free energy determination, with proven programming expertise in at least two languages (e.g. C++ and Python).</w:t>
            </w:r>
          </w:p>
        </w:tc>
        <w:tc>
          <w:tcPr>
            <w:tcW w:w="2551" w:type="dxa"/>
          </w:tcPr>
          <w:p w14:paraId="7F515CBC" w14:textId="280FA2FA" w:rsidR="002F3442" w:rsidRDefault="002F4912" w:rsidP="003D36E2">
            <w:pPr>
              <w:jc w:val="center"/>
            </w:pPr>
            <w:r>
              <w:t>Essential</w:t>
            </w:r>
          </w:p>
        </w:tc>
      </w:tr>
      <w:tr w:rsidR="003D36E2" w14:paraId="3CEE2ED4" w14:textId="77777777" w:rsidTr="00CB629F">
        <w:trPr>
          <w:trHeight w:val="377"/>
        </w:trPr>
        <w:tc>
          <w:tcPr>
            <w:tcW w:w="8222" w:type="dxa"/>
          </w:tcPr>
          <w:p w14:paraId="4078C31C" w14:textId="2E8FD500" w:rsidR="003D36E2" w:rsidRPr="003D36E2" w:rsidRDefault="003D36E2" w:rsidP="003D36E2">
            <w:pPr>
              <w:rPr>
                <w:sz w:val="22"/>
                <w:szCs w:val="22"/>
              </w:rPr>
            </w:pPr>
            <w:r w:rsidRPr="003D36E2">
              <w:rPr>
                <w:sz w:val="22"/>
                <w:szCs w:val="22"/>
              </w:rPr>
              <w:t>Experience with writing and executing automated workflows in distributed environments.</w:t>
            </w:r>
          </w:p>
        </w:tc>
        <w:tc>
          <w:tcPr>
            <w:tcW w:w="2551" w:type="dxa"/>
          </w:tcPr>
          <w:p w14:paraId="73E1EA80" w14:textId="7ECA2DE5" w:rsidR="003D36E2" w:rsidRDefault="003D36E2" w:rsidP="003D36E2">
            <w:pPr>
              <w:jc w:val="center"/>
            </w:pPr>
            <w:r>
              <w:t>Essential</w:t>
            </w:r>
          </w:p>
        </w:tc>
      </w:tr>
      <w:tr w:rsidR="003D36E2" w14:paraId="3B55CDD4" w14:textId="77777777" w:rsidTr="00CB629F">
        <w:trPr>
          <w:trHeight w:val="377"/>
        </w:trPr>
        <w:tc>
          <w:tcPr>
            <w:tcW w:w="8222" w:type="dxa"/>
          </w:tcPr>
          <w:p w14:paraId="18875E73" w14:textId="35ED69C5" w:rsidR="003D36E2" w:rsidRPr="003D36E2" w:rsidRDefault="003D36E2" w:rsidP="003D36E2">
            <w:pPr>
              <w:rPr>
                <w:sz w:val="22"/>
                <w:szCs w:val="22"/>
              </w:rPr>
            </w:pPr>
            <w:r w:rsidRPr="003D36E2">
              <w:rPr>
                <w:sz w:val="22"/>
                <w:szCs w:val="22"/>
              </w:rPr>
              <w:t>Extensive experience of molecular modelling and simulation, particularly involving high performance (parallel) computing.</w:t>
            </w:r>
          </w:p>
        </w:tc>
        <w:tc>
          <w:tcPr>
            <w:tcW w:w="2551" w:type="dxa"/>
          </w:tcPr>
          <w:p w14:paraId="1C3F16AE" w14:textId="7D27360D" w:rsidR="003D36E2" w:rsidRDefault="003D36E2" w:rsidP="003D36E2">
            <w:pPr>
              <w:jc w:val="center"/>
            </w:pPr>
            <w:r>
              <w:t>Essential</w:t>
            </w:r>
          </w:p>
        </w:tc>
      </w:tr>
      <w:tr w:rsidR="003D36E2" w14:paraId="6FF1CBC6" w14:textId="77777777" w:rsidTr="00CB629F">
        <w:trPr>
          <w:trHeight w:val="377"/>
        </w:trPr>
        <w:tc>
          <w:tcPr>
            <w:tcW w:w="8222" w:type="dxa"/>
          </w:tcPr>
          <w:p w14:paraId="65C615D4" w14:textId="31AAECC4" w:rsidR="003D36E2" w:rsidRPr="003D36E2" w:rsidRDefault="003D36E2" w:rsidP="003D36E2">
            <w:pPr>
              <w:rPr>
                <w:sz w:val="22"/>
                <w:szCs w:val="22"/>
              </w:rPr>
            </w:pPr>
            <w:r w:rsidRPr="003D36E2">
              <w:rPr>
                <w:sz w:val="22"/>
                <w:szCs w:val="22"/>
              </w:rPr>
              <w:t xml:space="preserve">Experience using common molecular dynamics packages including at least two of NAMD, AMBER, GROMACS and </w:t>
            </w:r>
            <w:proofErr w:type="spellStart"/>
            <w:r w:rsidRPr="003D36E2">
              <w:rPr>
                <w:sz w:val="22"/>
                <w:szCs w:val="22"/>
              </w:rPr>
              <w:t>OpenMM</w:t>
            </w:r>
            <w:proofErr w:type="spellEnd"/>
            <w:r w:rsidRPr="003D36E2">
              <w:rPr>
                <w:sz w:val="22"/>
                <w:szCs w:val="22"/>
              </w:rPr>
              <w:t>.</w:t>
            </w:r>
          </w:p>
        </w:tc>
        <w:tc>
          <w:tcPr>
            <w:tcW w:w="2551" w:type="dxa"/>
          </w:tcPr>
          <w:p w14:paraId="7B4061B8" w14:textId="645189BB" w:rsidR="003D36E2" w:rsidRDefault="003D36E2" w:rsidP="003D36E2">
            <w:pPr>
              <w:jc w:val="center"/>
            </w:pPr>
            <w:r>
              <w:t>Essential</w:t>
            </w:r>
          </w:p>
        </w:tc>
      </w:tr>
      <w:tr w:rsidR="00592827" w14:paraId="655C39DD" w14:textId="77777777" w:rsidTr="00CB629F">
        <w:trPr>
          <w:trHeight w:val="377"/>
        </w:trPr>
        <w:tc>
          <w:tcPr>
            <w:tcW w:w="8222" w:type="dxa"/>
          </w:tcPr>
          <w:p w14:paraId="53AEE8CE" w14:textId="387D7AF6" w:rsidR="00592827" w:rsidRPr="003D36E2" w:rsidRDefault="005C1805" w:rsidP="003D36E2">
            <w:pPr>
              <w:rPr>
                <w:sz w:val="22"/>
                <w:szCs w:val="22"/>
              </w:rPr>
            </w:pPr>
            <w:r>
              <w:rPr>
                <w:sz w:val="22"/>
                <w:szCs w:val="22"/>
              </w:rPr>
              <w:t>High-quality publications at peer-reviewed journals: a</w:t>
            </w:r>
            <w:r w:rsidR="00592827" w:rsidRPr="00592827">
              <w:rPr>
                <w:sz w:val="22"/>
                <w:szCs w:val="22"/>
              </w:rPr>
              <w:t xml:space="preserve">t least two published or accepted by the time </w:t>
            </w:r>
            <w:r>
              <w:rPr>
                <w:sz w:val="22"/>
                <w:szCs w:val="22"/>
              </w:rPr>
              <w:t xml:space="preserve">of </w:t>
            </w:r>
            <w:r w:rsidR="00592827" w:rsidRPr="00592827">
              <w:rPr>
                <w:sz w:val="22"/>
                <w:szCs w:val="22"/>
              </w:rPr>
              <w:t>PhD award</w:t>
            </w:r>
            <w:r>
              <w:rPr>
                <w:sz w:val="22"/>
                <w:szCs w:val="22"/>
              </w:rPr>
              <w:t>;</w:t>
            </w:r>
            <w:r w:rsidR="00592827" w:rsidRPr="00592827">
              <w:rPr>
                <w:sz w:val="22"/>
                <w:szCs w:val="22"/>
              </w:rPr>
              <w:t xml:space="preserve"> for </w:t>
            </w:r>
            <w:r>
              <w:rPr>
                <w:sz w:val="22"/>
                <w:szCs w:val="22"/>
              </w:rPr>
              <w:t>more experienced</w:t>
            </w:r>
            <w:r w:rsidR="00592827" w:rsidRPr="00592827">
              <w:rPr>
                <w:sz w:val="22"/>
                <w:szCs w:val="22"/>
              </w:rPr>
              <w:t xml:space="preserve"> applicants, a</w:t>
            </w:r>
            <w:r>
              <w:rPr>
                <w:sz w:val="22"/>
                <w:szCs w:val="22"/>
              </w:rPr>
              <w:t xml:space="preserve"> </w:t>
            </w:r>
            <w:r w:rsidR="00592827" w:rsidRPr="00592827">
              <w:rPr>
                <w:sz w:val="22"/>
                <w:szCs w:val="22"/>
              </w:rPr>
              <w:t>correspondingly sustained output</w:t>
            </w:r>
            <w:r>
              <w:rPr>
                <w:sz w:val="22"/>
                <w:szCs w:val="22"/>
              </w:rPr>
              <w:t>.</w:t>
            </w:r>
          </w:p>
        </w:tc>
        <w:tc>
          <w:tcPr>
            <w:tcW w:w="2551" w:type="dxa"/>
          </w:tcPr>
          <w:p w14:paraId="7826035F" w14:textId="5672910B" w:rsidR="00592827" w:rsidRDefault="005C1805" w:rsidP="003D36E2">
            <w:pPr>
              <w:jc w:val="center"/>
            </w:pPr>
            <w:r>
              <w:t>Essential</w:t>
            </w:r>
          </w:p>
        </w:tc>
      </w:tr>
      <w:tr w:rsidR="00823B00" w14:paraId="44AFF5E6" w14:textId="77777777" w:rsidTr="00CB629F">
        <w:trPr>
          <w:trHeight w:val="377"/>
        </w:trPr>
        <w:tc>
          <w:tcPr>
            <w:tcW w:w="8222" w:type="dxa"/>
          </w:tcPr>
          <w:p w14:paraId="4293CCEE" w14:textId="1B632DC5" w:rsidR="00823B00" w:rsidRPr="003D36E2" w:rsidRDefault="00823B00" w:rsidP="003D36E2">
            <w:pPr>
              <w:rPr>
                <w:sz w:val="22"/>
                <w:szCs w:val="22"/>
              </w:rPr>
            </w:pPr>
            <w:r>
              <w:rPr>
                <w:sz w:val="22"/>
                <w:szCs w:val="22"/>
              </w:rPr>
              <w:t>GCSE English Grade C or above (or equivalent, e.g. IELTS)</w:t>
            </w:r>
          </w:p>
        </w:tc>
        <w:tc>
          <w:tcPr>
            <w:tcW w:w="2551" w:type="dxa"/>
          </w:tcPr>
          <w:p w14:paraId="3B299117" w14:textId="53C4CF27" w:rsidR="00823B00" w:rsidRDefault="00823B00" w:rsidP="003D36E2">
            <w:pPr>
              <w:jc w:val="center"/>
            </w:pPr>
            <w:r>
              <w:t>Essential</w:t>
            </w:r>
          </w:p>
        </w:tc>
      </w:tr>
      <w:tr w:rsidR="003D36E2" w14:paraId="6984ADCB" w14:textId="77777777" w:rsidTr="00CB629F">
        <w:trPr>
          <w:trHeight w:val="377"/>
        </w:trPr>
        <w:tc>
          <w:tcPr>
            <w:tcW w:w="8222" w:type="dxa"/>
          </w:tcPr>
          <w:p w14:paraId="720312C1" w14:textId="6EDE088E" w:rsidR="003D36E2" w:rsidRPr="003D36E2" w:rsidRDefault="003D36E2" w:rsidP="003D36E2">
            <w:pPr>
              <w:rPr>
                <w:sz w:val="22"/>
                <w:szCs w:val="22"/>
              </w:rPr>
            </w:pPr>
            <w:r w:rsidRPr="003D36E2">
              <w:rPr>
                <w:sz w:val="22"/>
                <w:szCs w:val="22"/>
              </w:rPr>
              <w:t>Experience with use of GPU architectures.</w:t>
            </w:r>
          </w:p>
        </w:tc>
        <w:tc>
          <w:tcPr>
            <w:tcW w:w="2551" w:type="dxa"/>
          </w:tcPr>
          <w:p w14:paraId="7AF37962" w14:textId="763A3695" w:rsidR="003D36E2" w:rsidRDefault="003D36E2" w:rsidP="003D36E2">
            <w:pPr>
              <w:jc w:val="center"/>
            </w:pPr>
            <w:r>
              <w:t>Desirable</w:t>
            </w:r>
          </w:p>
        </w:tc>
      </w:tr>
      <w:tr w:rsidR="003D36E2" w14:paraId="7E5B65D8" w14:textId="77777777" w:rsidTr="00CB629F">
        <w:trPr>
          <w:trHeight w:val="377"/>
        </w:trPr>
        <w:tc>
          <w:tcPr>
            <w:tcW w:w="8222" w:type="dxa"/>
          </w:tcPr>
          <w:p w14:paraId="220C3511" w14:textId="77777777" w:rsidR="003D36E2" w:rsidRPr="00631AF2" w:rsidRDefault="003D36E2" w:rsidP="003D36E2">
            <w:pPr>
              <w:rPr>
                <w:sz w:val="22"/>
                <w:szCs w:val="22"/>
              </w:rPr>
            </w:pPr>
          </w:p>
        </w:tc>
        <w:tc>
          <w:tcPr>
            <w:tcW w:w="2551" w:type="dxa"/>
          </w:tcPr>
          <w:p w14:paraId="495C8B5E" w14:textId="77777777" w:rsidR="003D36E2" w:rsidRDefault="003D36E2" w:rsidP="003D36E2"/>
        </w:tc>
      </w:tr>
      <w:tr w:rsidR="003D36E2" w14:paraId="00D4D5CF" w14:textId="77777777" w:rsidTr="00CB629F">
        <w:trPr>
          <w:trHeight w:val="377"/>
        </w:trPr>
        <w:tc>
          <w:tcPr>
            <w:tcW w:w="8222" w:type="dxa"/>
            <w:shd w:val="clear" w:color="auto" w:fill="D9D9D9" w:themeFill="background1" w:themeFillShade="D9"/>
          </w:tcPr>
          <w:p w14:paraId="135F015D" w14:textId="77777777" w:rsidR="003D36E2" w:rsidRPr="00631AF2" w:rsidRDefault="003D36E2" w:rsidP="003D36E2">
            <w:pPr>
              <w:rPr>
                <w:b/>
                <w:sz w:val="22"/>
                <w:szCs w:val="22"/>
              </w:rPr>
            </w:pPr>
            <w:r w:rsidRPr="00631AF2">
              <w:rPr>
                <w:b/>
                <w:sz w:val="22"/>
                <w:szCs w:val="22"/>
              </w:rPr>
              <w:t>Skills and abilities</w:t>
            </w:r>
          </w:p>
        </w:tc>
        <w:tc>
          <w:tcPr>
            <w:tcW w:w="2551" w:type="dxa"/>
            <w:shd w:val="clear" w:color="auto" w:fill="D9D9D9" w:themeFill="background1" w:themeFillShade="D9"/>
          </w:tcPr>
          <w:p w14:paraId="3EC403DC" w14:textId="77777777" w:rsidR="003D36E2" w:rsidRDefault="003D36E2" w:rsidP="003D36E2"/>
        </w:tc>
      </w:tr>
      <w:tr w:rsidR="00F54B0D" w14:paraId="6A7BE79B" w14:textId="77777777" w:rsidTr="00CB629F">
        <w:trPr>
          <w:trHeight w:val="377"/>
        </w:trPr>
        <w:tc>
          <w:tcPr>
            <w:tcW w:w="8222" w:type="dxa"/>
          </w:tcPr>
          <w:p w14:paraId="001B133C" w14:textId="3B85085F" w:rsidR="00F54B0D" w:rsidRPr="00631AF2" w:rsidRDefault="00F54B0D" w:rsidP="00F54B0D">
            <w:pPr>
              <w:rPr>
                <w:sz w:val="22"/>
                <w:szCs w:val="22"/>
              </w:rPr>
            </w:pPr>
            <w:r w:rsidRPr="003D36E2">
              <w:rPr>
                <w:sz w:val="22"/>
                <w:szCs w:val="22"/>
              </w:rPr>
              <w:t>Proven programming ability in at least two suitable high level programming language such as C, Fortran, Python and/or C++.</w:t>
            </w:r>
          </w:p>
        </w:tc>
        <w:tc>
          <w:tcPr>
            <w:tcW w:w="2551" w:type="dxa"/>
          </w:tcPr>
          <w:p w14:paraId="29BD9EA5" w14:textId="5DC4B504" w:rsidR="00F54B0D" w:rsidRDefault="00F54B0D" w:rsidP="00F54B0D">
            <w:pPr>
              <w:jc w:val="center"/>
            </w:pPr>
            <w:r>
              <w:t>Essential</w:t>
            </w:r>
          </w:p>
        </w:tc>
      </w:tr>
      <w:tr w:rsidR="00F54B0D" w14:paraId="7CF153B0" w14:textId="77777777" w:rsidTr="00CB629F">
        <w:trPr>
          <w:trHeight w:val="377"/>
        </w:trPr>
        <w:tc>
          <w:tcPr>
            <w:tcW w:w="8222" w:type="dxa"/>
          </w:tcPr>
          <w:p w14:paraId="2E711A93" w14:textId="3C3B10BF" w:rsidR="00F54B0D" w:rsidRPr="00631AF2" w:rsidRDefault="00F54B0D" w:rsidP="00F54B0D">
            <w:pPr>
              <w:rPr>
                <w:sz w:val="22"/>
                <w:szCs w:val="22"/>
              </w:rPr>
            </w:pPr>
            <w:r w:rsidRPr="003D36E2">
              <w:rPr>
                <w:rFonts w:cs="Arial"/>
                <w:sz w:val="22"/>
                <w:szCs w:val="22"/>
              </w:rPr>
              <w:t>Excellent IT skills as required for performing post, including good knowledge of software and hardware infrastructure necessary for distributed environments.</w:t>
            </w:r>
          </w:p>
        </w:tc>
        <w:tc>
          <w:tcPr>
            <w:tcW w:w="2551" w:type="dxa"/>
          </w:tcPr>
          <w:p w14:paraId="44153725" w14:textId="40FE42C8" w:rsidR="00F54B0D" w:rsidRDefault="00F54B0D" w:rsidP="00F54B0D">
            <w:pPr>
              <w:jc w:val="center"/>
            </w:pPr>
            <w:r>
              <w:t>Essential</w:t>
            </w:r>
          </w:p>
        </w:tc>
      </w:tr>
      <w:tr w:rsidR="00F54B0D" w:rsidRPr="005C1805" w14:paraId="6B657AAE" w14:textId="77777777" w:rsidTr="00CB629F">
        <w:trPr>
          <w:trHeight w:val="377"/>
        </w:trPr>
        <w:tc>
          <w:tcPr>
            <w:tcW w:w="8222" w:type="dxa"/>
          </w:tcPr>
          <w:p w14:paraId="5124918E" w14:textId="1762F3AB" w:rsidR="00F54B0D" w:rsidRPr="005C1805" w:rsidRDefault="00F54B0D" w:rsidP="00F54B0D">
            <w:pPr>
              <w:rPr>
                <w:sz w:val="22"/>
                <w:szCs w:val="22"/>
              </w:rPr>
            </w:pPr>
            <w:r w:rsidRPr="005C1805">
              <w:rPr>
                <w:rFonts w:cs="Arial"/>
                <w:sz w:val="22"/>
                <w:szCs w:val="22"/>
              </w:rPr>
              <w:t>Ability to develop and give advice on strategic decisions with</w:t>
            </w:r>
            <w:r w:rsidR="00C25DB1">
              <w:rPr>
                <w:rFonts w:cs="Arial"/>
                <w:sz w:val="22"/>
                <w:szCs w:val="22"/>
              </w:rPr>
              <w:t>in</w:t>
            </w:r>
            <w:r w:rsidRPr="005C1805">
              <w:rPr>
                <w:rFonts w:cs="Arial"/>
                <w:sz w:val="22"/>
                <w:szCs w:val="22"/>
              </w:rPr>
              <w:t xml:space="preserve"> this domain.</w:t>
            </w:r>
          </w:p>
        </w:tc>
        <w:tc>
          <w:tcPr>
            <w:tcW w:w="2551" w:type="dxa"/>
          </w:tcPr>
          <w:p w14:paraId="02F0CFED" w14:textId="6FFD70B7" w:rsidR="00F54B0D" w:rsidRPr="005C1805" w:rsidRDefault="00F54B0D" w:rsidP="00F54B0D">
            <w:pPr>
              <w:jc w:val="center"/>
              <w:rPr>
                <w:sz w:val="22"/>
                <w:szCs w:val="22"/>
              </w:rPr>
            </w:pPr>
            <w:r w:rsidRPr="005C1805">
              <w:rPr>
                <w:sz w:val="22"/>
                <w:szCs w:val="22"/>
              </w:rPr>
              <w:t>Essential</w:t>
            </w:r>
          </w:p>
        </w:tc>
      </w:tr>
      <w:tr w:rsidR="00F54B0D" w:rsidRPr="005C1805" w14:paraId="63008817" w14:textId="77777777" w:rsidTr="00CB629F">
        <w:trPr>
          <w:trHeight w:val="377"/>
        </w:trPr>
        <w:tc>
          <w:tcPr>
            <w:tcW w:w="8222" w:type="dxa"/>
          </w:tcPr>
          <w:p w14:paraId="4F67527A" w14:textId="77777777" w:rsidR="00F54B0D" w:rsidRPr="005C1805" w:rsidRDefault="00F54B0D" w:rsidP="00F54B0D">
            <w:pPr>
              <w:rPr>
                <w:sz w:val="22"/>
                <w:szCs w:val="22"/>
              </w:rPr>
            </w:pPr>
          </w:p>
        </w:tc>
        <w:tc>
          <w:tcPr>
            <w:tcW w:w="2551" w:type="dxa"/>
          </w:tcPr>
          <w:p w14:paraId="49D3F23A" w14:textId="77777777" w:rsidR="00F54B0D" w:rsidRPr="005C1805" w:rsidRDefault="00F54B0D" w:rsidP="00F54B0D">
            <w:pPr>
              <w:rPr>
                <w:sz w:val="22"/>
                <w:szCs w:val="22"/>
              </w:rPr>
            </w:pPr>
          </w:p>
        </w:tc>
      </w:tr>
      <w:tr w:rsidR="00F54B0D" w:rsidRPr="005C1805" w14:paraId="34E0C00F" w14:textId="77777777" w:rsidTr="00CB629F">
        <w:trPr>
          <w:trHeight w:val="377"/>
        </w:trPr>
        <w:tc>
          <w:tcPr>
            <w:tcW w:w="8222" w:type="dxa"/>
            <w:shd w:val="clear" w:color="auto" w:fill="D9D9D9" w:themeFill="background1" w:themeFillShade="D9"/>
          </w:tcPr>
          <w:p w14:paraId="2671BF36" w14:textId="77777777" w:rsidR="00F54B0D" w:rsidRPr="005C1805" w:rsidRDefault="00F54B0D" w:rsidP="00F54B0D">
            <w:pPr>
              <w:rPr>
                <w:b/>
                <w:sz w:val="22"/>
                <w:szCs w:val="22"/>
              </w:rPr>
            </w:pPr>
            <w:r w:rsidRPr="005C1805">
              <w:rPr>
                <w:b/>
                <w:sz w:val="22"/>
                <w:szCs w:val="22"/>
              </w:rPr>
              <w:t>Personal attributes</w:t>
            </w:r>
          </w:p>
        </w:tc>
        <w:tc>
          <w:tcPr>
            <w:tcW w:w="2551" w:type="dxa"/>
            <w:shd w:val="clear" w:color="auto" w:fill="D9D9D9" w:themeFill="background1" w:themeFillShade="D9"/>
          </w:tcPr>
          <w:p w14:paraId="74C140D2" w14:textId="77777777" w:rsidR="00F54B0D" w:rsidRPr="005C1805" w:rsidRDefault="00F54B0D" w:rsidP="00F54B0D">
            <w:pPr>
              <w:rPr>
                <w:sz w:val="22"/>
                <w:szCs w:val="22"/>
              </w:rPr>
            </w:pPr>
          </w:p>
        </w:tc>
      </w:tr>
      <w:tr w:rsidR="00F54B0D" w:rsidRPr="005C1805" w14:paraId="33A8EA8B" w14:textId="77777777" w:rsidTr="00CB629F">
        <w:trPr>
          <w:trHeight w:val="377"/>
        </w:trPr>
        <w:tc>
          <w:tcPr>
            <w:tcW w:w="8222" w:type="dxa"/>
          </w:tcPr>
          <w:p w14:paraId="2D34DE63" w14:textId="643BA84D" w:rsidR="00F54B0D" w:rsidRPr="005C1805" w:rsidRDefault="00B80180" w:rsidP="00F54B0D">
            <w:pPr>
              <w:rPr>
                <w:sz w:val="22"/>
                <w:szCs w:val="22"/>
              </w:rPr>
            </w:pPr>
            <w:r w:rsidRPr="005C1805">
              <w:rPr>
                <w:rFonts w:cs="Arial"/>
                <w:sz w:val="22"/>
                <w:szCs w:val="22"/>
              </w:rPr>
              <w:t>Good presentational skills.</w:t>
            </w:r>
          </w:p>
        </w:tc>
        <w:tc>
          <w:tcPr>
            <w:tcW w:w="2551" w:type="dxa"/>
          </w:tcPr>
          <w:p w14:paraId="604434C2" w14:textId="22ED8C8A" w:rsidR="00F54B0D" w:rsidRPr="005C1805" w:rsidRDefault="00B80180" w:rsidP="00B80180">
            <w:pPr>
              <w:jc w:val="center"/>
              <w:rPr>
                <w:sz w:val="22"/>
                <w:szCs w:val="22"/>
              </w:rPr>
            </w:pPr>
            <w:r w:rsidRPr="005C1805">
              <w:rPr>
                <w:rFonts w:cs="Arial"/>
                <w:sz w:val="22"/>
                <w:szCs w:val="22"/>
              </w:rPr>
              <w:t>Desirable</w:t>
            </w:r>
          </w:p>
        </w:tc>
      </w:tr>
      <w:tr w:rsidR="00B80180" w:rsidRPr="005C1805" w14:paraId="3C513C3A" w14:textId="77777777" w:rsidTr="00CB629F">
        <w:trPr>
          <w:trHeight w:val="377"/>
        </w:trPr>
        <w:tc>
          <w:tcPr>
            <w:tcW w:w="8222" w:type="dxa"/>
          </w:tcPr>
          <w:p w14:paraId="723A97D5" w14:textId="6BCE7B4B" w:rsidR="00B80180" w:rsidRPr="005C1805" w:rsidRDefault="00B80180" w:rsidP="00B80180">
            <w:pPr>
              <w:rPr>
                <w:sz w:val="22"/>
                <w:szCs w:val="22"/>
              </w:rPr>
            </w:pPr>
            <w:r w:rsidRPr="005C1805">
              <w:rPr>
                <w:rFonts w:cs="Arial"/>
                <w:sz w:val="22"/>
                <w:szCs w:val="22"/>
              </w:rPr>
              <w:t>Excellent interpersonal relations with junior and senior staff, and excellent networking skills.</w:t>
            </w:r>
          </w:p>
        </w:tc>
        <w:tc>
          <w:tcPr>
            <w:tcW w:w="2551" w:type="dxa"/>
          </w:tcPr>
          <w:p w14:paraId="4CDFAF34" w14:textId="0E354C86" w:rsidR="00B80180" w:rsidRPr="005C1805" w:rsidRDefault="00B80180" w:rsidP="00B80180">
            <w:pPr>
              <w:jc w:val="center"/>
              <w:rPr>
                <w:sz w:val="22"/>
                <w:szCs w:val="22"/>
              </w:rPr>
            </w:pPr>
            <w:r w:rsidRPr="005C1805">
              <w:rPr>
                <w:rFonts w:cs="Arial"/>
                <w:sz w:val="22"/>
                <w:szCs w:val="22"/>
              </w:rPr>
              <w:t>Desirable</w:t>
            </w:r>
          </w:p>
        </w:tc>
      </w:tr>
      <w:tr w:rsidR="00B80180" w:rsidRPr="005C1805" w14:paraId="7051366A" w14:textId="77777777" w:rsidTr="00CB629F">
        <w:trPr>
          <w:trHeight w:val="377"/>
        </w:trPr>
        <w:tc>
          <w:tcPr>
            <w:tcW w:w="8222" w:type="dxa"/>
          </w:tcPr>
          <w:p w14:paraId="13804AD9" w14:textId="0D9E63B7" w:rsidR="00B80180" w:rsidRPr="005C1805" w:rsidRDefault="00B80180" w:rsidP="00B80180">
            <w:pPr>
              <w:rPr>
                <w:sz w:val="22"/>
                <w:szCs w:val="22"/>
              </w:rPr>
            </w:pPr>
            <w:r w:rsidRPr="005C1805">
              <w:rPr>
                <w:rFonts w:cs="Arial"/>
                <w:sz w:val="22"/>
                <w:szCs w:val="22"/>
              </w:rPr>
              <w:t>Ability to work alone as well as within a group.</w:t>
            </w:r>
          </w:p>
        </w:tc>
        <w:tc>
          <w:tcPr>
            <w:tcW w:w="2551" w:type="dxa"/>
          </w:tcPr>
          <w:p w14:paraId="3BC42F23" w14:textId="3C0FFB57" w:rsidR="00B80180" w:rsidRPr="005C1805" w:rsidRDefault="00B80180" w:rsidP="00B80180">
            <w:pPr>
              <w:jc w:val="center"/>
              <w:rPr>
                <w:sz w:val="22"/>
                <w:szCs w:val="22"/>
              </w:rPr>
            </w:pPr>
            <w:r w:rsidRPr="005C1805">
              <w:rPr>
                <w:rFonts w:cs="Arial"/>
                <w:sz w:val="22"/>
                <w:szCs w:val="22"/>
              </w:rPr>
              <w:t>Essential</w:t>
            </w:r>
          </w:p>
        </w:tc>
      </w:tr>
      <w:tr w:rsidR="00B80180" w:rsidRPr="005C1805" w14:paraId="5E1052B8" w14:textId="77777777" w:rsidTr="00CB629F">
        <w:trPr>
          <w:trHeight w:val="377"/>
        </w:trPr>
        <w:tc>
          <w:tcPr>
            <w:tcW w:w="8222" w:type="dxa"/>
          </w:tcPr>
          <w:p w14:paraId="76A18581" w14:textId="034C7598" w:rsidR="00B80180" w:rsidRPr="005C1805" w:rsidRDefault="00B80180" w:rsidP="00B80180">
            <w:pPr>
              <w:rPr>
                <w:sz w:val="22"/>
                <w:szCs w:val="22"/>
              </w:rPr>
            </w:pPr>
            <w:r w:rsidRPr="005C1805">
              <w:rPr>
                <w:rFonts w:cs="Arial"/>
                <w:sz w:val="22"/>
                <w:szCs w:val="22"/>
              </w:rPr>
              <w:t>Self-motivated and able to use his/her initiative.</w:t>
            </w:r>
          </w:p>
        </w:tc>
        <w:tc>
          <w:tcPr>
            <w:tcW w:w="2551" w:type="dxa"/>
          </w:tcPr>
          <w:p w14:paraId="2D8B8F97" w14:textId="2DC5619C" w:rsidR="00B80180" w:rsidRPr="005C1805" w:rsidRDefault="00B80180" w:rsidP="00B80180">
            <w:pPr>
              <w:jc w:val="center"/>
              <w:rPr>
                <w:sz w:val="22"/>
                <w:szCs w:val="22"/>
              </w:rPr>
            </w:pPr>
            <w:r w:rsidRPr="005C1805">
              <w:rPr>
                <w:rFonts w:cs="Arial"/>
                <w:sz w:val="22"/>
                <w:szCs w:val="22"/>
              </w:rPr>
              <w:t>Desirable</w:t>
            </w:r>
          </w:p>
        </w:tc>
      </w:tr>
      <w:tr w:rsidR="00B80180" w:rsidRPr="005C1805" w14:paraId="2097A715" w14:textId="77777777" w:rsidTr="00CB629F">
        <w:trPr>
          <w:trHeight w:val="377"/>
        </w:trPr>
        <w:tc>
          <w:tcPr>
            <w:tcW w:w="8222" w:type="dxa"/>
          </w:tcPr>
          <w:p w14:paraId="334245E5" w14:textId="34CBC02F" w:rsidR="00B80180" w:rsidRPr="005C1805" w:rsidRDefault="00B80180" w:rsidP="00B80180">
            <w:pPr>
              <w:rPr>
                <w:sz w:val="22"/>
                <w:szCs w:val="22"/>
              </w:rPr>
            </w:pPr>
            <w:r w:rsidRPr="005C1805">
              <w:rPr>
                <w:rFonts w:cs="Arial"/>
                <w:sz w:val="22"/>
                <w:szCs w:val="22"/>
              </w:rPr>
              <w:t>Willingness to travel for European and other international meetings.</w:t>
            </w:r>
          </w:p>
        </w:tc>
        <w:tc>
          <w:tcPr>
            <w:tcW w:w="2551" w:type="dxa"/>
          </w:tcPr>
          <w:p w14:paraId="10802EFF" w14:textId="083E689B" w:rsidR="00B80180" w:rsidRPr="005C1805" w:rsidRDefault="00B80180" w:rsidP="00B80180">
            <w:pPr>
              <w:jc w:val="center"/>
              <w:rPr>
                <w:sz w:val="22"/>
                <w:szCs w:val="22"/>
              </w:rPr>
            </w:pPr>
            <w:r w:rsidRPr="005C1805">
              <w:rPr>
                <w:rFonts w:cs="Arial"/>
                <w:sz w:val="22"/>
                <w:szCs w:val="22"/>
              </w:rPr>
              <w:t>Desirable</w:t>
            </w:r>
          </w:p>
        </w:tc>
      </w:tr>
      <w:tr w:rsidR="00B80180" w:rsidRPr="005C1805" w14:paraId="3F252A2A" w14:textId="77777777" w:rsidTr="00CB629F">
        <w:trPr>
          <w:trHeight w:val="377"/>
        </w:trPr>
        <w:tc>
          <w:tcPr>
            <w:tcW w:w="8222" w:type="dxa"/>
          </w:tcPr>
          <w:p w14:paraId="3CF39C51" w14:textId="647FA98A" w:rsidR="00B80180" w:rsidRPr="005C1805" w:rsidRDefault="00B80180" w:rsidP="00B80180">
            <w:pPr>
              <w:rPr>
                <w:sz w:val="22"/>
                <w:szCs w:val="22"/>
              </w:rPr>
            </w:pPr>
            <w:r w:rsidRPr="005C1805">
              <w:rPr>
                <w:rFonts w:cs="Arial"/>
                <w:sz w:val="22"/>
                <w:szCs w:val="22"/>
              </w:rPr>
              <w:t>Effective organisational skills.</w:t>
            </w:r>
          </w:p>
        </w:tc>
        <w:tc>
          <w:tcPr>
            <w:tcW w:w="2551" w:type="dxa"/>
          </w:tcPr>
          <w:p w14:paraId="68C0951B" w14:textId="4C2A08DA" w:rsidR="00B80180" w:rsidRPr="005C1805" w:rsidRDefault="00B80180" w:rsidP="00B80180">
            <w:pPr>
              <w:jc w:val="center"/>
              <w:rPr>
                <w:sz w:val="22"/>
                <w:szCs w:val="22"/>
              </w:rPr>
            </w:pPr>
            <w:r w:rsidRPr="005C1805">
              <w:rPr>
                <w:rFonts w:cs="Arial"/>
                <w:sz w:val="22"/>
                <w:szCs w:val="22"/>
              </w:rPr>
              <w:t>Essential</w:t>
            </w:r>
          </w:p>
        </w:tc>
      </w:tr>
      <w:tr w:rsidR="00B80180" w:rsidRPr="005C1805" w14:paraId="1FBFBD14" w14:textId="77777777" w:rsidTr="00CB629F">
        <w:trPr>
          <w:trHeight w:val="377"/>
        </w:trPr>
        <w:tc>
          <w:tcPr>
            <w:tcW w:w="8222" w:type="dxa"/>
          </w:tcPr>
          <w:p w14:paraId="590D2093" w14:textId="7FF3AA3C" w:rsidR="00B80180" w:rsidRPr="005C1805" w:rsidRDefault="00B80180" w:rsidP="00B80180">
            <w:pPr>
              <w:rPr>
                <w:sz w:val="22"/>
                <w:szCs w:val="22"/>
              </w:rPr>
            </w:pPr>
            <w:r w:rsidRPr="005C1805">
              <w:rPr>
                <w:rFonts w:cs="Arial"/>
                <w:sz w:val="22"/>
                <w:szCs w:val="22"/>
              </w:rPr>
              <w:lastRenderedPageBreak/>
              <w:t>Practical problem solving under time constraints and the ability to work to deadlines.</w:t>
            </w:r>
          </w:p>
        </w:tc>
        <w:tc>
          <w:tcPr>
            <w:tcW w:w="2551" w:type="dxa"/>
          </w:tcPr>
          <w:p w14:paraId="67A77EFE" w14:textId="5D3FA7FF" w:rsidR="00B80180" w:rsidRPr="005C1805" w:rsidRDefault="00B80180" w:rsidP="00B80180">
            <w:pPr>
              <w:jc w:val="center"/>
              <w:rPr>
                <w:sz w:val="22"/>
                <w:szCs w:val="22"/>
              </w:rPr>
            </w:pPr>
            <w:r w:rsidRPr="005C1805">
              <w:rPr>
                <w:rFonts w:cs="Arial"/>
                <w:sz w:val="22"/>
                <w:szCs w:val="22"/>
              </w:rPr>
              <w:t>Desirable</w:t>
            </w:r>
          </w:p>
        </w:tc>
      </w:tr>
      <w:tr w:rsidR="00B80180" w:rsidRPr="005C1805" w14:paraId="04F882AC" w14:textId="77777777" w:rsidTr="00CB629F">
        <w:trPr>
          <w:trHeight w:val="377"/>
        </w:trPr>
        <w:tc>
          <w:tcPr>
            <w:tcW w:w="8222" w:type="dxa"/>
          </w:tcPr>
          <w:p w14:paraId="74FB873E" w14:textId="1AF19691" w:rsidR="00B80180" w:rsidRPr="005C1805" w:rsidRDefault="00B80180" w:rsidP="00B80180">
            <w:pPr>
              <w:rPr>
                <w:sz w:val="22"/>
                <w:szCs w:val="22"/>
              </w:rPr>
            </w:pPr>
            <w:r w:rsidRPr="005C1805">
              <w:rPr>
                <w:rFonts w:cs="Arial"/>
                <w:sz w:val="22"/>
                <w:szCs w:val="22"/>
              </w:rPr>
              <w:t>Clear, comprehensive and technically correct communication (English - written and oral), as the post holder will be required to write reports, papers, presentations and documentation.</w:t>
            </w:r>
          </w:p>
        </w:tc>
        <w:tc>
          <w:tcPr>
            <w:tcW w:w="2551" w:type="dxa"/>
          </w:tcPr>
          <w:p w14:paraId="70804C35" w14:textId="03A281A5" w:rsidR="00B80180" w:rsidRPr="005C1805" w:rsidRDefault="00B80180" w:rsidP="00B80180">
            <w:pPr>
              <w:jc w:val="center"/>
              <w:rPr>
                <w:sz w:val="22"/>
                <w:szCs w:val="22"/>
              </w:rPr>
            </w:pPr>
            <w:r w:rsidRPr="005C1805">
              <w:rPr>
                <w:rFonts w:cs="Arial"/>
                <w:sz w:val="22"/>
                <w:szCs w:val="22"/>
              </w:rPr>
              <w:t>Essential</w:t>
            </w:r>
          </w:p>
        </w:tc>
      </w:tr>
      <w:tr w:rsidR="00B80180" w:rsidRPr="005C1805" w14:paraId="26FA0B2A" w14:textId="77777777" w:rsidTr="00CB629F">
        <w:trPr>
          <w:trHeight w:val="377"/>
        </w:trPr>
        <w:tc>
          <w:tcPr>
            <w:tcW w:w="8222" w:type="dxa"/>
          </w:tcPr>
          <w:p w14:paraId="4453B394" w14:textId="03330C49" w:rsidR="00B80180" w:rsidRPr="005C1805" w:rsidRDefault="00B80180" w:rsidP="00B80180">
            <w:pPr>
              <w:rPr>
                <w:sz w:val="22"/>
                <w:szCs w:val="22"/>
              </w:rPr>
            </w:pPr>
            <w:r w:rsidRPr="005C1805">
              <w:rPr>
                <w:rFonts w:cs="Arial"/>
                <w:sz w:val="22"/>
                <w:szCs w:val="22"/>
              </w:rPr>
              <w:t>The ability to learn quickly and assimilate large amounts of information, and present this confidently in meetings.</w:t>
            </w:r>
          </w:p>
        </w:tc>
        <w:tc>
          <w:tcPr>
            <w:tcW w:w="2551" w:type="dxa"/>
          </w:tcPr>
          <w:p w14:paraId="5A1D0949" w14:textId="6E1CC97C" w:rsidR="00B80180" w:rsidRPr="005C1805" w:rsidRDefault="00B80180" w:rsidP="00B80180">
            <w:pPr>
              <w:jc w:val="center"/>
              <w:rPr>
                <w:sz w:val="22"/>
                <w:szCs w:val="22"/>
              </w:rPr>
            </w:pPr>
            <w:r w:rsidRPr="005C1805">
              <w:rPr>
                <w:rFonts w:cs="Arial"/>
                <w:sz w:val="22"/>
                <w:szCs w:val="22"/>
              </w:rPr>
              <w:t>Desirable</w:t>
            </w:r>
          </w:p>
        </w:tc>
      </w:tr>
      <w:tr w:rsidR="00B80180" w:rsidRPr="005C1805" w14:paraId="0C4D1A6B" w14:textId="77777777" w:rsidTr="00CB629F">
        <w:trPr>
          <w:trHeight w:val="377"/>
        </w:trPr>
        <w:tc>
          <w:tcPr>
            <w:tcW w:w="8222" w:type="dxa"/>
          </w:tcPr>
          <w:p w14:paraId="3531DD0B" w14:textId="521FAB90" w:rsidR="00B80180" w:rsidRPr="005C1805" w:rsidRDefault="00B80180" w:rsidP="00B80180">
            <w:pPr>
              <w:rPr>
                <w:sz w:val="22"/>
                <w:szCs w:val="22"/>
              </w:rPr>
            </w:pPr>
            <w:r w:rsidRPr="005C1805">
              <w:rPr>
                <w:rFonts w:cs="Arial"/>
                <w:sz w:val="22"/>
                <w:szCs w:val="22"/>
              </w:rPr>
              <w:t>Commitment to UCL’s policy of equal opportunity and the ability to work harmoniously with colleagues and students of all cultures and backgrounds.</w:t>
            </w:r>
          </w:p>
        </w:tc>
        <w:tc>
          <w:tcPr>
            <w:tcW w:w="2551" w:type="dxa"/>
          </w:tcPr>
          <w:p w14:paraId="54F9C024" w14:textId="616A90CE" w:rsidR="00B80180" w:rsidRPr="005C1805" w:rsidRDefault="00B80180" w:rsidP="00B80180">
            <w:pPr>
              <w:jc w:val="center"/>
              <w:rPr>
                <w:sz w:val="22"/>
                <w:szCs w:val="22"/>
              </w:rPr>
            </w:pPr>
            <w:r w:rsidRPr="005C1805">
              <w:rPr>
                <w:rFonts w:cs="Arial"/>
                <w:sz w:val="22"/>
                <w:szCs w:val="22"/>
              </w:rPr>
              <w:t>Desirable</w:t>
            </w:r>
          </w:p>
        </w:tc>
      </w:tr>
    </w:tbl>
    <w:p w14:paraId="1583AAC6" w14:textId="77777777" w:rsidR="00B80180" w:rsidRPr="005C1805" w:rsidRDefault="00B80180" w:rsidP="00DC2138">
      <w:pPr>
        <w:rPr>
          <w:sz w:val="22"/>
          <w:szCs w:val="22"/>
        </w:rPr>
      </w:pPr>
    </w:p>
    <w:p w14:paraId="74F19E2D" w14:textId="773B2F30" w:rsidR="00DC2138" w:rsidRDefault="00925A98" w:rsidP="00DC2138">
      <w:pPr>
        <w:rPr>
          <w:rFonts w:cs="Arial"/>
          <w:b/>
          <w:bCs/>
          <w:sz w:val="22"/>
          <w:szCs w:val="22"/>
        </w:rPr>
      </w:pPr>
      <w:r>
        <w:softHyphen/>
      </w:r>
      <w:r w:rsidR="00DC2138" w:rsidRPr="00286943">
        <w:rPr>
          <w:rFonts w:cs="Arial"/>
          <w:b/>
          <w:bCs/>
          <w:sz w:val="22"/>
          <w:szCs w:val="22"/>
        </w:rPr>
        <w:t>General Information</w:t>
      </w:r>
    </w:p>
    <w:p w14:paraId="744E2479" w14:textId="77777777" w:rsidR="00DC2138" w:rsidRPr="00286943" w:rsidRDefault="00DC2138" w:rsidP="00DC2138">
      <w:pPr>
        <w:pStyle w:val="NormalWeb"/>
        <w:spacing w:before="0" w:beforeAutospacing="0" w:after="0" w:afterAutospacing="0"/>
        <w:rPr>
          <w:rStyle w:val="Strong"/>
          <w:rFonts w:ascii="Arial" w:hAnsi="Arial" w:cs="Arial"/>
          <w:sz w:val="22"/>
          <w:szCs w:val="22"/>
        </w:rPr>
      </w:pPr>
    </w:p>
    <w:p w14:paraId="74DA272C" w14:textId="77777777" w:rsidR="00DC2138" w:rsidRPr="00286943" w:rsidRDefault="00DC2138" w:rsidP="00DC2138">
      <w:pPr>
        <w:pStyle w:val="NormalWeb"/>
        <w:spacing w:before="0" w:beforeAutospacing="0" w:after="0" w:afterAutospacing="0"/>
        <w:rPr>
          <w:rFonts w:ascii="Arial" w:hAnsi="Arial" w:cs="Arial"/>
          <w:sz w:val="22"/>
          <w:szCs w:val="22"/>
        </w:rPr>
      </w:pPr>
      <w:r w:rsidRPr="00286943">
        <w:rPr>
          <w:rStyle w:val="Strong"/>
          <w:rFonts w:ascii="Arial" w:hAnsi="Arial" w:cs="Arial"/>
          <w:sz w:val="22"/>
          <w:szCs w:val="22"/>
        </w:rPr>
        <w:t>Terms &amp; Conditions of Employment</w:t>
      </w:r>
    </w:p>
    <w:p w14:paraId="701DAE81" w14:textId="633F6821" w:rsidR="00DC2138" w:rsidRDefault="00153A58" w:rsidP="00DC2138">
      <w:pPr>
        <w:rPr>
          <w:rFonts w:cs="Arial"/>
          <w:sz w:val="22"/>
          <w:szCs w:val="22"/>
        </w:rPr>
      </w:pPr>
      <w:r>
        <w:rPr>
          <w:rFonts w:cs="Arial"/>
          <w:sz w:val="22"/>
          <w:szCs w:val="22"/>
        </w:rPr>
        <w:t xml:space="preserve">The post is initially funded for 24 months at </w:t>
      </w:r>
      <w:r w:rsidR="00DC2138" w:rsidRPr="00631AF2">
        <w:rPr>
          <w:rFonts w:cs="Arial"/>
          <w:sz w:val="22"/>
          <w:szCs w:val="22"/>
        </w:rPr>
        <w:t>grade 7, the salary for which ranges from £</w:t>
      </w:r>
      <w:r w:rsidR="00D44CA3">
        <w:rPr>
          <w:rFonts w:cs="Arial"/>
          <w:sz w:val="22"/>
          <w:szCs w:val="22"/>
        </w:rPr>
        <w:t>35,328</w:t>
      </w:r>
      <w:r w:rsidR="00DC2138" w:rsidRPr="00631AF2">
        <w:rPr>
          <w:rFonts w:cs="Arial"/>
          <w:sz w:val="22"/>
          <w:szCs w:val="22"/>
        </w:rPr>
        <w:t xml:space="preserve"> to £4</w:t>
      </w:r>
      <w:r w:rsidR="00D44CA3">
        <w:rPr>
          <w:rFonts w:cs="Arial"/>
          <w:sz w:val="22"/>
          <w:szCs w:val="22"/>
        </w:rPr>
        <w:t>2,701</w:t>
      </w:r>
      <w:r w:rsidR="00DC2138" w:rsidRPr="00631AF2">
        <w:rPr>
          <w:rFonts w:cs="Arial"/>
          <w:sz w:val="22"/>
          <w:szCs w:val="22"/>
        </w:rPr>
        <w:t xml:space="preserve"> per annum (including London Allowance of £3,0</w:t>
      </w:r>
      <w:r w:rsidR="00D44CA3">
        <w:rPr>
          <w:rFonts w:cs="Arial"/>
          <w:sz w:val="22"/>
          <w:szCs w:val="22"/>
        </w:rPr>
        <w:t>92</w:t>
      </w:r>
      <w:r w:rsidR="00DC2138" w:rsidRPr="00631AF2">
        <w:rPr>
          <w:rFonts w:cs="Arial"/>
          <w:sz w:val="22"/>
          <w:szCs w:val="22"/>
        </w:rPr>
        <w:t xml:space="preserve"> p.a.). Starting salary is usually £3</w:t>
      </w:r>
      <w:r w:rsidR="00D44CA3">
        <w:rPr>
          <w:rFonts w:cs="Arial"/>
          <w:sz w:val="22"/>
          <w:szCs w:val="22"/>
        </w:rPr>
        <w:t>5,328</w:t>
      </w:r>
      <w:r w:rsidR="00DC2138" w:rsidRPr="00631AF2">
        <w:rPr>
          <w:rFonts w:cs="Arial"/>
          <w:sz w:val="22"/>
          <w:szCs w:val="22"/>
        </w:rPr>
        <w:t>.</w:t>
      </w:r>
    </w:p>
    <w:p w14:paraId="3DBC7DE1" w14:textId="77777777" w:rsidR="002836D7" w:rsidRPr="00631AF2" w:rsidRDefault="002836D7" w:rsidP="00DC2138">
      <w:pPr>
        <w:rPr>
          <w:rFonts w:cs="Arial"/>
          <w:sz w:val="22"/>
          <w:szCs w:val="22"/>
        </w:rPr>
      </w:pPr>
      <w:r>
        <w:rPr>
          <w:rFonts w:cs="Arial"/>
          <w:sz w:val="22"/>
          <w:szCs w:val="22"/>
        </w:rPr>
        <w:t xml:space="preserve">All posts that are based outside of London, for example at Harwell, will </w:t>
      </w:r>
      <w:r w:rsidRPr="002836D7">
        <w:rPr>
          <w:rFonts w:cs="Arial"/>
          <w:b/>
          <w:sz w:val="22"/>
          <w:szCs w:val="22"/>
        </w:rPr>
        <w:t xml:space="preserve">not </w:t>
      </w:r>
      <w:r>
        <w:rPr>
          <w:rFonts w:cs="Arial"/>
          <w:sz w:val="22"/>
          <w:szCs w:val="22"/>
        </w:rPr>
        <w:t>have London Allowance included in the salary.</w:t>
      </w:r>
    </w:p>
    <w:p w14:paraId="0335F3B0" w14:textId="7F0281AD" w:rsidR="00DC2138" w:rsidRPr="00631AF2" w:rsidRDefault="00DC2138" w:rsidP="00DC2138">
      <w:pPr>
        <w:rPr>
          <w:rFonts w:eastAsia="Times New Roman" w:cs="Arial"/>
          <w:color w:val="000000"/>
          <w:sz w:val="22"/>
          <w:szCs w:val="22"/>
          <w:lang w:val="en"/>
        </w:rPr>
      </w:pPr>
      <w:r w:rsidRPr="00631AF2">
        <w:rPr>
          <w:rFonts w:eastAsia="Times New Roman" w:cs="Arial"/>
          <w:color w:val="000000"/>
          <w:sz w:val="22"/>
          <w:szCs w:val="22"/>
          <w:lang w:val="en"/>
        </w:rPr>
        <w:t>Please note, appointment at Grade 7 is dependent upon having been awarded a PhD; if this is not the case, initial appointment will be at Research Assistant Grade 6B (salary £30,</w:t>
      </w:r>
      <w:r w:rsidR="00D44CA3">
        <w:rPr>
          <w:rFonts w:eastAsia="Times New Roman" w:cs="Arial"/>
          <w:color w:val="000000"/>
          <w:sz w:val="22"/>
          <w:szCs w:val="22"/>
          <w:lang w:val="en"/>
        </w:rPr>
        <w:t>922</w:t>
      </w:r>
      <w:r w:rsidRPr="00631AF2">
        <w:rPr>
          <w:rFonts w:eastAsia="Times New Roman" w:cs="Arial"/>
          <w:color w:val="000000"/>
          <w:sz w:val="22"/>
          <w:szCs w:val="22"/>
          <w:lang w:val="en"/>
        </w:rPr>
        <w:t xml:space="preserve"> to £3</w:t>
      </w:r>
      <w:r w:rsidR="00D44CA3">
        <w:rPr>
          <w:rFonts w:eastAsia="Times New Roman" w:cs="Arial"/>
          <w:color w:val="000000"/>
          <w:sz w:val="22"/>
          <w:szCs w:val="22"/>
          <w:lang w:val="en"/>
        </w:rPr>
        <w:t>2,607</w:t>
      </w:r>
      <w:r w:rsidRPr="00631AF2">
        <w:rPr>
          <w:rFonts w:eastAsia="Times New Roman" w:cs="Arial"/>
          <w:color w:val="000000"/>
          <w:sz w:val="22"/>
          <w:szCs w:val="22"/>
          <w:lang w:val="en"/>
        </w:rPr>
        <w:t xml:space="preserve"> per annum, including London Allowance of £3,0</w:t>
      </w:r>
      <w:r w:rsidR="00D44CA3">
        <w:rPr>
          <w:rFonts w:eastAsia="Times New Roman" w:cs="Arial"/>
          <w:color w:val="000000"/>
          <w:sz w:val="22"/>
          <w:szCs w:val="22"/>
          <w:lang w:val="en"/>
        </w:rPr>
        <w:t>92</w:t>
      </w:r>
      <w:r w:rsidRPr="00631AF2">
        <w:rPr>
          <w:rFonts w:eastAsia="Times New Roman" w:cs="Arial"/>
          <w:color w:val="000000"/>
          <w:sz w:val="22"/>
          <w:szCs w:val="22"/>
          <w:lang w:val="en"/>
        </w:rPr>
        <w:t>) with payment at Grade 7 being backdated to the date of final submission of the PhD thesis.</w:t>
      </w:r>
    </w:p>
    <w:p w14:paraId="47D25D56" w14:textId="77777777" w:rsidR="00DC2138" w:rsidRPr="00631AF2" w:rsidRDefault="00DC2138" w:rsidP="00DC2138">
      <w:pPr>
        <w:pStyle w:val="NormalWeb"/>
        <w:spacing w:before="0" w:beforeAutospacing="0" w:after="0" w:afterAutospacing="0"/>
        <w:rPr>
          <w:rFonts w:ascii="Arial" w:hAnsi="Arial" w:cs="Arial"/>
          <w:sz w:val="22"/>
          <w:szCs w:val="22"/>
          <w:lang w:val="en-GB"/>
        </w:rPr>
      </w:pPr>
      <w:r w:rsidRPr="00631AF2">
        <w:rPr>
          <w:rFonts w:ascii="Arial" w:hAnsi="Arial" w:cs="Arial"/>
          <w:sz w:val="22"/>
          <w:szCs w:val="22"/>
        </w:rPr>
        <w:t xml:space="preserve">Progression through the salary scale is incremental. Cost of living pay awards are negotiated nationally and are normally effective from 1st August each year. UCL’s non-clinical pay and grading structure is at </w:t>
      </w:r>
      <w:hyperlink r:id="rId10" w:history="1">
        <w:r w:rsidRPr="00631AF2">
          <w:rPr>
            <w:rStyle w:val="Hyperlink"/>
            <w:rFonts w:cs="Arial"/>
            <w:sz w:val="22"/>
            <w:szCs w:val="22"/>
          </w:rPr>
          <w:t>http://www.ucl.ac.uk/hr/salary_scales/final_grades.php</w:t>
        </w:r>
      </w:hyperlink>
      <w:r w:rsidRPr="00631AF2">
        <w:rPr>
          <w:rFonts w:ascii="Arial" w:hAnsi="Arial" w:cs="Arial"/>
          <w:sz w:val="22"/>
          <w:szCs w:val="22"/>
        </w:rPr>
        <w:t>.</w:t>
      </w:r>
    </w:p>
    <w:p w14:paraId="6C538123" w14:textId="77777777" w:rsidR="00DC2138" w:rsidRPr="00631AF2" w:rsidRDefault="00DC2138" w:rsidP="00DC2138">
      <w:pPr>
        <w:pStyle w:val="NormalWeb"/>
        <w:spacing w:before="0" w:beforeAutospacing="0" w:after="0" w:afterAutospacing="0"/>
        <w:rPr>
          <w:rFonts w:ascii="Arial" w:hAnsi="Arial" w:cs="Arial"/>
          <w:sz w:val="22"/>
          <w:szCs w:val="22"/>
        </w:rPr>
      </w:pPr>
    </w:p>
    <w:p w14:paraId="5A8E04D7" w14:textId="77777777" w:rsidR="008E5ACB" w:rsidRPr="00B62650" w:rsidRDefault="008E5ACB" w:rsidP="008E5ACB">
      <w:pPr>
        <w:rPr>
          <w:rFonts w:cs="Arial"/>
          <w:sz w:val="22"/>
          <w:szCs w:val="22"/>
        </w:rPr>
      </w:pPr>
      <w:r w:rsidRPr="00B62650">
        <w:rPr>
          <w:rFonts w:cs="Arial"/>
          <w:sz w:val="22"/>
          <w:szCs w:val="22"/>
        </w:rPr>
        <w:t>UCL’s terms &amp; conditions for research, teaching and professional services staff are at:</w:t>
      </w:r>
    </w:p>
    <w:p w14:paraId="155C7FF4" w14:textId="77777777" w:rsidR="00DC2138" w:rsidRDefault="0044286E" w:rsidP="00DC2138">
      <w:pPr>
        <w:rPr>
          <w:rFonts w:cs="Arial"/>
          <w:sz w:val="22"/>
          <w:szCs w:val="22"/>
        </w:rPr>
      </w:pPr>
      <w:hyperlink r:id="rId11" w:history="1">
        <w:r w:rsidR="00EC5173" w:rsidRPr="00EA60E8">
          <w:rPr>
            <w:rStyle w:val="Hyperlink"/>
            <w:rFonts w:cs="Arial"/>
            <w:sz w:val="22"/>
            <w:szCs w:val="22"/>
          </w:rPr>
          <w:t>https://www.ucl.ac.uk/human-resources/conditions-service-research-teaching-and-professional-services-staff</w:t>
        </w:r>
      </w:hyperlink>
    </w:p>
    <w:p w14:paraId="18A570EF" w14:textId="77777777" w:rsidR="00926F49" w:rsidRPr="00286943" w:rsidRDefault="00926F49" w:rsidP="00926F49">
      <w:pPr>
        <w:rPr>
          <w:rFonts w:cs="Arial"/>
          <w:sz w:val="22"/>
          <w:szCs w:val="22"/>
        </w:rPr>
      </w:pPr>
      <w:r w:rsidRPr="00286943">
        <w:rPr>
          <w:rFonts w:cs="Arial"/>
          <w:sz w:val="22"/>
          <w:szCs w:val="22"/>
        </w:rPr>
        <w:t xml:space="preserve">The full range of benefits is at </w:t>
      </w:r>
      <w:hyperlink r:id="rId12" w:history="1">
        <w:r w:rsidRPr="00286943">
          <w:rPr>
            <w:rStyle w:val="Hyperlink"/>
            <w:rFonts w:cs="Arial"/>
            <w:sz w:val="22"/>
            <w:szCs w:val="22"/>
          </w:rPr>
          <w:t>http://www.ucl.ac.uk/hr/benefits/employee_benefits.php</w:t>
        </w:r>
      </w:hyperlink>
    </w:p>
    <w:p w14:paraId="1DEA4AA2" w14:textId="77777777" w:rsidR="00926F49" w:rsidRDefault="00926F49" w:rsidP="00926F49">
      <w:pPr>
        <w:rPr>
          <w:rFonts w:cs="Arial"/>
          <w:b/>
          <w:bCs/>
          <w:sz w:val="22"/>
          <w:szCs w:val="22"/>
        </w:rPr>
      </w:pPr>
    </w:p>
    <w:p w14:paraId="403DD91B" w14:textId="77777777" w:rsidR="00926F49" w:rsidRDefault="00926F49" w:rsidP="00926F49">
      <w:pPr>
        <w:rPr>
          <w:rFonts w:cs="Arial"/>
          <w:b/>
          <w:bCs/>
          <w:sz w:val="22"/>
          <w:szCs w:val="22"/>
        </w:rPr>
      </w:pPr>
      <w:r>
        <w:rPr>
          <w:rFonts w:cs="Arial"/>
          <w:b/>
          <w:bCs/>
          <w:sz w:val="22"/>
          <w:szCs w:val="22"/>
        </w:rPr>
        <w:t>General information for Overseas Applicants</w:t>
      </w:r>
    </w:p>
    <w:p w14:paraId="1FBEB9C0" w14:textId="77777777" w:rsidR="00926F49" w:rsidRDefault="0044286E" w:rsidP="00926F49">
      <w:pPr>
        <w:spacing w:before="100" w:beforeAutospacing="1" w:after="100" w:afterAutospacing="1"/>
        <w:jc w:val="both"/>
        <w:rPr>
          <w:rFonts w:ascii="Verdana" w:eastAsia="Times New Roman" w:hAnsi="Verdana"/>
          <w:color w:val="000000"/>
          <w:lang w:val="en" w:eastAsia="en-GB"/>
        </w:rPr>
      </w:pPr>
      <w:hyperlink r:id="rId13" w:history="1">
        <w:r w:rsidR="00926F49" w:rsidRPr="00F64393">
          <w:rPr>
            <w:rStyle w:val="Hyperlink"/>
            <w:rFonts w:ascii="Verdana" w:eastAsia="Times New Roman" w:hAnsi="Verdana"/>
            <w:lang w:val="en" w:eastAsia="en-GB"/>
          </w:rPr>
          <w:t>https://www.ucl.ac.uk/human-resources/working-ucl/employment-contract-administration-team/immigration</w:t>
        </w:r>
      </w:hyperlink>
    </w:p>
    <w:p w14:paraId="72E8C587" w14:textId="77777777" w:rsidR="00926F49" w:rsidRDefault="0044286E" w:rsidP="00926F49">
      <w:pPr>
        <w:spacing w:before="100" w:beforeAutospacing="1" w:after="100" w:afterAutospacing="1"/>
        <w:jc w:val="both"/>
        <w:rPr>
          <w:rFonts w:ascii="Verdana" w:eastAsia="Times New Roman" w:hAnsi="Verdana"/>
          <w:color w:val="000000"/>
          <w:lang w:val="en" w:eastAsia="en-GB"/>
        </w:rPr>
      </w:pPr>
      <w:hyperlink r:id="rId14" w:history="1">
        <w:r w:rsidR="00926F49" w:rsidRPr="00F64393">
          <w:rPr>
            <w:rStyle w:val="Hyperlink"/>
            <w:rFonts w:ascii="Verdana" w:eastAsia="Times New Roman" w:hAnsi="Verdana"/>
            <w:lang w:val="en" w:eastAsia="en-GB"/>
          </w:rPr>
          <w:t>https://www.ucl.ac.uk/human-resources/working-ucl/relocating-uk-guide</w:t>
        </w:r>
      </w:hyperlink>
    </w:p>
    <w:p w14:paraId="66EEB085" w14:textId="77777777" w:rsidR="00EC5173" w:rsidRDefault="00EC5173" w:rsidP="00DC2138">
      <w:pPr>
        <w:rPr>
          <w:rFonts w:cs="Arial"/>
          <w:sz w:val="22"/>
          <w:szCs w:val="22"/>
        </w:rPr>
      </w:pPr>
    </w:p>
    <w:p w14:paraId="6DF6CE7B" w14:textId="77777777" w:rsidR="00DC2138" w:rsidRPr="00631AF2" w:rsidRDefault="00DC2138" w:rsidP="00DC2138">
      <w:pPr>
        <w:rPr>
          <w:rFonts w:cs="Arial"/>
          <w:b/>
          <w:bCs/>
          <w:sz w:val="22"/>
          <w:szCs w:val="22"/>
        </w:rPr>
      </w:pPr>
      <w:r w:rsidRPr="00631AF2">
        <w:rPr>
          <w:rFonts w:cs="Arial"/>
          <w:b/>
          <w:bCs/>
          <w:sz w:val="22"/>
          <w:szCs w:val="22"/>
        </w:rPr>
        <w:t xml:space="preserve">Equal Opportunities </w:t>
      </w:r>
    </w:p>
    <w:p w14:paraId="305C41AA" w14:textId="77777777" w:rsidR="00DC2138" w:rsidRPr="00631AF2" w:rsidRDefault="0044286E" w:rsidP="00DC2138">
      <w:pPr>
        <w:pStyle w:val="NormalWeb"/>
        <w:shd w:val="clear" w:color="auto" w:fill="FFFFFF"/>
        <w:rPr>
          <w:rFonts w:ascii="Arial" w:eastAsia="Times New Roman" w:hAnsi="Arial" w:cs="Arial"/>
          <w:sz w:val="22"/>
          <w:szCs w:val="22"/>
          <w:lang w:val="en" w:eastAsia="en-GB"/>
        </w:rPr>
      </w:pPr>
      <w:hyperlink r:id="rId15" w:history="1">
        <w:r w:rsidR="00DC2138" w:rsidRPr="00631AF2">
          <w:rPr>
            <w:rStyle w:val="Hyperlink"/>
            <w:rFonts w:cs="Arial"/>
            <w:sz w:val="22"/>
            <w:szCs w:val="22"/>
            <w:lang w:val="en"/>
          </w:rPr>
          <w:t>www.ucl.ac.uk/hr/docs/equal_opportunity.pdf</w:t>
        </w:r>
      </w:hyperlink>
      <w:r w:rsidR="00DC2138" w:rsidRPr="00631AF2">
        <w:rPr>
          <w:rFonts w:ascii="Arial" w:hAnsi="Arial" w:cs="Arial"/>
          <w:sz w:val="22"/>
          <w:szCs w:val="22"/>
          <w:lang w:val="en"/>
        </w:rPr>
        <w:t xml:space="preserve"> </w:t>
      </w:r>
    </w:p>
    <w:p w14:paraId="5E4FEFB2" w14:textId="77777777" w:rsidR="00DC2138" w:rsidRPr="00631AF2" w:rsidRDefault="00DC2138" w:rsidP="00DC2138">
      <w:pPr>
        <w:pStyle w:val="BodyTextIndent"/>
        <w:spacing w:after="0"/>
        <w:ind w:left="0"/>
        <w:rPr>
          <w:rFonts w:ascii="Arial" w:hAnsi="Arial" w:cs="Arial"/>
          <w:sz w:val="22"/>
          <w:szCs w:val="22"/>
          <w:lang w:val="en-US"/>
        </w:rPr>
      </w:pPr>
      <w:r w:rsidRPr="00631AF2">
        <w:rPr>
          <w:rFonts w:ascii="Arial" w:hAnsi="Arial" w:cs="Arial"/>
          <w:sz w:val="22"/>
          <w:szCs w:val="22"/>
          <w:lang w:val="en-US"/>
        </w:rPr>
        <w:lastRenderedPageBreak/>
        <w:t>The Department has been awarded a Bronze Athena Swan Award and we support the Athena beliefs that:</w:t>
      </w:r>
    </w:p>
    <w:p w14:paraId="3BAB70CE" w14:textId="77777777" w:rsidR="00DC2138" w:rsidRPr="00631AF2" w:rsidRDefault="00DC2138" w:rsidP="00DC2138">
      <w:pPr>
        <w:pStyle w:val="BodyTextIndent"/>
        <w:spacing w:after="0"/>
        <w:ind w:left="0"/>
        <w:rPr>
          <w:rFonts w:ascii="Arial" w:hAnsi="Arial" w:cs="Arial"/>
          <w:sz w:val="22"/>
          <w:szCs w:val="22"/>
          <w:lang w:val="en-US"/>
        </w:rPr>
      </w:pPr>
    </w:p>
    <w:p w14:paraId="3B137351"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The advancement of science, engineering and technology (SET) is fundamental to quality of life across the globe. </w:t>
      </w:r>
    </w:p>
    <w:p w14:paraId="743BB427"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It is vitally important that women are adequately represented in what has traditionally been, and is still, a male-dominated area. </w:t>
      </w:r>
    </w:p>
    <w:p w14:paraId="317B322E"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Science cannot reach its full potential unless it can benefit from the talents of the whole population, and until women and men can benefit equally from the opportunities it affords.</w:t>
      </w:r>
    </w:p>
    <w:p w14:paraId="5E40EBD8" w14:textId="77777777" w:rsidR="00DC2138" w:rsidRPr="00631AF2" w:rsidRDefault="00DC2138" w:rsidP="00DC2138">
      <w:pPr>
        <w:rPr>
          <w:rFonts w:eastAsia="SimSun" w:cs="Arial"/>
          <w:sz w:val="22"/>
          <w:szCs w:val="22"/>
        </w:rPr>
      </w:pPr>
    </w:p>
    <w:p w14:paraId="7BA4B533" w14:textId="77777777" w:rsidR="00DC2138" w:rsidRPr="00631AF2" w:rsidRDefault="00DC2138" w:rsidP="00DC2138">
      <w:pPr>
        <w:rPr>
          <w:rFonts w:cs="Arial"/>
          <w:sz w:val="22"/>
          <w:szCs w:val="22"/>
        </w:rPr>
      </w:pPr>
      <w:r w:rsidRPr="00631AF2">
        <w:rPr>
          <w:rFonts w:cs="Arial"/>
          <w:sz w:val="22"/>
          <w:szCs w:val="22"/>
        </w:rPr>
        <w:t xml:space="preserve">Further information on Athena Swan is at </w:t>
      </w:r>
      <w:hyperlink r:id="rId16" w:history="1">
        <w:r w:rsidRPr="00631AF2">
          <w:rPr>
            <w:rStyle w:val="Hyperlink"/>
            <w:rFonts w:cs="Arial"/>
            <w:sz w:val="22"/>
            <w:szCs w:val="22"/>
          </w:rPr>
          <w:t>http://www.athenaswan.org.uk/</w:t>
        </w:r>
      </w:hyperlink>
    </w:p>
    <w:p w14:paraId="78C86FC4" w14:textId="77777777" w:rsidR="002F3442" w:rsidRPr="002F3442" w:rsidRDefault="002F3442" w:rsidP="002F3442"/>
    <w:p w14:paraId="3C74B75A" w14:textId="77777777" w:rsidR="005136DA" w:rsidRDefault="005136DA" w:rsidP="005136DA">
      <w:pPr>
        <w:pStyle w:val="Heading1"/>
        <w:sectPr w:rsidR="005136DA" w:rsidSect="00974301">
          <w:pgSz w:w="11900" w:h="16840"/>
          <w:pgMar w:top="602" w:right="567" w:bottom="1134" w:left="567" w:header="283" w:footer="709" w:gutter="0"/>
          <w:cols w:space="708"/>
          <w:docGrid w:linePitch="326"/>
        </w:sectPr>
      </w:pPr>
    </w:p>
    <w:p w14:paraId="64AAC8FE" w14:textId="77777777" w:rsidR="005617A1" w:rsidRPr="00010BD4" w:rsidRDefault="005136DA" w:rsidP="005136DA">
      <w:pPr>
        <w:pStyle w:val="Heading1"/>
        <w:rPr>
          <w:sz w:val="44"/>
          <w:szCs w:val="44"/>
        </w:rPr>
      </w:pPr>
      <w:r w:rsidRPr="00010BD4">
        <w:rPr>
          <w:sz w:val="44"/>
          <w:szCs w:val="44"/>
        </w:rPr>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8"/>
      </w:tblGrid>
      <w:tr w:rsidR="005136DA" w14:paraId="77F4C180" w14:textId="77777777" w:rsidTr="00EC5173">
        <w:trPr>
          <w:trHeight w:val="4793"/>
        </w:trPr>
        <w:tc>
          <w:tcPr>
            <w:tcW w:w="4448" w:type="dxa"/>
            <w:shd w:val="clear" w:color="auto" w:fill="F2F2F2" w:themeFill="background1" w:themeFillShade="F2"/>
          </w:tcPr>
          <w:p w14:paraId="06ED9530" w14:textId="77777777" w:rsidR="005136DA" w:rsidRDefault="005136DA" w:rsidP="005136DA">
            <w:pPr>
              <w:pStyle w:val="Heading3"/>
            </w:pPr>
            <w:r>
              <w:t>To apply for this position</w:t>
            </w:r>
            <w:r w:rsidR="001C43F0">
              <w:t xml:space="preserve"> visit:</w:t>
            </w:r>
          </w:p>
          <w:p w14:paraId="63810EE7" w14:textId="77777777" w:rsidR="001C43F0" w:rsidRPr="001C43F0" w:rsidRDefault="001C43F0" w:rsidP="001C43F0"/>
          <w:p w14:paraId="6925A429" w14:textId="77777777" w:rsidR="005136DA" w:rsidRDefault="001C43F0" w:rsidP="005136DA">
            <w:pPr>
              <w:pStyle w:val="Heading3"/>
            </w:pPr>
            <w:r>
              <w:t>ucl.ac.uk</w:t>
            </w:r>
            <w:r w:rsidR="005136DA">
              <w:t>/jobs</w:t>
            </w:r>
          </w:p>
          <w:p w14:paraId="6417967A" w14:textId="49FE2B4D" w:rsidR="005A0683" w:rsidRPr="005A0683" w:rsidRDefault="005A0683" w:rsidP="005A0683">
            <w:pPr>
              <w:pStyle w:val="Heading3"/>
            </w:pPr>
            <w:r>
              <w:t>Search un</w:t>
            </w:r>
            <w:r w:rsidR="00010BD4">
              <w:t>d</w:t>
            </w:r>
            <w:r>
              <w:t>er Ref no:</w:t>
            </w:r>
            <w:r w:rsidR="0044286E">
              <w:t>1825762</w:t>
            </w:r>
            <w:bookmarkStart w:id="3" w:name="_GoBack"/>
            <w:bookmarkEnd w:id="3"/>
          </w:p>
        </w:tc>
      </w:tr>
    </w:tbl>
    <w:p w14:paraId="03B03D05" w14:textId="77777777" w:rsidR="005136DA" w:rsidRPr="005136DA" w:rsidRDefault="005136DA" w:rsidP="005136DA"/>
    <w:sectPr w:rsidR="005136DA" w:rsidRPr="005136DA" w:rsidSect="00974301">
      <w:type w:val="continuous"/>
      <w:pgSz w:w="11900" w:h="16840"/>
      <w:pgMar w:top="602" w:right="567" w:bottom="1134" w:left="567" w:header="283"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3521F" w14:textId="77777777" w:rsidR="00B12312" w:rsidRDefault="00B12312" w:rsidP="00DA4ABB">
      <w:r>
        <w:separator/>
      </w:r>
    </w:p>
  </w:endnote>
  <w:endnote w:type="continuationSeparator" w:id="0">
    <w:p w14:paraId="18FCFDE0" w14:textId="77777777" w:rsidR="00B12312" w:rsidRDefault="00B12312"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MT Std">
    <w:altName w:val="Century Gothic"/>
    <w:charset w:val="00"/>
    <w:family w:val="auto"/>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34BD" w14:textId="77777777" w:rsidR="00B12312" w:rsidRDefault="00B12312" w:rsidP="00DA4ABB">
      <w:r>
        <w:separator/>
      </w:r>
    </w:p>
  </w:footnote>
  <w:footnote w:type="continuationSeparator" w:id="0">
    <w:p w14:paraId="7974CAE2" w14:textId="77777777" w:rsidR="00B12312" w:rsidRDefault="00B12312"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7B7B" w14:textId="77777777" w:rsidR="00820FCA" w:rsidRDefault="008105B7">
    <w:pPr>
      <w:pStyle w:val="Header"/>
    </w:pPr>
    <w:r>
      <w:rPr>
        <w:noProof/>
        <w:lang w:eastAsia="en-GB"/>
      </w:rPr>
      <w:drawing>
        <wp:anchor distT="0" distB="0" distL="114300" distR="114300" simplePos="0" relativeHeight="251659264" behindDoc="1" locked="0" layoutInCell="1" allowOverlap="1" wp14:anchorId="5294B285" wp14:editId="2D91736E">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r w:rsidR="004B1B82">
      <w:rPr>
        <w:noProof/>
        <w:lang w:eastAsia="en-GB"/>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239F0"/>
    <w:multiLevelType w:val="hybridMultilevel"/>
    <w:tmpl w:val="FA0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1A3B52"/>
    <w:rsid w:val="00010BD4"/>
    <w:rsid w:val="000204D6"/>
    <w:rsid w:val="0005387E"/>
    <w:rsid w:val="00061E18"/>
    <w:rsid w:val="00062354"/>
    <w:rsid w:val="00093D36"/>
    <w:rsid w:val="000A3F96"/>
    <w:rsid w:val="00100C01"/>
    <w:rsid w:val="001148C9"/>
    <w:rsid w:val="00130559"/>
    <w:rsid w:val="00146228"/>
    <w:rsid w:val="00146C6D"/>
    <w:rsid w:val="00153A58"/>
    <w:rsid w:val="00197F34"/>
    <w:rsid w:val="001A3B52"/>
    <w:rsid w:val="001C43F0"/>
    <w:rsid w:val="001C52AA"/>
    <w:rsid w:val="001C7EDF"/>
    <w:rsid w:val="001D199C"/>
    <w:rsid w:val="00254AA1"/>
    <w:rsid w:val="00255201"/>
    <w:rsid w:val="0027653E"/>
    <w:rsid w:val="002836D7"/>
    <w:rsid w:val="00290B4C"/>
    <w:rsid w:val="002B34DC"/>
    <w:rsid w:val="002F3442"/>
    <w:rsid w:val="002F4912"/>
    <w:rsid w:val="00305A2F"/>
    <w:rsid w:val="00320FEA"/>
    <w:rsid w:val="003334E3"/>
    <w:rsid w:val="00346246"/>
    <w:rsid w:val="00363CD8"/>
    <w:rsid w:val="00371518"/>
    <w:rsid w:val="00375230"/>
    <w:rsid w:val="00377520"/>
    <w:rsid w:val="00387C87"/>
    <w:rsid w:val="003B13C1"/>
    <w:rsid w:val="003D36E2"/>
    <w:rsid w:val="003F4828"/>
    <w:rsid w:val="0040652D"/>
    <w:rsid w:val="00437574"/>
    <w:rsid w:val="0044286E"/>
    <w:rsid w:val="004961EE"/>
    <w:rsid w:val="004B1B82"/>
    <w:rsid w:val="004C49A2"/>
    <w:rsid w:val="004E5D2F"/>
    <w:rsid w:val="005044DE"/>
    <w:rsid w:val="00513287"/>
    <w:rsid w:val="005136DA"/>
    <w:rsid w:val="00520F98"/>
    <w:rsid w:val="0053233C"/>
    <w:rsid w:val="00542251"/>
    <w:rsid w:val="005617A1"/>
    <w:rsid w:val="00572A8E"/>
    <w:rsid w:val="00592827"/>
    <w:rsid w:val="005A0683"/>
    <w:rsid w:val="005B050C"/>
    <w:rsid w:val="005B0F27"/>
    <w:rsid w:val="005C1805"/>
    <w:rsid w:val="0062791E"/>
    <w:rsid w:val="00631AF2"/>
    <w:rsid w:val="00647662"/>
    <w:rsid w:val="00680DB2"/>
    <w:rsid w:val="006868F4"/>
    <w:rsid w:val="006A1644"/>
    <w:rsid w:val="006A3846"/>
    <w:rsid w:val="006B45CE"/>
    <w:rsid w:val="006B6248"/>
    <w:rsid w:val="006C089E"/>
    <w:rsid w:val="006E77CA"/>
    <w:rsid w:val="007061CE"/>
    <w:rsid w:val="00717FC4"/>
    <w:rsid w:val="0072651B"/>
    <w:rsid w:val="007532F4"/>
    <w:rsid w:val="00766A17"/>
    <w:rsid w:val="007C7FF1"/>
    <w:rsid w:val="007E79E2"/>
    <w:rsid w:val="00807790"/>
    <w:rsid w:val="008105B7"/>
    <w:rsid w:val="00820FCA"/>
    <w:rsid w:val="00823B00"/>
    <w:rsid w:val="00846641"/>
    <w:rsid w:val="00847090"/>
    <w:rsid w:val="00852852"/>
    <w:rsid w:val="008578F4"/>
    <w:rsid w:val="008771D2"/>
    <w:rsid w:val="00895320"/>
    <w:rsid w:val="008A31F1"/>
    <w:rsid w:val="008A4B51"/>
    <w:rsid w:val="008A7907"/>
    <w:rsid w:val="008D36DF"/>
    <w:rsid w:val="008E480F"/>
    <w:rsid w:val="008E5ACB"/>
    <w:rsid w:val="00907C8F"/>
    <w:rsid w:val="00923C93"/>
    <w:rsid w:val="00925A98"/>
    <w:rsid w:val="00926F49"/>
    <w:rsid w:val="00945071"/>
    <w:rsid w:val="0095503C"/>
    <w:rsid w:val="00962EA4"/>
    <w:rsid w:val="00966478"/>
    <w:rsid w:val="00974301"/>
    <w:rsid w:val="00984838"/>
    <w:rsid w:val="009A1E18"/>
    <w:rsid w:val="009B206C"/>
    <w:rsid w:val="00A250A9"/>
    <w:rsid w:val="00A4642D"/>
    <w:rsid w:val="00A50DE1"/>
    <w:rsid w:val="00A5402A"/>
    <w:rsid w:val="00A93D63"/>
    <w:rsid w:val="00AE02E5"/>
    <w:rsid w:val="00AF036D"/>
    <w:rsid w:val="00AF1492"/>
    <w:rsid w:val="00B12312"/>
    <w:rsid w:val="00B330AD"/>
    <w:rsid w:val="00B752CC"/>
    <w:rsid w:val="00B80180"/>
    <w:rsid w:val="00B84D00"/>
    <w:rsid w:val="00B97EF6"/>
    <w:rsid w:val="00BA2705"/>
    <w:rsid w:val="00C0041D"/>
    <w:rsid w:val="00C16A9B"/>
    <w:rsid w:val="00C25DB1"/>
    <w:rsid w:val="00C64BA3"/>
    <w:rsid w:val="00C702E2"/>
    <w:rsid w:val="00C76701"/>
    <w:rsid w:val="00CB629F"/>
    <w:rsid w:val="00D1776B"/>
    <w:rsid w:val="00D36EA1"/>
    <w:rsid w:val="00D44CA3"/>
    <w:rsid w:val="00D45E80"/>
    <w:rsid w:val="00D475E1"/>
    <w:rsid w:val="00D55061"/>
    <w:rsid w:val="00DA4ABB"/>
    <w:rsid w:val="00DC2138"/>
    <w:rsid w:val="00DE386B"/>
    <w:rsid w:val="00DE7FA5"/>
    <w:rsid w:val="00E002CC"/>
    <w:rsid w:val="00E02A7A"/>
    <w:rsid w:val="00E23B24"/>
    <w:rsid w:val="00E3153F"/>
    <w:rsid w:val="00E4740E"/>
    <w:rsid w:val="00E73B03"/>
    <w:rsid w:val="00EC5173"/>
    <w:rsid w:val="00F30E24"/>
    <w:rsid w:val="00F31F90"/>
    <w:rsid w:val="00F35258"/>
    <w:rsid w:val="00F46EC6"/>
    <w:rsid w:val="00F54B0D"/>
    <w:rsid w:val="00F74946"/>
    <w:rsid w:val="00F925CC"/>
    <w:rsid w:val="00F961B1"/>
    <w:rsid w:val="00FA21C1"/>
    <w:rsid w:val="00FA6B5E"/>
    <w:rsid w:val="00FC36C1"/>
    <w:rsid w:val="00FD6F3D"/>
    <w:rsid w:val="00FF6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71235E87"/>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unhideWhenUsed/>
    <w:rsid w:val="00DC2138"/>
    <w:rPr>
      <w:color w:val="0000FF"/>
      <w:u w:val="single"/>
    </w:rPr>
  </w:style>
  <w:style w:type="paragraph" w:styleId="NormalWeb">
    <w:name w:val="Normal (Web)"/>
    <w:basedOn w:val="Normal"/>
    <w:uiPriority w:val="99"/>
    <w:rsid w:val="00DC2138"/>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DC2138"/>
    <w:rPr>
      <w:b/>
      <w:bCs/>
    </w:rPr>
  </w:style>
  <w:style w:type="paragraph" w:styleId="BodyTextIndent">
    <w:name w:val="Body Text Indent"/>
    <w:basedOn w:val="Normal"/>
    <w:link w:val="BodyTextIndentChar"/>
    <w:uiPriority w:val="99"/>
    <w:unhideWhenUsed/>
    <w:rsid w:val="00DC2138"/>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DC2138"/>
    <w:rPr>
      <w:rFonts w:ascii="Times New Roman" w:eastAsia="SimSun" w:hAnsi="Times New Roman"/>
      <w:sz w:val="20"/>
      <w:szCs w:val="20"/>
      <w:lang w:eastAsia="en-US"/>
    </w:rPr>
  </w:style>
  <w:style w:type="character" w:styleId="CommentReference">
    <w:name w:val="annotation reference"/>
    <w:uiPriority w:val="99"/>
    <w:semiHidden/>
    <w:unhideWhenUsed/>
    <w:rsid w:val="00B80180"/>
    <w:rPr>
      <w:sz w:val="16"/>
      <w:szCs w:val="16"/>
    </w:rPr>
  </w:style>
  <w:style w:type="paragraph" w:styleId="CommentText">
    <w:name w:val="annotation text"/>
    <w:basedOn w:val="Normal"/>
    <w:link w:val="CommentTextChar"/>
    <w:uiPriority w:val="99"/>
    <w:semiHidden/>
    <w:unhideWhenUsed/>
    <w:rsid w:val="00907C8F"/>
    <w:pPr>
      <w:spacing w:line="240" w:lineRule="auto"/>
    </w:pPr>
    <w:rPr>
      <w:szCs w:val="20"/>
    </w:rPr>
  </w:style>
  <w:style w:type="character" w:customStyle="1" w:styleId="CommentTextChar">
    <w:name w:val="Comment Text Char"/>
    <w:basedOn w:val="DefaultParagraphFont"/>
    <w:link w:val="CommentText"/>
    <w:uiPriority w:val="99"/>
    <w:semiHidden/>
    <w:rsid w:val="00907C8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07C8F"/>
    <w:rPr>
      <w:b/>
      <w:bCs/>
    </w:rPr>
  </w:style>
  <w:style w:type="character" w:customStyle="1" w:styleId="CommentSubjectChar">
    <w:name w:val="Comment Subject Char"/>
    <w:basedOn w:val="CommentTextChar"/>
    <w:link w:val="CommentSubject"/>
    <w:uiPriority w:val="99"/>
    <w:semiHidden/>
    <w:rsid w:val="00907C8F"/>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cl.ac.uk/human-resources/working-ucl/employment-contract-administration-team/immig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hr/benefits/employee_benefit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henaswa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human-resources/conditions-service-research-teaching-and-professional-services-staff" TargetMode="External"/><Relationship Id="rId5" Type="http://schemas.openxmlformats.org/officeDocument/2006/relationships/webSettings" Target="webSettings.xml"/><Relationship Id="rId15" Type="http://schemas.openxmlformats.org/officeDocument/2006/relationships/hyperlink" Target="http://www.ucl.ac.uk/hr/docs/equal_opportunity.pdf" TargetMode="External"/><Relationship Id="rId10" Type="http://schemas.openxmlformats.org/officeDocument/2006/relationships/hyperlink" Target="http://www.ucl.ac.uk/hr/salary_scales/final_grades.php" TargetMode="External"/><Relationship Id="rId4" Type="http://schemas.openxmlformats.org/officeDocument/2006/relationships/settings" Target="settings.xml"/><Relationship Id="rId9" Type="http://schemas.openxmlformats.org/officeDocument/2006/relationships/hyperlink" Target="http://www.ucl.ac.uk/chemistry" TargetMode="External"/><Relationship Id="rId14" Type="http://schemas.openxmlformats.org/officeDocument/2006/relationships/hyperlink" Target="https://www.ucl.ac.uk/human-resources/working-ucl/relocating-uk-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F6BF-919A-4BE7-8EB6-3B227011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9559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Judith James</cp:lastModifiedBy>
  <cp:revision>2</cp:revision>
  <cp:lastPrinted>2018-03-20T16:09:00Z</cp:lastPrinted>
  <dcterms:created xsi:type="dcterms:W3CDTF">2019-08-29T10:57:00Z</dcterms:created>
  <dcterms:modified xsi:type="dcterms:W3CDTF">2019-08-29T10:57:00Z</dcterms:modified>
</cp:coreProperties>
</file>