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Ind w:w="-1026" w:type="dxa"/>
        <w:tblLook w:val="04A0" w:firstRow="1" w:lastRow="0" w:firstColumn="1" w:lastColumn="0" w:noHBand="0" w:noVBand="1"/>
      </w:tblPr>
      <w:tblGrid>
        <w:gridCol w:w="5920"/>
        <w:gridCol w:w="5387"/>
      </w:tblGrid>
      <w:tr w:rsidR="00062E35" w:rsidRPr="002C1B5C" w14:paraId="276AF205" w14:textId="77777777" w:rsidTr="002C4742">
        <w:trPr>
          <w:trHeight w:val="1135"/>
        </w:trPr>
        <w:tc>
          <w:tcPr>
            <w:tcW w:w="5920" w:type="dxa"/>
          </w:tcPr>
          <w:p w14:paraId="244713D1" w14:textId="17D744D9" w:rsidR="00062E35" w:rsidRPr="002C1B5C" w:rsidRDefault="00062E35" w:rsidP="002C4742">
            <w:pPr>
              <w:spacing w:after="0" w:line="240" w:lineRule="auto"/>
              <w:ind w:left="175"/>
            </w:pPr>
            <w:bookmarkStart w:id="0" w:name="_Hlk156469304"/>
            <w:r w:rsidRPr="00A61A29">
              <w:rPr>
                <w:noProof/>
              </w:rPr>
              <w:drawing>
                <wp:inline distT="0" distB="0" distL="0" distR="0" wp14:anchorId="61F4C8F2" wp14:editId="161752FC">
                  <wp:extent cx="1847850" cy="1019175"/>
                  <wp:effectExtent l="0" t="0" r="0" b="9525"/>
                  <wp:docPr id="2" name="Picture 2" descr="UCL Great Ormond Street Institute of Child Heal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CL Great Ormond Street Institute of Child Healt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55CFEC8D" w14:textId="19FE2135" w:rsidR="00062E35" w:rsidRPr="002C1B5C" w:rsidRDefault="00062E35" w:rsidP="002C4742">
            <w:pPr>
              <w:spacing w:after="0" w:line="240" w:lineRule="auto"/>
              <w:ind w:left="175"/>
            </w:pPr>
            <w:r w:rsidRPr="00B45079">
              <w:rPr>
                <w:noProof/>
                <w:lang w:eastAsia="en-GB"/>
              </w:rPr>
              <w:drawing>
                <wp:inline distT="0" distB="0" distL="0" distR="0" wp14:anchorId="06CDE7ED" wp14:editId="5C67ED0E">
                  <wp:extent cx="2676525" cy="714375"/>
                  <wp:effectExtent l="0" t="0" r="9525" b="9525"/>
                  <wp:docPr id="1" name="Picture 1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 picture containing clipart&#10;&#10;Description generated with very high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2BCD5" w14:textId="77777777" w:rsidR="00062E35" w:rsidRPr="002C1B5C" w:rsidRDefault="00062E35" w:rsidP="002C4742">
            <w:pPr>
              <w:spacing w:after="0" w:line="240" w:lineRule="auto"/>
              <w:ind w:left="175"/>
            </w:pPr>
          </w:p>
          <w:p w14:paraId="78030886" w14:textId="77777777" w:rsidR="00062E35" w:rsidRPr="002C1B5C" w:rsidRDefault="00062E35" w:rsidP="002C4742">
            <w:pPr>
              <w:spacing w:after="0" w:line="240" w:lineRule="auto"/>
              <w:ind w:left="175"/>
            </w:pPr>
          </w:p>
        </w:tc>
      </w:tr>
      <w:tr w:rsidR="00062E35" w:rsidRPr="00D87948" w14:paraId="4425A332" w14:textId="77777777" w:rsidTr="002C4742">
        <w:tc>
          <w:tcPr>
            <w:tcW w:w="11307" w:type="dxa"/>
            <w:gridSpan w:val="2"/>
          </w:tcPr>
          <w:p w14:paraId="4CD36EAD" w14:textId="77777777" w:rsidR="00062E35" w:rsidRPr="00D87948" w:rsidRDefault="00062E35" w:rsidP="002C4742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  <w:p w14:paraId="6649B9EA" w14:textId="77777777" w:rsidR="00062E35" w:rsidRPr="00D87948" w:rsidRDefault="00062E35" w:rsidP="002C4742">
            <w:pPr>
              <w:pStyle w:val="Default"/>
              <w:ind w:left="175"/>
              <w:jc w:val="center"/>
              <w:rPr>
                <w:b/>
                <w:bCs/>
                <w:sz w:val="28"/>
                <w:szCs w:val="28"/>
              </w:rPr>
            </w:pPr>
          </w:p>
          <w:p w14:paraId="356E2265" w14:textId="77777777" w:rsidR="00062E35" w:rsidRPr="00D87948" w:rsidRDefault="00062E35" w:rsidP="002C4742">
            <w:pPr>
              <w:pStyle w:val="Default"/>
              <w:ind w:left="175"/>
              <w:jc w:val="center"/>
              <w:rPr>
                <w:b/>
                <w:sz w:val="36"/>
                <w:szCs w:val="36"/>
              </w:rPr>
            </w:pPr>
            <w:r w:rsidRPr="00D87948">
              <w:rPr>
                <w:b/>
                <w:bCs/>
                <w:sz w:val="36"/>
                <w:szCs w:val="36"/>
              </w:rPr>
              <w:t>UPDATE IN NEUROMUSCULAR DISORDERS</w:t>
            </w:r>
          </w:p>
          <w:p w14:paraId="5D2A551B" w14:textId="77777777" w:rsidR="00062E35" w:rsidRPr="00D87948" w:rsidRDefault="00062E35" w:rsidP="002C4742">
            <w:pPr>
              <w:pStyle w:val="Default"/>
              <w:ind w:left="175"/>
              <w:jc w:val="center"/>
              <w:rPr>
                <w:b/>
                <w:sz w:val="28"/>
                <w:szCs w:val="28"/>
              </w:rPr>
            </w:pPr>
          </w:p>
          <w:p w14:paraId="3C0FD389" w14:textId="20C50211" w:rsidR="00062E35" w:rsidRPr="00D87948" w:rsidRDefault="00062E35" w:rsidP="002C4742">
            <w:pPr>
              <w:pStyle w:val="Default"/>
              <w:ind w:left="175"/>
              <w:jc w:val="center"/>
              <w:rPr>
                <w:b/>
                <w:sz w:val="28"/>
                <w:szCs w:val="28"/>
              </w:rPr>
            </w:pPr>
            <w:r w:rsidRPr="00D87948">
              <w:rPr>
                <w:b/>
                <w:bCs/>
                <w:sz w:val="28"/>
                <w:szCs w:val="28"/>
              </w:rPr>
              <w:t>Tuesday</w:t>
            </w:r>
            <w:r w:rsidR="008158B4">
              <w:rPr>
                <w:b/>
                <w:bCs/>
                <w:sz w:val="28"/>
                <w:szCs w:val="28"/>
              </w:rPr>
              <w:t xml:space="preserve"> 7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D8794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Thursday </w:t>
            </w:r>
            <w:r w:rsidR="008158B4">
              <w:rPr>
                <w:b/>
                <w:bCs/>
                <w:sz w:val="28"/>
                <w:szCs w:val="28"/>
              </w:rPr>
              <w:t>9</w:t>
            </w:r>
            <w:r w:rsidRPr="00D87948">
              <w:rPr>
                <w:b/>
                <w:bCs/>
                <w:sz w:val="28"/>
                <w:szCs w:val="28"/>
              </w:rPr>
              <w:t xml:space="preserve"> May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8158B4">
              <w:rPr>
                <w:b/>
                <w:bCs/>
                <w:sz w:val="28"/>
                <w:szCs w:val="28"/>
              </w:rPr>
              <w:t>4</w:t>
            </w:r>
          </w:p>
          <w:p w14:paraId="463309BC" w14:textId="77777777" w:rsidR="00062E35" w:rsidRPr="00D87948" w:rsidRDefault="00062E35" w:rsidP="002C4742">
            <w:pPr>
              <w:pStyle w:val="Default"/>
              <w:ind w:left="175"/>
              <w:jc w:val="center"/>
              <w:rPr>
                <w:b/>
                <w:sz w:val="28"/>
                <w:szCs w:val="28"/>
              </w:rPr>
            </w:pPr>
          </w:p>
          <w:p w14:paraId="2F093868" w14:textId="77777777" w:rsidR="00062E35" w:rsidRPr="00D87948" w:rsidRDefault="00062E35" w:rsidP="002C4742">
            <w:pPr>
              <w:pStyle w:val="Default"/>
              <w:ind w:left="175"/>
              <w:jc w:val="center"/>
              <w:rPr>
                <w:b/>
                <w:sz w:val="28"/>
                <w:szCs w:val="28"/>
              </w:rPr>
            </w:pPr>
            <w:r w:rsidRPr="00D87948">
              <w:rPr>
                <w:b/>
                <w:sz w:val="28"/>
                <w:szCs w:val="28"/>
              </w:rPr>
              <w:t>Clinical Neuroscience Lecture Theatre, Lower Ground</w:t>
            </w:r>
            <w:r w:rsidRPr="00D87948">
              <w:rPr>
                <w:b/>
                <w:sz w:val="28"/>
                <w:szCs w:val="28"/>
              </w:rPr>
              <w:br/>
              <w:t>33 Queen Square, London WC1N 3BG</w:t>
            </w:r>
          </w:p>
          <w:p w14:paraId="0FC5AFB9" w14:textId="77777777" w:rsidR="00062E35" w:rsidRPr="00D87948" w:rsidRDefault="00062E35" w:rsidP="002C4742">
            <w:pPr>
              <w:pStyle w:val="Default"/>
              <w:ind w:left="175"/>
              <w:jc w:val="center"/>
              <w:rPr>
                <w:b/>
                <w:sz w:val="28"/>
                <w:szCs w:val="28"/>
              </w:rPr>
            </w:pPr>
          </w:p>
          <w:p w14:paraId="76BF1BBC" w14:textId="5882616F" w:rsidR="008158B4" w:rsidRDefault="009A137C" w:rsidP="002C4742">
            <w:pPr>
              <w:pStyle w:val="Default"/>
              <w:ind w:left="17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Update in Neuro</w:t>
            </w:r>
            <w:r w:rsidR="00CF7B85">
              <w:rPr>
                <w:b/>
                <w:sz w:val="22"/>
                <w:szCs w:val="22"/>
              </w:rPr>
              <w:t>muscular Disorders covers a wide range of</w:t>
            </w:r>
            <w:r w:rsidR="00062E35" w:rsidRPr="006B6621">
              <w:rPr>
                <w:b/>
                <w:sz w:val="22"/>
                <w:szCs w:val="22"/>
              </w:rPr>
              <w:t xml:space="preserve"> childhood and adult neuromuscular disorders with an emphasis on clinical </w:t>
            </w:r>
            <w:r w:rsidR="00CF7B85">
              <w:rPr>
                <w:b/>
                <w:sz w:val="22"/>
                <w:szCs w:val="22"/>
              </w:rPr>
              <w:t>issues</w:t>
            </w:r>
            <w:r w:rsidR="00062E35" w:rsidRPr="006B6621">
              <w:rPr>
                <w:b/>
                <w:sz w:val="22"/>
                <w:szCs w:val="22"/>
              </w:rPr>
              <w:t xml:space="preserve">, natural history </w:t>
            </w:r>
            <w:r w:rsidR="00E61B4A">
              <w:rPr>
                <w:b/>
                <w:sz w:val="22"/>
                <w:szCs w:val="22"/>
              </w:rPr>
              <w:t xml:space="preserve">studies, disease specific treatments </w:t>
            </w:r>
            <w:r w:rsidR="00062E35" w:rsidRPr="006B6621">
              <w:rPr>
                <w:b/>
                <w:sz w:val="22"/>
                <w:szCs w:val="22"/>
              </w:rPr>
              <w:t xml:space="preserve">and </w:t>
            </w:r>
            <w:r w:rsidR="00E61B4A">
              <w:rPr>
                <w:b/>
                <w:sz w:val="22"/>
                <w:szCs w:val="22"/>
              </w:rPr>
              <w:t xml:space="preserve">general </w:t>
            </w:r>
            <w:r w:rsidR="00062E35" w:rsidRPr="006B6621">
              <w:rPr>
                <w:b/>
                <w:sz w:val="22"/>
                <w:szCs w:val="22"/>
              </w:rPr>
              <w:t>management.  This three-day course is designed for specialists with an interest in neuromuscular disease</w:t>
            </w:r>
            <w:r w:rsidR="00640C4F">
              <w:rPr>
                <w:b/>
                <w:sz w:val="22"/>
                <w:szCs w:val="22"/>
              </w:rPr>
              <w:t>s</w:t>
            </w:r>
            <w:r w:rsidR="00717499">
              <w:rPr>
                <w:b/>
                <w:sz w:val="22"/>
                <w:szCs w:val="22"/>
              </w:rPr>
              <w:t>. The first 1.5 days concentrate</w:t>
            </w:r>
            <w:r w:rsidR="00F8215E">
              <w:rPr>
                <w:b/>
                <w:sz w:val="22"/>
                <w:szCs w:val="22"/>
              </w:rPr>
              <w:t>s</w:t>
            </w:r>
            <w:r w:rsidR="00717499">
              <w:rPr>
                <w:b/>
                <w:sz w:val="22"/>
                <w:szCs w:val="22"/>
              </w:rPr>
              <w:t xml:space="preserve"> largely </w:t>
            </w:r>
            <w:r w:rsidR="00062E35" w:rsidRPr="006B6621">
              <w:rPr>
                <w:b/>
                <w:sz w:val="22"/>
                <w:szCs w:val="22"/>
              </w:rPr>
              <w:t>on paediatric neuromuscular disorders</w:t>
            </w:r>
            <w:r w:rsidR="00717499">
              <w:rPr>
                <w:b/>
                <w:sz w:val="22"/>
                <w:szCs w:val="22"/>
              </w:rPr>
              <w:t xml:space="preserve"> and the second 1.5 days </w:t>
            </w:r>
            <w:r w:rsidR="00062E35" w:rsidRPr="006B6621">
              <w:rPr>
                <w:b/>
                <w:sz w:val="22"/>
                <w:szCs w:val="22"/>
              </w:rPr>
              <w:t xml:space="preserve">on adult neuromuscular disorders. </w:t>
            </w:r>
          </w:p>
          <w:p w14:paraId="4FAC135D" w14:textId="77777777" w:rsidR="006B6621" w:rsidRPr="006B6621" w:rsidRDefault="006B6621" w:rsidP="002C4742">
            <w:pPr>
              <w:pStyle w:val="Default"/>
              <w:ind w:left="175"/>
              <w:jc w:val="both"/>
              <w:rPr>
                <w:b/>
                <w:sz w:val="22"/>
                <w:szCs w:val="22"/>
              </w:rPr>
            </w:pPr>
          </w:p>
          <w:p w14:paraId="2DF2F9B1" w14:textId="4B820412" w:rsidR="00062E35" w:rsidRPr="006B6621" w:rsidRDefault="00062E35" w:rsidP="002C4742">
            <w:pPr>
              <w:pStyle w:val="Default"/>
              <w:ind w:left="175"/>
              <w:jc w:val="both"/>
              <w:rPr>
                <w:b/>
                <w:sz w:val="22"/>
                <w:szCs w:val="22"/>
              </w:rPr>
            </w:pPr>
            <w:r w:rsidRPr="006B6621">
              <w:rPr>
                <w:b/>
                <w:sz w:val="22"/>
                <w:szCs w:val="22"/>
              </w:rPr>
              <w:t>The theme</w:t>
            </w:r>
            <w:r w:rsidR="008158B4" w:rsidRPr="006B6621">
              <w:rPr>
                <w:b/>
                <w:sz w:val="22"/>
                <w:szCs w:val="22"/>
              </w:rPr>
              <w:t>s</w:t>
            </w:r>
            <w:r w:rsidRPr="006B6621">
              <w:rPr>
                <w:b/>
                <w:sz w:val="22"/>
                <w:szCs w:val="22"/>
              </w:rPr>
              <w:t xml:space="preserve"> this year will be</w:t>
            </w:r>
            <w:r w:rsidR="00231B60" w:rsidRPr="006B6621">
              <w:rPr>
                <w:b/>
                <w:sz w:val="22"/>
                <w:szCs w:val="22"/>
              </w:rPr>
              <w:t>:</w:t>
            </w:r>
          </w:p>
          <w:p w14:paraId="7F3F2A2B" w14:textId="0C128231" w:rsidR="00231B60" w:rsidRPr="006B6621" w:rsidRDefault="00231B60" w:rsidP="002C4742">
            <w:pPr>
              <w:pStyle w:val="Default"/>
              <w:ind w:left="175"/>
              <w:jc w:val="both"/>
              <w:rPr>
                <w:b/>
                <w:sz w:val="22"/>
                <w:szCs w:val="22"/>
              </w:rPr>
            </w:pPr>
            <w:r w:rsidRPr="006B6621">
              <w:rPr>
                <w:b/>
                <w:sz w:val="22"/>
                <w:szCs w:val="22"/>
              </w:rPr>
              <w:t xml:space="preserve">Paediatric: Congenital myopathies, </w:t>
            </w:r>
            <w:r w:rsidR="00F76058">
              <w:rPr>
                <w:b/>
                <w:sz w:val="22"/>
                <w:szCs w:val="22"/>
              </w:rPr>
              <w:t>Art</w:t>
            </w:r>
            <w:r w:rsidR="00B31B75">
              <w:rPr>
                <w:b/>
                <w:sz w:val="22"/>
                <w:szCs w:val="22"/>
              </w:rPr>
              <w:t xml:space="preserve">hrogryposis, </w:t>
            </w:r>
            <w:r w:rsidRPr="006B6621">
              <w:rPr>
                <w:b/>
                <w:sz w:val="22"/>
                <w:szCs w:val="22"/>
              </w:rPr>
              <w:t>Duchenne Muscular Dystrophy, respiratory management in neuromuscular diseases, Spinal Muscular Atrophy (SMA) and childhood Myasthenia</w:t>
            </w:r>
            <w:r w:rsidR="004047C5">
              <w:rPr>
                <w:b/>
                <w:sz w:val="22"/>
                <w:szCs w:val="22"/>
              </w:rPr>
              <w:t xml:space="preserve"> gravis. </w:t>
            </w:r>
          </w:p>
          <w:p w14:paraId="3ECBB4DF" w14:textId="334FC804" w:rsidR="00EC0DBA" w:rsidRPr="00EC0DBA" w:rsidRDefault="006B6621" w:rsidP="00EC0DBA">
            <w:pPr>
              <w:pStyle w:val="Default"/>
              <w:ind w:left="175"/>
              <w:jc w:val="both"/>
              <w:rPr>
                <w:b/>
                <w:sz w:val="22"/>
                <w:szCs w:val="22"/>
              </w:rPr>
            </w:pPr>
            <w:r w:rsidRPr="006B6621">
              <w:rPr>
                <w:b/>
                <w:sz w:val="22"/>
                <w:szCs w:val="22"/>
              </w:rPr>
              <w:t xml:space="preserve">Adult: Channelopathies, </w:t>
            </w:r>
            <w:r w:rsidR="00E34A2A">
              <w:rPr>
                <w:b/>
                <w:sz w:val="22"/>
                <w:szCs w:val="22"/>
              </w:rPr>
              <w:t>Nod</w:t>
            </w:r>
            <w:r w:rsidR="00E66015">
              <w:rPr>
                <w:b/>
                <w:sz w:val="22"/>
                <w:szCs w:val="22"/>
              </w:rPr>
              <w:t>al/</w:t>
            </w:r>
            <w:proofErr w:type="spellStart"/>
            <w:r w:rsidR="00E66015">
              <w:rPr>
                <w:b/>
                <w:sz w:val="22"/>
                <w:szCs w:val="22"/>
              </w:rPr>
              <w:t>paranodopathies</w:t>
            </w:r>
            <w:proofErr w:type="spellEnd"/>
            <w:r w:rsidR="00E66015">
              <w:rPr>
                <w:b/>
                <w:sz w:val="22"/>
                <w:szCs w:val="22"/>
              </w:rPr>
              <w:t xml:space="preserve">, Limb girdle dystrophies, </w:t>
            </w:r>
            <w:r w:rsidR="00552BBE">
              <w:rPr>
                <w:b/>
                <w:sz w:val="22"/>
                <w:szCs w:val="22"/>
              </w:rPr>
              <w:t>M</w:t>
            </w:r>
            <w:r w:rsidR="00EC0DBA">
              <w:rPr>
                <w:b/>
                <w:sz w:val="22"/>
                <w:szCs w:val="22"/>
              </w:rPr>
              <w:t>e</w:t>
            </w:r>
            <w:r w:rsidR="00552BBE">
              <w:rPr>
                <w:b/>
                <w:sz w:val="22"/>
                <w:szCs w:val="22"/>
              </w:rPr>
              <w:t xml:space="preserve">tabolic myopathies, </w:t>
            </w:r>
            <w:r w:rsidRPr="006B6621">
              <w:rPr>
                <w:b/>
                <w:sz w:val="22"/>
                <w:szCs w:val="22"/>
              </w:rPr>
              <w:t>Mitochondrial</w:t>
            </w:r>
            <w:r w:rsidR="00552BBE">
              <w:rPr>
                <w:b/>
                <w:sz w:val="22"/>
                <w:szCs w:val="22"/>
              </w:rPr>
              <w:t xml:space="preserve"> diseases,</w:t>
            </w:r>
            <w:r w:rsidRPr="006B6621">
              <w:rPr>
                <w:b/>
                <w:sz w:val="22"/>
                <w:szCs w:val="22"/>
              </w:rPr>
              <w:t xml:space="preserve"> </w:t>
            </w:r>
            <w:r w:rsidR="00277E96">
              <w:rPr>
                <w:b/>
                <w:sz w:val="22"/>
                <w:szCs w:val="22"/>
              </w:rPr>
              <w:t>Char</w:t>
            </w:r>
            <w:r w:rsidR="00B31B75">
              <w:rPr>
                <w:b/>
                <w:sz w:val="22"/>
                <w:szCs w:val="22"/>
              </w:rPr>
              <w:t>co</w:t>
            </w:r>
            <w:r w:rsidR="00277E96">
              <w:rPr>
                <w:b/>
                <w:sz w:val="22"/>
                <w:szCs w:val="22"/>
              </w:rPr>
              <w:t>t Marie Tooth disease</w:t>
            </w:r>
            <w:r w:rsidR="0013092F">
              <w:rPr>
                <w:b/>
                <w:sz w:val="22"/>
                <w:szCs w:val="22"/>
              </w:rPr>
              <w:t xml:space="preserve">, peripheral nerve </w:t>
            </w:r>
            <w:r w:rsidRPr="006B6621">
              <w:rPr>
                <w:b/>
                <w:sz w:val="22"/>
                <w:szCs w:val="22"/>
              </w:rPr>
              <w:t xml:space="preserve">vasculitis, </w:t>
            </w:r>
            <w:proofErr w:type="spellStart"/>
            <w:r w:rsidR="0013092F">
              <w:rPr>
                <w:b/>
                <w:sz w:val="22"/>
                <w:szCs w:val="22"/>
              </w:rPr>
              <w:t>paraproteinaemic</w:t>
            </w:r>
            <w:proofErr w:type="spellEnd"/>
            <w:r w:rsidR="0013092F">
              <w:rPr>
                <w:b/>
                <w:sz w:val="22"/>
                <w:szCs w:val="22"/>
              </w:rPr>
              <w:t xml:space="preserve"> neuropathies, </w:t>
            </w:r>
            <w:r w:rsidRPr="006B6621">
              <w:rPr>
                <w:b/>
                <w:sz w:val="22"/>
                <w:szCs w:val="22"/>
              </w:rPr>
              <w:t xml:space="preserve">TTR amyloidosis, Motor Neurone </w:t>
            </w:r>
            <w:r w:rsidR="0013092F">
              <w:rPr>
                <w:b/>
                <w:sz w:val="22"/>
                <w:szCs w:val="22"/>
              </w:rPr>
              <w:t xml:space="preserve">disease </w:t>
            </w:r>
            <w:r w:rsidRPr="006B6621">
              <w:rPr>
                <w:b/>
                <w:sz w:val="22"/>
                <w:szCs w:val="22"/>
              </w:rPr>
              <w:t>and  inflammatory myopathies</w:t>
            </w:r>
          </w:p>
          <w:p w14:paraId="08F36907" w14:textId="2A4659C3" w:rsidR="00062E35" w:rsidRPr="00517760" w:rsidRDefault="00EC0DBA" w:rsidP="002C4742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000000"/>
                <w:sz w:val="24"/>
                <w:szCs w:val="24"/>
                <w:lang w:eastAsia="en-GB"/>
              </w:rPr>
            </w:pPr>
            <w:r>
              <w:t xml:space="preserve">   </w:t>
            </w:r>
            <w:hyperlink r:id="rId7" w:history="1">
              <w:r>
                <w:rPr>
                  <w:rStyle w:val="Hyperlink"/>
                </w:rPr>
                <w:t>Click her to view the draft programme</w:t>
              </w:r>
            </w:hyperlink>
          </w:p>
          <w:p w14:paraId="56BA79AD" w14:textId="0FAB58F1" w:rsidR="00062E35" w:rsidRPr="00517760" w:rsidRDefault="00062E35" w:rsidP="00EC0DBA">
            <w:pPr>
              <w:pStyle w:val="Default"/>
              <w:ind w:left="175"/>
              <w:rPr>
                <w:b/>
                <w:sz w:val="20"/>
                <w:szCs w:val="20"/>
              </w:rPr>
            </w:pPr>
            <w:r w:rsidRPr="00517760">
              <w:rPr>
                <w:b/>
                <w:sz w:val="20"/>
                <w:szCs w:val="20"/>
              </w:rPr>
              <w:t>Course organisers:</w:t>
            </w:r>
            <w:r w:rsidR="00EC0DBA">
              <w:rPr>
                <w:b/>
                <w:sz w:val="20"/>
                <w:szCs w:val="20"/>
              </w:rPr>
              <w:t xml:space="preserve"> </w:t>
            </w:r>
            <w:r w:rsidRPr="00517760">
              <w:rPr>
                <w:b/>
                <w:sz w:val="20"/>
                <w:szCs w:val="20"/>
              </w:rPr>
              <w:t>Professor Mary Reilly and Professor Michael Hanna</w:t>
            </w:r>
            <w:r w:rsidR="00EC0DBA">
              <w:rPr>
                <w:b/>
                <w:sz w:val="20"/>
                <w:szCs w:val="20"/>
              </w:rPr>
              <w:t xml:space="preserve">, </w:t>
            </w:r>
            <w:r w:rsidRPr="00517760">
              <w:rPr>
                <w:b/>
                <w:sz w:val="20"/>
                <w:szCs w:val="20"/>
              </w:rPr>
              <w:t>Queen Square Centre for Neuromuscular Diseases, UCL Queen Square Institute of Neurology and</w:t>
            </w:r>
            <w:r w:rsidR="00EC0DBA">
              <w:rPr>
                <w:b/>
                <w:sz w:val="20"/>
                <w:szCs w:val="20"/>
              </w:rPr>
              <w:t xml:space="preserve"> the National Hospital for Neurology and Neurosurgery,</w:t>
            </w:r>
            <w:r w:rsidRPr="00517760">
              <w:rPr>
                <w:b/>
                <w:sz w:val="20"/>
                <w:szCs w:val="20"/>
              </w:rPr>
              <w:t xml:space="preserve"> UCLH Hospitals Foundation Trust</w:t>
            </w:r>
            <w:r w:rsidR="00EC0DBA">
              <w:rPr>
                <w:b/>
                <w:sz w:val="20"/>
                <w:szCs w:val="20"/>
              </w:rPr>
              <w:t xml:space="preserve">, </w:t>
            </w:r>
            <w:r w:rsidRPr="00517760">
              <w:rPr>
                <w:b/>
                <w:sz w:val="20"/>
                <w:szCs w:val="20"/>
              </w:rPr>
              <w:t>Professor Francesco Muntoni</w:t>
            </w:r>
            <w:r w:rsidR="00BB7FFA">
              <w:rPr>
                <w:b/>
                <w:sz w:val="20"/>
                <w:szCs w:val="20"/>
              </w:rPr>
              <w:t xml:space="preserve">, </w:t>
            </w:r>
            <w:r w:rsidRPr="00517760">
              <w:rPr>
                <w:b/>
                <w:sz w:val="20"/>
                <w:szCs w:val="20"/>
              </w:rPr>
              <w:t>Dr Adnan Manzur</w:t>
            </w:r>
            <w:r w:rsidR="00BB7FFA">
              <w:rPr>
                <w:b/>
                <w:sz w:val="20"/>
                <w:szCs w:val="20"/>
              </w:rPr>
              <w:t xml:space="preserve"> and Professor Giovanni </w:t>
            </w:r>
            <w:proofErr w:type="spellStart"/>
            <w:r w:rsidR="00BB7FFA">
              <w:rPr>
                <w:b/>
                <w:sz w:val="20"/>
                <w:szCs w:val="20"/>
              </w:rPr>
              <w:t>Baronello</w:t>
            </w:r>
            <w:proofErr w:type="spellEnd"/>
            <w:r w:rsidR="00EC0DBA">
              <w:rPr>
                <w:b/>
                <w:sz w:val="20"/>
                <w:szCs w:val="20"/>
              </w:rPr>
              <w:t xml:space="preserve">, </w:t>
            </w:r>
            <w:r w:rsidRPr="00517760">
              <w:rPr>
                <w:b/>
                <w:sz w:val="20"/>
                <w:szCs w:val="20"/>
              </w:rPr>
              <w:t>UCL Institute of Child Health and Great Ormond Street Hospital</w:t>
            </w:r>
          </w:p>
          <w:p w14:paraId="4ADABA30" w14:textId="77777777" w:rsidR="00062E35" w:rsidRPr="00D87948" w:rsidRDefault="00062E35" w:rsidP="002C4742">
            <w:pPr>
              <w:spacing w:after="0" w:line="240" w:lineRule="auto"/>
              <w:ind w:lef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E35" w:rsidRPr="00D87948" w14:paraId="325AA44A" w14:textId="77777777" w:rsidTr="002C4742">
        <w:tc>
          <w:tcPr>
            <w:tcW w:w="11307" w:type="dxa"/>
            <w:gridSpan w:val="2"/>
          </w:tcPr>
          <w:p w14:paraId="72F2943F" w14:textId="7CEABB30" w:rsidR="00062E35" w:rsidRPr="00436D3A" w:rsidRDefault="00EC0DBA" w:rsidP="00436D3A">
            <w:pPr>
              <w:rPr>
                <w:rFonts w:eastAsiaTheme="minorHAnsi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062E35" w:rsidRPr="00D87948">
              <w:rPr>
                <w:rFonts w:ascii="Arial" w:hAnsi="Arial" w:cs="Arial"/>
                <w:b/>
                <w:sz w:val="24"/>
                <w:szCs w:val="24"/>
                <w:lang w:val="en-US" w:eastAsia="en-GB"/>
              </w:rPr>
              <w:t>On-line registration</w:t>
            </w:r>
            <w:r w:rsidR="00710E46">
              <w:rPr>
                <w:b/>
                <w:sz w:val="24"/>
                <w:szCs w:val="24"/>
                <w:lang w:val="en-US" w:eastAsia="en-GB"/>
              </w:rPr>
              <w:t xml:space="preserve">:      </w:t>
            </w:r>
            <w:hyperlink r:id="rId8" w:history="1">
              <w:r w:rsidR="00436D3A">
                <w:rPr>
                  <w:rStyle w:val="Hyperlink"/>
                </w:rPr>
                <w:t>F85 Neuromuscular Update Meeting 2024 | UCL Online Store</w:t>
              </w:r>
            </w:hyperlink>
          </w:p>
          <w:tbl>
            <w:tblPr>
              <w:tblW w:w="0" w:type="auto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04"/>
              <w:gridCol w:w="1417"/>
              <w:gridCol w:w="2127"/>
            </w:tblGrid>
            <w:tr w:rsidR="00062E35" w:rsidRPr="00D87948" w14:paraId="28936062" w14:textId="77777777" w:rsidTr="002C4742">
              <w:tc>
                <w:tcPr>
                  <w:tcW w:w="5004" w:type="dxa"/>
                </w:tcPr>
                <w:p w14:paraId="5F2E21FB" w14:textId="6D9104E5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Costs for 202</w:t>
                  </w:r>
                  <w:r w:rsidR="00436D3A">
                    <w:rPr>
                      <w:rFonts w:ascii="Arial" w:hAnsi="Arial" w:cs="Arial"/>
                      <w:b/>
                    </w:rPr>
                    <w:t>4</w:t>
                  </w:r>
                </w:p>
                <w:p w14:paraId="07DA8602" w14:textId="1281B845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(Early bird) until 31 March 202</w:t>
                  </w:r>
                  <w:r w:rsidR="00436D3A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14:paraId="6553BCD0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Day rate</w:t>
                  </w:r>
                </w:p>
              </w:tc>
              <w:tc>
                <w:tcPr>
                  <w:tcW w:w="2127" w:type="dxa"/>
                </w:tcPr>
                <w:p w14:paraId="587F5958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Whole course</w:t>
                  </w:r>
                </w:p>
              </w:tc>
            </w:tr>
            <w:tr w:rsidR="00062E35" w:rsidRPr="00D87948" w14:paraId="405BA971" w14:textId="77777777" w:rsidTr="002C4742">
              <w:tc>
                <w:tcPr>
                  <w:tcW w:w="5004" w:type="dxa"/>
                </w:tcPr>
                <w:p w14:paraId="38E55A28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Consultants/pharma rates</w:t>
                  </w:r>
                </w:p>
              </w:tc>
              <w:tc>
                <w:tcPr>
                  <w:tcW w:w="1417" w:type="dxa"/>
                </w:tcPr>
                <w:p w14:paraId="51C0801B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£170 (£160)</w:t>
                  </w:r>
                </w:p>
              </w:tc>
              <w:tc>
                <w:tcPr>
                  <w:tcW w:w="2127" w:type="dxa"/>
                </w:tcPr>
                <w:p w14:paraId="60FF61E6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£425 (£400)</w:t>
                  </w:r>
                </w:p>
              </w:tc>
            </w:tr>
            <w:tr w:rsidR="00062E35" w:rsidRPr="00D87948" w14:paraId="348B4DBC" w14:textId="77777777" w:rsidTr="002C4742">
              <w:tc>
                <w:tcPr>
                  <w:tcW w:w="5004" w:type="dxa"/>
                </w:tcPr>
                <w:p w14:paraId="17803BAE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Trainee rate (UK)</w:t>
                  </w:r>
                </w:p>
              </w:tc>
              <w:tc>
                <w:tcPr>
                  <w:tcW w:w="1417" w:type="dxa"/>
                </w:tcPr>
                <w:p w14:paraId="2D7E3DB5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£80</w:t>
                  </w:r>
                </w:p>
                <w:p w14:paraId="5F1204C5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(£70)</w:t>
                  </w:r>
                </w:p>
              </w:tc>
              <w:tc>
                <w:tcPr>
                  <w:tcW w:w="2127" w:type="dxa"/>
                </w:tcPr>
                <w:p w14:paraId="514DE65D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£200 (£180)</w:t>
                  </w:r>
                </w:p>
              </w:tc>
            </w:tr>
            <w:tr w:rsidR="00062E35" w:rsidRPr="00D87948" w14:paraId="6F692B9D" w14:textId="77777777" w:rsidTr="002C4742">
              <w:tc>
                <w:tcPr>
                  <w:tcW w:w="5004" w:type="dxa"/>
                </w:tcPr>
                <w:p w14:paraId="5F31F7DE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Trainee rate (non-UK)</w:t>
                  </w:r>
                </w:p>
              </w:tc>
              <w:tc>
                <w:tcPr>
                  <w:tcW w:w="1417" w:type="dxa"/>
                </w:tcPr>
                <w:p w14:paraId="1AFEDFEF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£130 (£120)</w:t>
                  </w:r>
                </w:p>
              </w:tc>
              <w:tc>
                <w:tcPr>
                  <w:tcW w:w="2127" w:type="dxa"/>
                </w:tcPr>
                <w:p w14:paraId="3EE196F6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£320 (£300)</w:t>
                  </w:r>
                </w:p>
              </w:tc>
            </w:tr>
            <w:tr w:rsidR="00062E35" w:rsidRPr="00D87948" w14:paraId="2EE23685" w14:textId="77777777" w:rsidTr="002C4742">
              <w:tc>
                <w:tcPr>
                  <w:tcW w:w="5004" w:type="dxa"/>
                </w:tcPr>
                <w:p w14:paraId="30BB147B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Allied professionals (physios, nurses)</w:t>
                  </w:r>
                </w:p>
              </w:tc>
              <w:tc>
                <w:tcPr>
                  <w:tcW w:w="1417" w:type="dxa"/>
                </w:tcPr>
                <w:p w14:paraId="140D82A3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£110 (£100)</w:t>
                  </w:r>
                </w:p>
              </w:tc>
              <w:tc>
                <w:tcPr>
                  <w:tcW w:w="2127" w:type="dxa"/>
                </w:tcPr>
                <w:p w14:paraId="6559536C" w14:textId="77777777" w:rsidR="00062E35" w:rsidRPr="00517760" w:rsidRDefault="00062E35" w:rsidP="002C4742">
                  <w:pPr>
                    <w:spacing w:after="0"/>
                    <w:ind w:left="175"/>
                    <w:rPr>
                      <w:rFonts w:ascii="Arial" w:hAnsi="Arial" w:cs="Arial"/>
                      <w:b/>
                    </w:rPr>
                  </w:pPr>
                  <w:r w:rsidRPr="00517760">
                    <w:rPr>
                      <w:rFonts w:ascii="Arial" w:hAnsi="Arial" w:cs="Arial"/>
                      <w:b/>
                    </w:rPr>
                    <w:t>£275 (£250)</w:t>
                  </w:r>
                </w:p>
              </w:tc>
            </w:tr>
          </w:tbl>
          <w:p w14:paraId="3E1085EE" w14:textId="77777777" w:rsidR="00EC0DBA" w:rsidRDefault="00062E35" w:rsidP="00EC0DB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D87948">
              <w:rPr>
                <w:b/>
                <w:sz w:val="20"/>
                <w:szCs w:val="20"/>
              </w:rPr>
              <w:t xml:space="preserve">Course co-ordinator Jacky Bauer </w:t>
            </w:r>
            <w:hyperlink r:id="rId9" w:history="1">
              <w:r w:rsidRPr="00AF6C99">
                <w:rPr>
                  <w:rStyle w:val="Hyperlink"/>
                  <w:b/>
                  <w:sz w:val="20"/>
                  <w:szCs w:val="20"/>
                </w:rPr>
                <w:t>j.bauer@ucl.ac.uk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  <w:r w:rsidRPr="00D87948">
              <w:rPr>
                <w:b/>
                <w:sz w:val="20"/>
                <w:szCs w:val="20"/>
              </w:rPr>
              <w:t xml:space="preserve">  0044 203 448 8111</w:t>
            </w:r>
          </w:p>
          <w:p w14:paraId="763D8D17" w14:textId="0204B73D" w:rsidR="00062E35" w:rsidRPr="008A1230" w:rsidRDefault="00710E46" w:rsidP="008A1230">
            <w:pPr>
              <w:pStyle w:val="Default"/>
              <w:jc w:val="center"/>
              <w:rPr>
                <w:b/>
                <w:sz w:val="16"/>
                <w:szCs w:val="16"/>
              </w:rPr>
            </w:pPr>
            <w:hyperlink r:id="rId10" w:history="1">
              <w:r w:rsidR="00EC0DBA" w:rsidRPr="004032F9">
                <w:rPr>
                  <w:rStyle w:val="Hyperlink"/>
                </w:rPr>
                <w:t>www.cnmd.ac.uk</w:t>
              </w:r>
            </w:hyperlink>
            <w:r w:rsidR="00EC0DBA">
              <w:t xml:space="preserve">       </w:t>
            </w:r>
            <w:r w:rsidR="00062E35" w:rsidRPr="00EC0DBA">
              <w:rPr>
                <w:b/>
                <w:sz w:val="16"/>
                <w:szCs w:val="16"/>
              </w:rPr>
              <w:t xml:space="preserve">RCP and RCPCH CPD approval will be applied  </w:t>
            </w:r>
          </w:p>
        </w:tc>
      </w:tr>
      <w:bookmarkEnd w:id="0"/>
    </w:tbl>
    <w:p w14:paraId="3A3CDAFC" w14:textId="77777777" w:rsidR="00EC0DBA" w:rsidRDefault="00EC0DBA" w:rsidP="008A1230"/>
    <w:sectPr w:rsidR="00EC0DBA" w:rsidSect="00EC0DBA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35"/>
    <w:rsid w:val="00030F09"/>
    <w:rsid w:val="00062E35"/>
    <w:rsid w:val="0013092F"/>
    <w:rsid w:val="001F53A3"/>
    <w:rsid w:val="00231B60"/>
    <w:rsid w:val="00277E96"/>
    <w:rsid w:val="004047C5"/>
    <w:rsid w:val="00436D3A"/>
    <w:rsid w:val="00552BBE"/>
    <w:rsid w:val="005F677A"/>
    <w:rsid w:val="00640C4F"/>
    <w:rsid w:val="00667C6A"/>
    <w:rsid w:val="006B6621"/>
    <w:rsid w:val="00710E46"/>
    <w:rsid w:val="00717499"/>
    <w:rsid w:val="00766520"/>
    <w:rsid w:val="008158B4"/>
    <w:rsid w:val="008A1230"/>
    <w:rsid w:val="008E3321"/>
    <w:rsid w:val="009A137C"/>
    <w:rsid w:val="00A401AC"/>
    <w:rsid w:val="00B31B75"/>
    <w:rsid w:val="00BB7FFA"/>
    <w:rsid w:val="00CF7B85"/>
    <w:rsid w:val="00E34A2A"/>
    <w:rsid w:val="00E61B4A"/>
    <w:rsid w:val="00E66015"/>
    <w:rsid w:val="00EC0DBA"/>
    <w:rsid w:val="00F76058"/>
    <w:rsid w:val="00F8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2820"/>
  <w15:chartTrackingRefBased/>
  <w15:docId w15:val="{0883C1C0-D4C7-4101-BB47-EF447A6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062E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C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ucl.ac.uk\GroupFolders\IoN_CNMD\Events\Neuromuscular%20update%20meClick%20here%20to%20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Click%20her%20to%20view%20the%20draft%20program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nmd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bauer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421E8-4692-4029-A4E7-FD3FBD9B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1970</Characters>
  <Application>Microsoft Office Word</Application>
  <DocSecurity>0</DocSecurity>
  <Lines>16</Lines>
  <Paragraphs>4</Paragraphs>
  <ScaleCrop>false</ScaleCrop>
  <Company>University College London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Jacky</dc:creator>
  <cp:keywords/>
  <dc:description/>
  <cp:lastModifiedBy>Bauer, Jacky</cp:lastModifiedBy>
  <cp:revision>6</cp:revision>
  <dcterms:created xsi:type="dcterms:W3CDTF">2024-01-04T10:30:00Z</dcterms:created>
  <dcterms:modified xsi:type="dcterms:W3CDTF">2024-01-23T12:18:00Z</dcterms:modified>
</cp:coreProperties>
</file>