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D923C" w14:textId="77777777" w:rsidR="00BC2959" w:rsidRDefault="00BC2959" w:rsidP="00BC2959">
      <w:pPr>
        <w:pStyle w:val="MRheading1"/>
        <w:numPr>
          <w:ilvl w:val="0"/>
          <w:numId w:val="0"/>
        </w:numPr>
        <w:tabs>
          <w:tab w:val="left" w:pos="720"/>
        </w:tabs>
        <w:ind w:left="720"/>
        <w:jc w:val="left"/>
        <w:rPr>
          <w:rFonts w:cs="Arial"/>
          <w:b w:val="0"/>
          <w:sz w:val="20"/>
          <w:u w:val="none"/>
        </w:rPr>
      </w:pPr>
      <w:bookmarkStart w:id="0" w:name="_GoBack"/>
      <w:bookmarkEnd w:id="0"/>
      <w:r>
        <w:rPr>
          <w:rFonts w:cs="Arial"/>
          <w:sz w:val="20"/>
          <w:u w:val="none"/>
        </w:rPr>
        <w:t xml:space="preserve">Schedule 2 Restricted transfers of Personal Data Outside of the United Kingdom (UK) </w:t>
      </w:r>
    </w:p>
    <w:p w14:paraId="0C1FDFFE" w14:textId="77777777" w:rsidR="00BC2959" w:rsidRDefault="00BC2959" w:rsidP="00BC2959">
      <w:pPr>
        <w:spacing w:after="200" w:line="276" w:lineRule="auto"/>
        <w:rPr>
          <w:rFonts w:ascii="Arial" w:eastAsiaTheme="minorEastAsia" w:hAnsi="Arial" w:cs="Arial"/>
          <w:b/>
          <w:sz w:val="20"/>
          <w:lang w:eastAsia="zh-CN"/>
        </w:rPr>
      </w:pPr>
    </w:p>
    <w:tbl>
      <w:tblPr>
        <w:tblStyle w:val="TableGrid13"/>
        <w:tblW w:w="10031" w:type="dxa"/>
        <w:tblInd w:w="0" w:type="dxa"/>
        <w:tblLook w:val="04A0" w:firstRow="1" w:lastRow="0" w:firstColumn="1" w:lastColumn="0" w:noHBand="0" w:noVBand="1"/>
      </w:tblPr>
      <w:tblGrid>
        <w:gridCol w:w="3652"/>
        <w:gridCol w:w="6379"/>
      </w:tblGrid>
      <w:tr w:rsidR="00BC2959" w14:paraId="4FDE1752" w14:textId="77777777" w:rsidTr="00BC2959">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E0BEBB" w14:textId="77777777" w:rsidR="00BC2959" w:rsidRDefault="00BC2959">
            <w:pPr>
              <w:spacing w:before="120" w:after="120" w:line="276" w:lineRule="auto"/>
              <w:rPr>
                <w:rFonts w:ascii="Arial" w:eastAsiaTheme="minorEastAsia" w:hAnsi="Arial" w:cs="Arial"/>
                <w:b/>
                <w:sz w:val="20"/>
                <w:lang w:val="en-US" w:eastAsia="en-US"/>
              </w:rPr>
            </w:pPr>
            <w:r>
              <w:rPr>
                <w:rFonts w:ascii="Arial" w:eastAsiaTheme="minorEastAsia" w:hAnsi="Arial" w:cs="Arial"/>
                <w:b/>
                <w:sz w:val="20"/>
                <w:lang w:val="en-US"/>
              </w:rPr>
              <w:t>Table 1</w:t>
            </w:r>
          </w:p>
          <w:p w14:paraId="7201F342" w14:textId="77777777" w:rsidR="00BC2959" w:rsidRDefault="00BC2959">
            <w:pPr>
              <w:spacing w:before="120" w:after="120" w:line="276" w:lineRule="auto"/>
              <w:rPr>
                <w:rFonts w:ascii="Arial" w:eastAsiaTheme="minorEastAsia" w:hAnsi="Arial" w:cs="Arial"/>
                <w:bCs/>
                <w:sz w:val="20"/>
                <w:lang w:val="en-US"/>
              </w:rPr>
            </w:pPr>
          </w:p>
        </w:tc>
      </w:tr>
      <w:tr w:rsidR="00BC2959" w14:paraId="5DDEBE39" w14:textId="77777777" w:rsidTr="00BC2959">
        <w:tc>
          <w:tcPr>
            <w:tcW w:w="365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3197CF" w14:textId="77777777" w:rsidR="00BC2959" w:rsidRDefault="00BC2959">
            <w:pPr>
              <w:spacing w:after="200" w:line="276" w:lineRule="auto"/>
              <w:rPr>
                <w:rFonts w:ascii="Arial" w:eastAsiaTheme="minorEastAsia" w:hAnsi="Arial" w:cs="Arial"/>
                <w:b/>
                <w:sz w:val="20"/>
                <w:lang w:val="en-US"/>
              </w:rPr>
            </w:pPr>
            <w:r>
              <w:rPr>
                <w:rFonts w:ascii="Arial" w:eastAsiaTheme="minorEastAsia" w:hAnsi="Arial" w:cs="Arial"/>
                <w:b/>
                <w:sz w:val="20"/>
                <w:lang w:val="en-US"/>
              </w:rPr>
              <w:t xml:space="preserve">Will UCL be transferring Personal Data under this Agreement to a person that is located in a country that is not an “Equivalent Country”? </w:t>
            </w:r>
          </w:p>
          <w:p w14:paraId="07998CB6" w14:textId="77777777" w:rsidR="00BC2959" w:rsidRDefault="00BC2959">
            <w:pPr>
              <w:spacing w:after="200" w:line="276" w:lineRule="auto"/>
              <w:rPr>
                <w:rFonts w:ascii="Arial" w:eastAsiaTheme="minorEastAsia" w:hAnsi="Arial" w:cs="Arial"/>
                <w:b/>
                <w:sz w:val="20"/>
                <w:lang w:val="en-US"/>
              </w:rPr>
            </w:pPr>
          </w:p>
          <w:p w14:paraId="28B7D18C" w14:textId="77777777" w:rsidR="00BC2959" w:rsidRDefault="00BC2959">
            <w:pPr>
              <w:spacing w:after="200" w:line="276" w:lineRule="auto"/>
              <w:rPr>
                <w:rFonts w:ascii="Arial" w:eastAsiaTheme="minorEastAsia" w:hAnsi="Arial" w:cs="Arial"/>
                <w:b/>
                <w:sz w:val="20"/>
                <w:lang w:val="en-US"/>
              </w:rPr>
            </w:pPr>
            <w:r>
              <w:rPr>
                <w:rFonts w:ascii="Arial" w:eastAsiaTheme="minorEastAsia" w:hAnsi="Arial" w:cs="Arial"/>
                <w:b/>
                <w:sz w:val="20"/>
                <w:lang w:val="en-US"/>
              </w:rPr>
              <w:t>“Equivalent Country” here means a country that the UK’s Information Commissioner has determined on the basis of article 45 of UK GDPR offers an adequate level of data protection.</w:t>
            </w:r>
          </w:p>
          <w:p w14:paraId="2EEEC0E0" w14:textId="77777777" w:rsidR="00BC2959" w:rsidRDefault="00BC2959">
            <w:pPr>
              <w:spacing w:after="200" w:line="276" w:lineRule="auto"/>
              <w:rPr>
                <w:rFonts w:ascii="Arial" w:eastAsiaTheme="minorEastAsia" w:hAnsi="Arial" w:cs="Arial"/>
                <w:b/>
                <w:sz w:val="20"/>
                <w:lang w:val="en-US"/>
              </w:rPr>
            </w:pPr>
          </w:p>
          <w:p w14:paraId="186A2320" w14:textId="77777777" w:rsidR="00BC2959" w:rsidRDefault="00BC2959">
            <w:pPr>
              <w:spacing w:after="200" w:line="276" w:lineRule="auto"/>
              <w:rPr>
                <w:rFonts w:ascii="Arial" w:eastAsiaTheme="minorEastAsia" w:hAnsi="Arial" w:cs="Arial"/>
                <w:b/>
                <w:sz w:val="20"/>
                <w:lang w:val="en-US"/>
              </w:rPr>
            </w:pPr>
          </w:p>
        </w:tc>
        <w:tc>
          <w:tcPr>
            <w:tcW w:w="6379" w:type="dxa"/>
            <w:tcBorders>
              <w:top w:val="single" w:sz="4" w:space="0" w:color="auto"/>
              <w:left w:val="single" w:sz="4" w:space="0" w:color="auto"/>
              <w:bottom w:val="single" w:sz="4" w:space="0" w:color="auto"/>
              <w:right w:val="single" w:sz="4" w:space="0" w:color="auto"/>
            </w:tcBorders>
          </w:tcPr>
          <w:p w14:paraId="3AD23C9F" w14:textId="77777777" w:rsidR="00BC2959" w:rsidRDefault="00BC2959">
            <w:pPr>
              <w:rPr>
                <w:rFonts w:ascii="Arial" w:eastAsia="Times New Roman" w:hAnsi="Arial" w:cs="Arial"/>
                <w:sz w:val="20"/>
                <w:lang w:val="en-US"/>
              </w:rPr>
            </w:pPr>
            <w:r>
              <w:rPr>
                <w:rFonts w:ascii="Arial" w:hAnsi="Arial" w:cs="Arial"/>
                <w:b/>
                <w:sz w:val="20"/>
                <w:highlight w:val="yellow"/>
                <w:lang w:val="en-US"/>
              </w:rPr>
              <w:t>Yes/No</w:t>
            </w:r>
            <w:r>
              <w:rPr>
                <w:rFonts w:ascii="Arial" w:hAnsi="Arial" w:cs="Arial"/>
                <w:sz w:val="20"/>
                <w:lang w:val="en-US"/>
              </w:rPr>
              <w:t xml:space="preserve"> </w:t>
            </w:r>
          </w:p>
          <w:p w14:paraId="2E6C69DE" w14:textId="77777777" w:rsidR="00BC2959" w:rsidRDefault="00BC2959">
            <w:pPr>
              <w:rPr>
                <w:rFonts w:ascii="Arial" w:hAnsi="Arial" w:cs="Arial"/>
                <w:sz w:val="20"/>
                <w:highlight w:val="yellow"/>
                <w:lang w:val="en-US"/>
              </w:rPr>
            </w:pPr>
            <w:r>
              <w:rPr>
                <w:rFonts w:ascii="Arial" w:hAnsi="Arial" w:cs="Arial"/>
                <w:sz w:val="20"/>
                <w:lang w:val="en-US"/>
              </w:rPr>
              <w:t>[</w:t>
            </w:r>
            <w:r>
              <w:rPr>
                <w:rFonts w:ascii="Arial" w:hAnsi="Arial" w:cs="Arial"/>
                <w:b/>
                <w:bCs/>
                <w:sz w:val="20"/>
                <w:highlight w:val="yellow"/>
                <w:lang w:val="en-US"/>
              </w:rPr>
              <w:t>Drafting Note</w:t>
            </w:r>
            <w:r>
              <w:rPr>
                <w:rFonts w:ascii="Arial" w:hAnsi="Arial" w:cs="Arial"/>
                <w:sz w:val="20"/>
                <w:highlight w:val="yellow"/>
                <w:lang w:val="en-US"/>
              </w:rPr>
              <w:t>: If the response is Yes, then please choose ‘Yes’ above. Otherwise choose ‘No’.</w:t>
            </w:r>
          </w:p>
          <w:p w14:paraId="102635C7" w14:textId="77777777" w:rsidR="00BC2959" w:rsidRDefault="00BC2959">
            <w:pPr>
              <w:rPr>
                <w:rFonts w:ascii="Arial" w:hAnsi="Arial" w:cs="Arial"/>
                <w:sz w:val="20"/>
                <w:lang w:val="en-US"/>
              </w:rPr>
            </w:pPr>
            <w:r>
              <w:rPr>
                <w:rFonts w:ascii="Arial" w:hAnsi="Arial" w:cs="Arial"/>
                <w:sz w:val="20"/>
                <w:highlight w:val="yellow"/>
                <w:lang w:val="en-US"/>
              </w:rPr>
              <w:t>Choosing ‘Yes’ means that the EU Standard Contractual Clauses – Module One Controller to Controller apply along with the UK Addendum.</w:t>
            </w:r>
            <w:r>
              <w:rPr>
                <w:rFonts w:ascii="Arial" w:hAnsi="Arial" w:cs="Arial"/>
                <w:sz w:val="20"/>
                <w:lang w:val="en-US"/>
              </w:rPr>
              <w:t>]</w:t>
            </w:r>
          </w:p>
          <w:p w14:paraId="24E9DBC0" w14:textId="77777777" w:rsidR="00BC2959" w:rsidRDefault="00BC2959">
            <w:pPr>
              <w:rPr>
                <w:rFonts w:ascii="Arial" w:eastAsia="Times New Roman" w:hAnsi="Arial" w:cs="Arial"/>
                <w:sz w:val="20"/>
                <w:lang w:val="en-US"/>
              </w:rPr>
            </w:pPr>
          </w:p>
          <w:p w14:paraId="3AA02107" w14:textId="77777777" w:rsidR="00BC2959" w:rsidRDefault="00BC2959">
            <w:pPr>
              <w:rPr>
                <w:rFonts w:ascii="Arial" w:hAnsi="Arial" w:cs="Arial"/>
                <w:sz w:val="20"/>
                <w:lang w:val="en-US"/>
              </w:rPr>
            </w:pPr>
            <w:r>
              <w:rPr>
                <w:rFonts w:ascii="Arial" w:hAnsi="Arial" w:cs="Arial"/>
                <w:sz w:val="20"/>
                <w:lang w:val="en-US"/>
              </w:rPr>
              <w:t>[</w:t>
            </w:r>
            <w:r>
              <w:rPr>
                <w:rFonts w:ascii="Arial" w:hAnsi="Arial" w:cs="Arial"/>
                <w:b/>
                <w:bCs/>
                <w:sz w:val="20"/>
                <w:highlight w:val="yellow"/>
                <w:lang w:val="en-US"/>
              </w:rPr>
              <w:t>Drafting Note</w:t>
            </w:r>
            <w:r>
              <w:rPr>
                <w:rFonts w:ascii="Arial" w:hAnsi="Arial" w:cs="Arial"/>
                <w:sz w:val="20"/>
                <w:highlight w:val="yellow"/>
                <w:lang w:val="en-US"/>
              </w:rPr>
              <w:t xml:space="preserve">: Please check here for a list of countries with an adequacy decision from the UK that are “Equivalent Countries”:  </w:t>
            </w:r>
            <w:hyperlink r:id="rId5" w:history="1">
              <w:r>
                <w:rPr>
                  <w:rStyle w:val="Hyperlink"/>
                  <w:rFonts w:ascii="Arial" w:hAnsi="Arial" w:cs="Arial"/>
                  <w:sz w:val="20"/>
                  <w:highlight w:val="yellow"/>
                  <w:lang w:val="en-US"/>
                </w:rPr>
                <w:t>https://ico.org.uk/for-organisations/guide-to-data-protection/guide-to-the-general-data-protection-regulation-gdpr/international-transfers-after-uk-exit/</w:t>
              </w:r>
            </w:hyperlink>
            <w:r>
              <w:rPr>
                <w:rFonts w:ascii="Arial" w:hAnsi="Arial" w:cs="Arial"/>
                <w:sz w:val="20"/>
                <w:lang w:val="en-US"/>
              </w:rPr>
              <w:t xml:space="preserve"> ]</w:t>
            </w:r>
          </w:p>
          <w:p w14:paraId="2C1FDFF0" w14:textId="77777777" w:rsidR="00BC2959" w:rsidRDefault="00BC2959">
            <w:pPr>
              <w:spacing w:after="200" w:line="276" w:lineRule="auto"/>
              <w:rPr>
                <w:rFonts w:ascii="Arial" w:eastAsiaTheme="minorEastAsia" w:hAnsi="Arial" w:cs="Arial"/>
                <w:bCs/>
                <w:i/>
                <w:iCs/>
                <w:sz w:val="20"/>
                <w:lang w:val="en-US"/>
              </w:rPr>
            </w:pPr>
          </w:p>
        </w:tc>
      </w:tr>
    </w:tbl>
    <w:p w14:paraId="453467D9" w14:textId="77777777" w:rsidR="00BC2959" w:rsidRDefault="00BC2959" w:rsidP="00BC2959">
      <w:pPr>
        <w:pStyle w:val="MRheading1"/>
        <w:numPr>
          <w:ilvl w:val="0"/>
          <w:numId w:val="0"/>
        </w:numPr>
        <w:tabs>
          <w:tab w:val="left" w:pos="720"/>
        </w:tabs>
        <w:ind w:left="720"/>
        <w:rPr>
          <w:rFonts w:cs="Arial"/>
          <w:sz w:val="20"/>
        </w:rPr>
      </w:pPr>
    </w:p>
    <w:tbl>
      <w:tblPr>
        <w:tblStyle w:val="TableGrid1"/>
        <w:tblW w:w="10031" w:type="dxa"/>
        <w:tblInd w:w="0" w:type="dxa"/>
        <w:tblLook w:val="04A0" w:firstRow="1" w:lastRow="0" w:firstColumn="1" w:lastColumn="0" w:noHBand="0" w:noVBand="1"/>
      </w:tblPr>
      <w:tblGrid>
        <w:gridCol w:w="3652"/>
        <w:gridCol w:w="3189"/>
        <w:gridCol w:w="3190"/>
      </w:tblGrid>
      <w:tr w:rsidR="00BC2959" w14:paraId="0E19690A" w14:textId="77777777" w:rsidTr="00BC2959">
        <w:tc>
          <w:tcPr>
            <w:tcW w:w="1003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80D331" w14:textId="77777777" w:rsidR="00BC2959" w:rsidRDefault="00BC2959">
            <w:pPr>
              <w:spacing w:before="120" w:after="120"/>
              <w:rPr>
                <w:rFonts w:ascii="Arial" w:hAnsi="Arial" w:cs="Arial"/>
                <w:b/>
                <w:sz w:val="20"/>
                <w:lang w:val="en-US"/>
              </w:rPr>
            </w:pPr>
            <w:r>
              <w:rPr>
                <w:rFonts w:ascii="Arial" w:hAnsi="Arial" w:cs="Arial"/>
                <w:b/>
                <w:sz w:val="20"/>
                <w:lang w:val="en-US"/>
              </w:rPr>
              <w:t>Table 2</w:t>
            </w:r>
          </w:p>
          <w:p w14:paraId="1732ACBC" w14:textId="77777777" w:rsidR="00BC2959" w:rsidRDefault="00BC2959">
            <w:pPr>
              <w:spacing w:before="120" w:after="120"/>
              <w:rPr>
                <w:rFonts w:ascii="Arial" w:hAnsi="Arial" w:cs="Arial"/>
                <w:sz w:val="20"/>
                <w:lang w:val="en-US"/>
              </w:rPr>
            </w:pPr>
            <w:r>
              <w:rPr>
                <w:rFonts w:ascii="Arial" w:hAnsi="Arial" w:cs="Arial"/>
                <w:sz w:val="20"/>
                <w:lang w:val="en-US"/>
              </w:rPr>
              <w:t>This table is only relevant where UCL is transferring Personal Data to a person located in a country that is not an Equivalent Country</w:t>
            </w:r>
          </w:p>
        </w:tc>
      </w:tr>
      <w:tr w:rsidR="00BC2959" w14:paraId="616F0CC6" w14:textId="77777777" w:rsidTr="00BC2959">
        <w:tc>
          <w:tcPr>
            <w:tcW w:w="36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DF55B5" w14:textId="77777777" w:rsidR="00BC2959" w:rsidRDefault="00BC2959">
            <w:pPr>
              <w:rPr>
                <w:rFonts w:ascii="Arial" w:hAnsi="Arial" w:cs="Arial"/>
                <w:b/>
                <w:sz w:val="20"/>
                <w:lang w:val="en-US"/>
              </w:rPr>
            </w:pPr>
            <w:r>
              <w:rPr>
                <w:rFonts w:ascii="Arial" w:hAnsi="Arial" w:cs="Arial"/>
                <w:b/>
                <w:sz w:val="20"/>
              </w:rPr>
              <w:t>Additional clauses that apply in respect of all restricted transfers of Personal Data by UCL outside of the UK or EEA under this Agreement</w:t>
            </w:r>
          </w:p>
        </w:tc>
        <w:tc>
          <w:tcPr>
            <w:tcW w:w="6379" w:type="dxa"/>
            <w:gridSpan w:val="2"/>
            <w:tcBorders>
              <w:top w:val="single" w:sz="4" w:space="0" w:color="auto"/>
              <w:left w:val="single" w:sz="4" w:space="0" w:color="auto"/>
              <w:bottom w:val="single" w:sz="4" w:space="0" w:color="auto"/>
              <w:right w:val="single" w:sz="4" w:space="0" w:color="auto"/>
            </w:tcBorders>
          </w:tcPr>
          <w:p w14:paraId="35E7FFFC" w14:textId="77777777" w:rsidR="00BC2959" w:rsidRDefault="00BC2959">
            <w:pPr>
              <w:rPr>
                <w:rFonts w:ascii="Arial" w:hAnsi="Arial" w:cs="Arial"/>
                <w:sz w:val="20"/>
                <w:lang w:val="en-US"/>
              </w:rPr>
            </w:pPr>
            <w:r>
              <w:rPr>
                <w:rFonts w:ascii="Arial" w:hAnsi="Arial" w:cs="Arial"/>
                <w:sz w:val="20"/>
                <w:lang w:val="en-US"/>
              </w:rPr>
              <w:t>The standard contractual clauses for the transfer of personal data to third countries pursuant to Regulation (EU) 2016/679 of the European Parliament and the Council (Module One controller to controller transfers) set out in Commission Decision 2021/914/EC (</w:t>
            </w:r>
            <w:r>
              <w:rPr>
                <w:rFonts w:ascii="Arial" w:hAnsi="Arial" w:cs="Arial"/>
                <w:b/>
                <w:sz w:val="20"/>
                <w:lang w:val="en-US"/>
              </w:rPr>
              <w:t>EU Standard Contractual Clauses – Module One Controller to Controller</w:t>
            </w:r>
            <w:r>
              <w:rPr>
                <w:rFonts w:ascii="Arial" w:hAnsi="Arial" w:cs="Arial"/>
                <w:sz w:val="20"/>
                <w:lang w:val="en-US"/>
              </w:rPr>
              <w:t>) and the UK International Data Transfer Addendum to the EU Commission Standard Contractual Clauses (</w:t>
            </w:r>
            <w:r>
              <w:rPr>
                <w:rFonts w:ascii="Arial" w:hAnsi="Arial" w:cs="Arial"/>
                <w:b/>
                <w:sz w:val="20"/>
                <w:lang w:val="en-US"/>
              </w:rPr>
              <w:t>UK Addendum</w:t>
            </w:r>
            <w:r>
              <w:rPr>
                <w:rFonts w:ascii="Arial" w:hAnsi="Arial" w:cs="Arial"/>
                <w:sz w:val="20"/>
                <w:lang w:val="en-US"/>
              </w:rPr>
              <w:t>) shall apply, copies of which can be found at:</w:t>
            </w:r>
          </w:p>
          <w:p w14:paraId="20542A82" w14:textId="77777777" w:rsidR="00BC2959" w:rsidRDefault="00643B95">
            <w:pPr>
              <w:rPr>
                <w:rFonts w:ascii="Arial" w:hAnsi="Arial" w:cs="Arial"/>
                <w:sz w:val="20"/>
              </w:rPr>
            </w:pPr>
            <w:hyperlink r:id="rId6" w:history="1">
              <w:r w:rsidR="00BC2959">
                <w:rPr>
                  <w:rStyle w:val="Hyperlink"/>
                  <w:rFonts w:ascii="Arial" w:hAnsi="Arial" w:cs="Arial"/>
                  <w:sz w:val="20"/>
                </w:rPr>
                <w:t>https://eur-lex.europa.eu/eli/dec_impl/2021/914/oj</w:t>
              </w:r>
            </w:hyperlink>
            <w:r w:rsidR="00BC2959">
              <w:rPr>
                <w:rFonts w:ascii="Arial" w:hAnsi="Arial" w:cs="Arial"/>
                <w:sz w:val="20"/>
              </w:rPr>
              <w:t xml:space="preserve"> and </w:t>
            </w:r>
          </w:p>
          <w:p w14:paraId="57EF8D66" w14:textId="77777777" w:rsidR="00BC2959" w:rsidRDefault="00643B95">
            <w:pPr>
              <w:rPr>
                <w:rStyle w:val="Hyperlink"/>
                <w:rFonts w:ascii="Arial" w:hAnsi="Arial" w:cs="Arial"/>
              </w:rPr>
            </w:pPr>
            <w:hyperlink r:id="rId7" w:history="1">
              <w:r w:rsidR="00BC2959">
                <w:rPr>
                  <w:rStyle w:val="Hyperlink"/>
                  <w:rFonts w:ascii="Arial" w:hAnsi="Arial" w:cs="Arial"/>
                  <w:sz w:val="20"/>
                </w:rPr>
                <w:t>https://ico.org.uk/media/for-organisations/documents/4019539/international-data-transfer-addendum.pdf</w:t>
              </w:r>
            </w:hyperlink>
          </w:p>
          <w:p w14:paraId="1C106988" w14:textId="77777777" w:rsidR="00BC2959" w:rsidRDefault="00BC2959">
            <w:pPr>
              <w:rPr>
                <w:lang w:val="en-US"/>
              </w:rPr>
            </w:pPr>
            <w:r>
              <w:rPr>
                <w:rFonts w:ascii="Arial" w:hAnsi="Arial" w:cs="Arial"/>
                <w:sz w:val="20"/>
                <w:highlight w:val="yellow"/>
                <w:lang w:val="en-US"/>
              </w:rPr>
              <w:t>[</w:t>
            </w:r>
            <w:r>
              <w:rPr>
                <w:rFonts w:ascii="Arial" w:hAnsi="Arial" w:cs="Arial"/>
                <w:b/>
                <w:bCs/>
                <w:sz w:val="20"/>
                <w:highlight w:val="yellow"/>
                <w:lang w:val="en-US"/>
              </w:rPr>
              <w:t>Drafting Note</w:t>
            </w:r>
            <w:r>
              <w:rPr>
                <w:rFonts w:ascii="Arial" w:hAnsi="Arial" w:cs="Arial"/>
                <w:sz w:val="20"/>
                <w:highlight w:val="yellow"/>
                <w:lang w:val="en-US"/>
              </w:rPr>
              <w:t>: This table is applicable if the answer to the question in Table 1 is Yes. If the answer to the question in Table 1 is No, then delete this Table 2 and Table 3.]</w:t>
            </w:r>
            <w:r>
              <w:rPr>
                <w:rFonts w:ascii="Arial" w:hAnsi="Arial" w:cs="Arial"/>
                <w:sz w:val="20"/>
                <w:lang w:val="en-US"/>
              </w:rPr>
              <w:t xml:space="preserve">   </w:t>
            </w:r>
          </w:p>
          <w:p w14:paraId="3CAD5A54" w14:textId="77777777" w:rsidR="00BC2959" w:rsidRDefault="00BC2959">
            <w:pPr>
              <w:rPr>
                <w:rFonts w:ascii="Arial" w:eastAsia="Times New Roman" w:hAnsi="Arial" w:cs="Arial"/>
                <w:sz w:val="20"/>
                <w:lang w:val="en-US"/>
              </w:rPr>
            </w:pPr>
          </w:p>
        </w:tc>
      </w:tr>
      <w:tr w:rsidR="00BC2959" w14:paraId="6F56C50E" w14:textId="77777777" w:rsidTr="00BC2959">
        <w:trPr>
          <w:trHeight w:val="772"/>
        </w:trPr>
        <w:tc>
          <w:tcPr>
            <w:tcW w:w="1003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49F3F9" w14:textId="77777777" w:rsidR="00BC2959" w:rsidRDefault="00BC2959">
            <w:pPr>
              <w:spacing w:before="120" w:after="120"/>
              <w:rPr>
                <w:rFonts w:ascii="Arial" w:hAnsi="Arial" w:cs="Arial"/>
                <w:b/>
                <w:sz w:val="20"/>
                <w:lang w:val="en-US"/>
              </w:rPr>
            </w:pPr>
            <w:r>
              <w:rPr>
                <w:rFonts w:ascii="Arial" w:hAnsi="Arial" w:cs="Arial"/>
                <w:b/>
                <w:sz w:val="20"/>
                <w:lang w:val="en-US"/>
              </w:rPr>
              <w:t>Table 3</w:t>
            </w:r>
          </w:p>
          <w:p w14:paraId="3C2194D0" w14:textId="77777777" w:rsidR="00BC2959" w:rsidRDefault="00BC2959">
            <w:pPr>
              <w:spacing w:before="120" w:after="120"/>
              <w:rPr>
                <w:rFonts w:ascii="Arial" w:hAnsi="Arial" w:cs="Arial"/>
                <w:sz w:val="20"/>
                <w:lang w:val="en-US"/>
              </w:rPr>
            </w:pPr>
            <w:r>
              <w:rPr>
                <w:rFonts w:ascii="Arial" w:hAnsi="Arial" w:cs="Arial"/>
                <w:sz w:val="20"/>
                <w:lang w:val="en-US"/>
              </w:rPr>
              <w:t>This table is only relevant where the EU Standard Contractual Clauses and UK Addendum apply to restricted transfers of Personal Data by UCL under this Agreement</w:t>
            </w:r>
          </w:p>
        </w:tc>
      </w:tr>
      <w:tr w:rsidR="00BC2959" w14:paraId="0AD62A47" w14:textId="77777777" w:rsidTr="00BC2959">
        <w:trPr>
          <w:trHeight w:val="772"/>
        </w:trPr>
        <w:tc>
          <w:tcPr>
            <w:tcW w:w="36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D28D97" w14:textId="77777777" w:rsidR="00BC2959" w:rsidRDefault="00BC2959">
            <w:pPr>
              <w:rPr>
                <w:rFonts w:ascii="Arial" w:hAnsi="Arial" w:cs="Arial"/>
                <w:b/>
                <w:sz w:val="20"/>
                <w:lang w:val="en-US"/>
              </w:rPr>
            </w:pPr>
            <w:r>
              <w:rPr>
                <w:rFonts w:ascii="Arial" w:hAnsi="Arial" w:cs="Arial"/>
                <w:b/>
                <w:sz w:val="20"/>
                <w:lang w:val="en-US"/>
              </w:rPr>
              <w:t>Completing the details needed for the EU Standard Contractual Clauses and UK Addendum</w:t>
            </w:r>
          </w:p>
        </w:tc>
        <w:tc>
          <w:tcPr>
            <w:tcW w:w="6379" w:type="dxa"/>
            <w:gridSpan w:val="2"/>
            <w:tcBorders>
              <w:top w:val="single" w:sz="4" w:space="0" w:color="auto"/>
              <w:left w:val="single" w:sz="4" w:space="0" w:color="auto"/>
              <w:bottom w:val="single" w:sz="4" w:space="0" w:color="auto"/>
              <w:right w:val="single" w:sz="4" w:space="0" w:color="auto"/>
            </w:tcBorders>
          </w:tcPr>
          <w:p w14:paraId="1E8EBC17" w14:textId="77777777" w:rsidR="00BC2959" w:rsidRDefault="00BC2959">
            <w:pPr>
              <w:rPr>
                <w:rFonts w:ascii="Arial" w:hAnsi="Arial" w:cs="Arial"/>
                <w:sz w:val="20"/>
                <w:lang w:val="en-US"/>
              </w:rPr>
            </w:pPr>
            <w:r>
              <w:rPr>
                <w:rFonts w:ascii="Arial" w:hAnsi="Arial" w:cs="Arial"/>
                <w:sz w:val="20"/>
                <w:lang w:val="en-US"/>
              </w:rPr>
              <w:t>For the purposes of the EU Standard Contractual Clauses – Module One Controller to Controller:</w:t>
            </w:r>
          </w:p>
          <w:p w14:paraId="64D276ED" w14:textId="77777777" w:rsidR="00BC2959" w:rsidRDefault="00BC2959">
            <w:pPr>
              <w:rPr>
                <w:rFonts w:ascii="Arial" w:eastAsia="Times New Roman" w:hAnsi="Arial" w:cs="Arial"/>
                <w:sz w:val="20"/>
                <w:lang w:val="en-US"/>
              </w:rPr>
            </w:pPr>
          </w:p>
          <w:p w14:paraId="79294141" w14:textId="77777777" w:rsidR="00BC2959" w:rsidRDefault="00BC2959" w:rsidP="00E9054B">
            <w:pPr>
              <w:pStyle w:val="ListParagraph"/>
              <w:numPr>
                <w:ilvl w:val="0"/>
                <w:numId w:val="2"/>
              </w:numPr>
              <w:jc w:val="both"/>
              <w:rPr>
                <w:rFonts w:ascii="Arial" w:hAnsi="Arial" w:cs="Arial"/>
                <w:sz w:val="20"/>
                <w:lang w:val="en-US"/>
              </w:rPr>
            </w:pPr>
            <w:r>
              <w:rPr>
                <w:rFonts w:ascii="Arial" w:hAnsi="Arial" w:cs="Arial"/>
                <w:sz w:val="20"/>
                <w:lang w:val="en-US"/>
              </w:rPr>
              <w:lastRenderedPageBreak/>
              <w:t xml:space="preserve">the </w:t>
            </w:r>
            <w:r>
              <w:rPr>
                <w:rFonts w:ascii="Arial" w:hAnsi="Arial" w:cs="Arial"/>
                <w:i/>
                <w:sz w:val="20"/>
                <w:lang w:val="en-US"/>
              </w:rPr>
              <w:t>data exporter</w:t>
            </w:r>
            <w:r>
              <w:rPr>
                <w:rFonts w:ascii="Arial" w:hAnsi="Arial" w:cs="Arial"/>
                <w:sz w:val="20"/>
                <w:lang w:val="en-US"/>
              </w:rPr>
              <w:t xml:space="preserve"> shall be UCL and the </w:t>
            </w:r>
            <w:r>
              <w:rPr>
                <w:rFonts w:ascii="Arial" w:hAnsi="Arial" w:cs="Arial"/>
                <w:i/>
                <w:sz w:val="20"/>
                <w:lang w:val="en-US"/>
              </w:rPr>
              <w:t>data importer</w:t>
            </w:r>
            <w:r>
              <w:rPr>
                <w:rFonts w:ascii="Arial" w:hAnsi="Arial" w:cs="Arial"/>
                <w:sz w:val="20"/>
                <w:lang w:val="en-US"/>
              </w:rPr>
              <w:t xml:space="preserve"> shall be the Recipient Institution;</w:t>
            </w:r>
          </w:p>
          <w:p w14:paraId="3EB94EAD" w14:textId="77777777" w:rsidR="00BC2959" w:rsidRDefault="00BC2959">
            <w:pPr>
              <w:pStyle w:val="ListParagraph"/>
              <w:rPr>
                <w:rFonts w:ascii="Arial" w:eastAsia="Times New Roman" w:hAnsi="Arial" w:cs="Arial"/>
                <w:sz w:val="20"/>
                <w:lang w:val="en-US"/>
              </w:rPr>
            </w:pPr>
          </w:p>
          <w:p w14:paraId="660C2A9F" w14:textId="77777777" w:rsidR="00BC2959" w:rsidRDefault="00BC2959" w:rsidP="00E9054B">
            <w:pPr>
              <w:pStyle w:val="ListParagraph"/>
              <w:numPr>
                <w:ilvl w:val="0"/>
                <w:numId w:val="2"/>
              </w:numPr>
              <w:jc w:val="both"/>
              <w:rPr>
                <w:rFonts w:ascii="Arial" w:hAnsi="Arial" w:cs="Arial"/>
                <w:sz w:val="20"/>
                <w:lang w:val="en-US"/>
              </w:rPr>
            </w:pPr>
            <w:r>
              <w:rPr>
                <w:rFonts w:ascii="Arial" w:hAnsi="Arial" w:cs="Arial"/>
                <w:sz w:val="20"/>
                <w:lang w:val="en-US"/>
              </w:rPr>
              <w:t xml:space="preserve">the description of the transfer for the purposes of Annex I Parts B and C of the EU Standard Contractual Clauses is as set out in the rest of this table; and </w:t>
            </w:r>
          </w:p>
          <w:p w14:paraId="7BCC058D" w14:textId="77777777" w:rsidR="00BC2959" w:rsidRDefault="00BC2959">
            <w:pPr>
              <w:pStyle w:val="ListParagraph"/>
              <w:rPr>
                <w:rFonts w:ascii="Arial" w:eastAsia="Times New Roman" w:hAnsi="Arial" w:cs="Arial"/>
                <w:sz w:val="20"/>
                <w:lang w:val="en-US"/>
              </w:rPr>
            </w:pPr>
          </w:p>
          <w:p w14:paraId="5CFDF2B9" w14:textId="77777777" w:rsidR="00BC2959" w:rsidRDefault="00BC2959" w:rsidP="00E9054B">
            <w:pPr>
              <w:pStyle w:val="ListParagraph"/>
              <w:numPr>
                <w:ilvl w:val="0"/>
                <w:numId w:val="2"/>
              </w:numPr>
              <w:jc w:val="both"/>
              <w:rPr>
                <w:rFonts w:ascii="Arial" w:hAnsi="Arial" w:cs="Arial"/>
                <w:sz w:val="20"/>
                <w:lang w:val="en-US"/>
              </w:rPr>
            </w:pPr>
            <w:r>
              <w:rPr>
                <w:rFonts w:ascii="Arial" w:hAnsi="Arial" w:cs="Arial"/>
                <w:sz w:val="20"/>
                <w:lang w:val="en-US"/>
              </w:rPr>
              <w:t>the technical and organizational measures including technical and organizational measures to ensure the security of the data for the purposes of Annex II of the EU Standard Contractual Clauses are as set out in the rest of this table.</w:t>
            </w:r>
          </w:p>
          <w:p w14:paraId="155590D4" w14:textId="77777777" w:rsidR="00BC2959" w:rsidRDefault="00BC2959">
            <w:pPr>
              <w:pStyle w:val="ListParagraph"/>
              <w:rPr>
                <w:rFonts w:ascii="Arial" w:eastAsia="Times New Roman" w:hAnsi="Arial" w:cs="Arial"/>
                <w:sz w:val="20"/>
                <w:lang w:val="en-US"/>
              </w:rPr>
            </w:pPr>
          </w:p>
          <w:p w14:paraId="0EA1E4E4" w14:textId="77777777" w:rsidR="00BC2959" w:rsidRDefault="00BC2959">
            <w:pPr>
              <w:pStyle w:val="ListParagraph"/>
              <w:jc w:val="both"/>
              <w:rPr>
                <w:rFonts w:ascii="Arial" w:hAnsi="Arial" w:cs="Arial"/>
                <w:sz w:val="20"/>
                <w:lang w:val="en-US"/>
              </w:rPr>
            </w:pPr>
          </w:p>
          <w:p w14:paraId="73D6CA6E" w14:textId="77777777" w:rsidR="00BC2959" w:rsidRDefault="00BC2959">
            <w:pPr>
              <w:rPr>
                <w:rFonts w:ascii="Arial" w:hAnsi="Arial" w:cs="Arial"/>
                <w:sz w:val="20"/>
                <w:lang w:val="en-US"/>
              </w:rPr>
            </w:pPr>
            <w:r>
              <w:rPr>
                <w:rFonts w:ascii="Arial" w:hAnsi="Arial" w:cs="Arial"/>
                <w:sz w:val="20"/>
                <w:lang w:val="en-US"/>
              </w:rPr>
              <w:t>For the purposes of the UK Addendum:</w:t>
            </w:r>
          </w:p>
          <w:p w14:paraId="1220C25E" w14:textId="77777777" w:rsidR="00BC2959" w:rsidRDefault="00BC2959" w:rsidP="00E9054B">
            <w:pPr>
              <w:pStyle w:val="ListParagraph"/>
              <w:numPr>
                <w:ilvl w:val="0"/>
                <w:numId w:val="2"/>
              </w:numPr>
              <w:jc w:val="both"/>
              <w:rPr>
                <w:rFonts w:ascii="Arial" w:hAnsi="Arial" w:cs="Arial"/>
                <w:sz w:val="20"/>
                <w:lang w:val="en-US"/>
              </w:rPr>
            </w:pPr>
            <w:r>
              <w:rPr>
                <w:rFonts w:ascii="Arial" w:hAnsi="Arial" w:cs="Arial"/>
                <w:sz w:val="20"/>
                <w:lang w:val="en-US"/>
              </w:rPr>
              <w:t xml:space="preserve">the </w:t>
            </w:r>
            <w:r>
              <w:rPr>
                <w:rFonts w:ascii="Arial" w:hAnsi="Arial" w:cs="Arial"/>
                <w:i/>
                <w:sz w:val="20"/>
                <w:lang w:val="en-US"/>
              </w:rPr>
              <w:t>data exporter</w:t>
            </w:r>
            <w:r>
              <w:rPr>
                <w:rFonts w:ascii="Arial" w:hAnsi="Arial" w:cs="Arial"/>
                <w:sz w:val="20"/>
                <w:lang w:val="en-US"/>
              </w:rPr>
              <w:t xml:space="preserve"> shall be UCL and the </w:t>
            </w:r>
            <w:r>
              <w:rPr>
                <w:rFonts w:ascii="Arial" w:hAnsi="Arial" w:cs="Arial"/>
                <w:i/>
                <w:sz w:val="20"/>
                <w:lang w:val="en-US"/>
              </w:rPr>
              <w:t>data importer</w:t>
            </w:r>
            <w:r>
              <w:rPr>
                <w:rFonts w:ascii="Arial" w:hAnsi="Arial" w:cs="Arial"/>
                <w:sz w:val="20"/>
                <w:lang w:val="en-US"/>
              </w:rPr>
              <w:t xml:space="preserve"> shall be the Recipient Institution;</w:t>
            </w:r>
          </w:p>
          <w:p w14:paraId="0DCD52EA" w14:textId="77777777" w:rsidR="00BC2959" w:rsidRDefault="00BC2959">
            <w:pPr>
              <w:pStyle w:val="ListParagraph"/>
              <w:rPr>
                <w:rFonts w:ascii="Arial" w:eastAsia="Times New Roman" w:hAnsi="Arial" w:cs="Arial"/>
                <w:sz w:val="20"/>
                <w:lang w:val="en-US"/>
              </w:rPr>
            </w:pPr>
          </w:p>
          <w:p w14:paraId="18F2886B" w14:textId="77777777" w:rsidR="00BC2959" w:rsidRDefault="00BC2959" w:rsidP="00E9054B">
            <w:pPr>
              <w:pStyle w:val="ListParagraph"/>
              <w:numPr>
                <w:ilvl w:val="0"/>
                <w:numId w:val="2"/>
              </w:numPr>
              <w:jc w:val="both"/>
              <w:rPr>
                <w:rFonts w:ascii="Arial" w:hAnsi="Arial" w:cs="Arial"/>
                <w:sz w:val="20"/>
                <w:lang w:val="en-US"/>
              </w:rPr>
            </w:pPr>
            <w:r>
              <w:rPr>
                <w:rFonts w:ascii="Arial" w:hAnsi="Arial" w:cs="Arial"/>
                <w:sz w:val="20"/>
                <w:lang w:val="en-US"/>
              </w:rPr>
              <w:t>the key contacts shall be as set out in the rest of this table</w:t>
            </w:r>
          </w:p>
          <w:p w14:paraId="2B682732" w14:textId="77777777" w:rsidR="00BC2959" w:rsidRDefault="00BC2959">
            <w:pPr>
              <w:pStyle w:val="ListParagraph"/>
              <w:rPr>
                <w:rFonts w:ascii="Arial" w:eastAsia="Times New Roman" w:hAnsi="Arial" w:cs="Arial"/>
                <w:sz w:val="20"/>
                <w:lang w:val="en-US"/>
              </w:rPr>
            </w:pPr>
          </w:p>
          <w:p w14:paraId="55B47717" w14:textId="77777777" w:rsidR="00BC2959" w:rsidRDefault="00BC2959" w:rsidP="00E9054B">
            <w:pPr>
              <w:pStyle w:val="ListParagraph"/>
              <w:numPr>
                <w:ilvl w:val="0"/>
                <w:numId w:val="2"/>
              </w:numPr>
              <w:jc w:val="both"/>
              <w:rPr>
                <w:rFonts w:ascii="Arial" w:hAnsi="Arial" w:cs="Arial"/>
                <w:sz w:val="20"/>
                <w:lang w:val="en-US"/>
              </w:rPr>
            </w:pPr>
            <w:r>
              <w:rPr>
                <w:rFonts w:ascii="Arial" w:hAnsi="Arial" w:cs="Arial"/>
                <w:sz w:val="20"/>
                <w:lang w:val="en-US"/>
              </w:rPr>
              <w:t>in Table 2 the second option shall be selected</w:t>
            </w:r>
          </w:p>
          <w:p w14:paraId="0749839A" w14:textId="77777777" w:rsidR="00BC2959" w:rsidRDefault="00BC2959">
            <w:pPr>
              <w:pStyle w:val="ListParagraph"/>
              <w:rPr>
                <w:rFonts w:ascii="Arial" w:eastAsia="Times New Roman" w:hAnsi="Arial" w:cs="Arial"/>
                <w:sz w:val="20"/>
                <w:lang w:val="en-US"/>
              </w:rPr>
            </w:pPr>
          </w:p>
          <w:p w14:paraId="2A4A610C" w14:textId="77777777" w:rsidR="00BC2959" w:rsidRDefault="00BC2959" w:rsidP="00E9054B">
            <w:pPr>
              <w:pStyle w:val="ListParagraph"/>
              <w:numPr>
                <w:ilvl w:val="0"/>
                <w:numId w:val="2"/>
              </w:numPr>
              <w:jc w:val="both"/>
              <w:rPr>
                <w:rFonts w:ascii="Arial" w:hAnsi="Arial" w:cs="Arial"/>
                <w:sz w:val="20"/>
                <w:lang w:val="en-US"/>
              </w:rPr>
            </w:pPr>
            <w:r>
              <w:rPr>
                <w:rFonts w:ascii="Arial" w:hAnsi="Arial" w:cs="Arial"/>
                <w:sz w:val="20"/>
                <w:lang w:val="en-US"/>
              </w:rPr>
              <w:t>in Table 2 ‘Yes’ shall be entered against Module 1 ‘No’ against the other Modules</w:t>
            </w:r>
          </w:p>
          <w:p w14:paraId="0279C262" w14:textId="77777777" w:rsidR="00BC2959" w:rsidRDefault="00BC2959">
            <w:pPr>
              <w:pStyle w:val="ListParagraph"/>
              <w:rPr>
                <w:rFonts w:ascii="Arial" w:eastAsia="Times New Roman" w:hAnsi="Arial" w:cs="Arial"/>
                <w:sz w:val="20"/>
                <w:lang w:val="en-US"/>
              </w:rPr>
            </w:pPr>
          </w:p>
          <w:p w14:paraId="1422E5D9" w14:textId="77777777" w:rsidR="00BC2959" w:rsidRDefault="00BC2959" w:rsidP="00E9054B">
            <w:pPr>
              <w:pStyle w:val="ListParagraph"/>
              <w:numPr>
                <w:ilvl w:val="0"/>
                <w:numId w:val="2"/>
              </w:numPr>
              <w:jc w:val="both"/>
              <w:rPr>
                <w:rFonts w:ascii="Arial" w:hAnsi="Arial" w:cs="Arial"/>
                <w:sz w:val="20"/>
                <w:lang w:val="en-US"/>
              </w:rPr>
            </w:pPr>
            <w:r>
              <w:rPr>
                <w:rFonts w:ascii="Arial" w:hAnsi="Arial" w:cs="Arial"/>
                <w:sz w:val="20"/>
                <w:lang w:val="en-US"/>
              </w:rPr>
              <w:t>in Table 2 against Module 1 the following selections shall be made:</w:t>
            </w:r>
          </w:p>
          <w:p w14:paraId="19D86AD0" w14:textId="77777777" w:rsidR="00BC2959" w:rsidRDefault="00BC2959">
            <w:pPr>
              <w:pStyle w:val="ListParagraph"/>
              <w:rPr>
                <w:rFonts w:ascii="Arial" w:eastAsia="Times New Roman" w:hAnsi="Arial" w:cs="Arial"/>
                <w:sz w:val="20"/>
                <w:lang w:val="en-US"/>
              </w:rPr>
            </w:pPr>
          </w:p>
          <w:p w14:paraId="1E8661CA" w14:textId="77777777" w:rsidR="00BC2959" w:rsidRDefault="00BC2959" w:rsidP="00E9054B">
            <w:pPr>
              <w:pStyle w:val="ListParagraph"/>
              <w:numPr>
                <w:ilvl w:val="1"/>
                <w:numId w:val="2"/>
              </w:numPr>
              <w:jc w:val="both"/>
              <w:rPr>
                <w:rFonts w:ascii="Arial" w:hAnsi="Arial" w:cs="Arial"/>
                <w:sz w:val="20"/>
                <w:lang w:val="en-US"/>
              </w:rPr>
            </w:pPr>
            <w:r>
              <w:rPr>
                <w:rFonts w:ascii="Arial" w:hAnsi="Arial" w:cs="Arial"/>
                <w:sz w:val="20"/>
                <w:lang w:val="en-US"/>
              </w:rPr>
              <w:t>Clause 7 – No</w:t>
            </w:r>
          </w:p>
          <w:p w14:paraId="24624D03" w14:textId="77777777" w:rsidR="00BC2959" w:rsidRDefault="00BC2959" w:rsidP="00E9054B">
            <w:pPr>
              <w:pStyle w:val="ListParagraph"/>
              <w:numPr>
                <w:ilvl w:val="1"/>
                <w:numId w:val="2"/>
              </w:numPr>
              <w:jc w:val="both"/>
              <w:rPr>
                <w:rFonts w:ascii="Arial" w:hAnsi="Arial" w:cs="Arial"/>
                <w:sz w:val="20"/>
                <w:lang w:val="en-US"/>
              </w:rPr>
            </w:pPr>
            <w:r>
              <w:rPr>
                <w:rFonts w:ascii="Arial" w:hAnsi="Arial" w:cs="Arial"/>
                <w:sz w:val="20"/>
                <w:lang w:val="en-US"/>
              </w:rPr>
              <w:t xml:space="preserve">Clause 11 (Option) – No </w:t>
            </w:r>
          </w:p>
          <w:p w14:paraId="6A3142A1" w14:textId="77777777" w:rsidR="00BC2959" w:rsidRDefault="00BC2959">
            <w:pPr>
              <w:pStyle w:val="ListParagraph"/>
              <w:ind w:left="1440"/>
              <w:rPr>
                <w:rFonts w:ascii="Arial" w:hAnsi="Arial" w:cs="Arial"/>
                <w:sz w:val="20"/>
                <w:lang w:val="en-US"/>
              </w:rPr>
            </w:pPr>
          </w:p>
          <w:p w14:paraId="7ED612D2" w14:textId="77777777" w:rsidR="00BC2959" w:rsidRDefault="00BC2959" w:rsidP="00E9054B">
            <w:pPr>
              <w:pStyle w:val="ListParagraph"/>
              <w:numPr>
                <w:ilvl w:val="0"/>
                <w:numId w:val="2"/>
              </w:numPr>
              <w:jc w:val="both"/>
              <w:rPr>
                <w:rFonts w:ascii="Arial" w:hAnsi="Arial" w:cs="Arial"/>
                <w:sz w:val="20"/>
                <w:lang w:val="en-US"/>
              </w:rPr>
            </w:pPr>
            <w:r>
              <w:rPr>
                <w:rFonts w:ascii="Arial" w:hAnsi="Arial" w:cs="Arial"/>
                <w:sz w:val="20"/>
                <w:lang w:val="en-US"/>
              </w:rPr>
              <w:t>In Table 3 the information shall be as set out in the rest of this table and as set out in Appendix 1.</w:t>
            </w:r>
          </w:p>
          <w:p w14:paraId="759CF78D" w14:textId="77777777" w:rsidR="00BC2959" w:rsidRDefault="00BC2959">
            <w:pPr>
              <w:pStyle w:val="ListParagraph"/>
              <w:rPr>
                <w:rFonts w:ascii="Arial" w:eastAsia="Times New Roman" w:hAnsi="Arial" w:cs="Arial"/>
                <w:sz w:val="20"/>
                <w:lang w:val="en-US"/>
              </w:rPr>
            </w:pPr>
          </w:p>
          <w:p w14:paraId="21D1C067" w14:textId="77777777" w:rsidR="00BC2959" w:rsidRDefault="00BC2959" w:rsidP="00E9054B">
            <w:pPr>
              <w:pStyle w:val="ListParagraph"/>
              <w:numPr>
                <w:ilvl w:val="0"/>
                <w:numId w:val="2"/>
              </w:numPr>
              <w:jc w:val="both"/>
              <w:rPr>
                <w:rFonts w:ascii="Arial" w:hAnsi="Arial" w:cs="Arial"/>
                <w:sz w:val="20"/>
                <w:lang w:val="en-US"/>
              </w:rPr>
            </w:pPr>
            <w:r>
              <w:rPr>
                <w:rFonts w:ascii="Arial" w:hAnsi="Arial" w:cs="Arial"/>
                <w:sz w:val="20"/>
                <w:lang w:val="en-US"/>
              </w:rPr>
              <w:t>In Table 4 the ‘Exporter’ option shall be selected</w:t>
            </w:r>
          </w:p>
          <w:p w14:paraId="06CF03B7" w14:textId="77777777" w:rsidR="00BC2959" w:rsidRDefault="00BC2959">
            <w:pPr>
              <w:pStyle w:val="ListParagraph"/>
              <w:rPr>
                <w:rFonts w:ascii="Arial" w:eastAsia="Times New Roman" w:hAnsi="Arial" w:cs="Arial"/>
                <w:sz w:val="20"/>
                <w:lang w:val="en-US"/>
              </w:rPr>
            </w:pPr>
          </w:p>
          <w:p w14:paraId="4ECE4438" w14:textId="77777777" w:rsidR="00BC2959" w:rsidRDefault="00BC2959">
            <w:pPr>
              <w:pStyle w:val="ListParagraph"/>
              <w:jc w:val="both"/>
              <w:rPr>
                <w:rFonts w:ascii="Arial" w:hAnsi="Arial" w:cs="Arial"/>
                <w:sz w:val="20"/>
                <w:lang w:val="en-US"/>
              </w:rPr>
            </w:pPr>
          </w:p>
          <w:p w14:paraId="5A1BEFC9" w14:textId="77777777" w:rsidR="00BC2959" w:rsidRDefault="00BC2959">
            <w:pPr>
              <w:rPr>
                <w:rFonts w:ascii="Arial" w:hAnsi="Arial" w:cs="Arial"/>
                <w:sz w:val="20"/>
                <w:lang w:val="en-US"/>
              </w:rPr>
            </w:pPr>
            <w:r>
              <w:rPr>
                <w:rFonts w:ascii="Arial" w:hAnsi="Arial" w:cs="Arial"/>
                <w:sz w:val="20"/>
                <w:lang w:val="en-US"/>
              </w:rPr>
              <w:t>To the extent that there is any conflict or inconsistency between the terms of the EU Standard Contractual Clauses and UK Addendum, and the terms of this Agreement, the terms of the EU Standard Contractual Clauses and UK Addendum shall take precedence.</w:t>
            </w:r>
          </w:p>
          <w:p w14:paraId="7CCACAE2" w14:textId="77777777" w:rsidR="00BC2959" w:rsidRDefault="00BC2959">
            <w:pPr>
              <w:rPr>
                <w:rFonts w:ascii="Arial" w:eastAsia="Times New Roman" w:hAnsi="Arial" w:cs="Arial"/>
                <w:sz w:val="20"/>
                <w:lang w:val="en-US"/>
              </w:rPr>
            </w:pPr>
          </w:p>
        </w:tc>
      </w:tr>
      <w:tr w:rsidR="00BC2959" w14:paraId="2122C618" w14:textId="77777777" w:rsidTr="00BC2959">
        <w:trPr>
          <w:trHeight w:val="840"/>
        </w:trPr>
        <w:tc>
          <w:tcPr>
            <w:tcW w:w="365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20A81B" w14:textId="77777777" w:rsidR="00BC2959" w:rsidRDefault="00BC2959">
            <w:pPr>
              <w:rPr>
                <w:rFonts w:ascii="Arial" w:hAnsi="Arial" w:cs="Arial"/>
                <w:b/>
                <w:sz w:val="20"/>
                <w:lang w:val="en-US"/>
              </w:rPr>
            </w:pPr>
            <w:r>
              <w:rPr>
                <w:rFonts w:ascii="Arial" w:hAnsi="Arial" w:cs="Arial"/>
                <w:b/>
                <w:sz w:val="20"/>
                <w:lang w:val="en-US"/>
              </w:rPr>
              <w:lastRenderedPageBreak/>
              <w:t>Categories of data subjects whose personal data is transferred</w:t>
            </w:r>
          </w:p>
          <w:p w14:paraId="60DDE421" w14:textId="77777777" w:rsidR="00BC2959" w:rsidRDefault="00BC2959">
            <w:pPr>
              <w:rPr>
                <w:rFonts w:ascii="Arial" w:eastAsia="Times New Roman" w:hAnsi="Arial" w:cs="Arial"/>
                <w:b/>
                <w:sz w:val="20"/>
                <w:lang w:val="en-US"/>
              </w:rPr>
            </w:pPr>
          </w:p>
          <w:p w14:paraId="3B85BB67" w14:textId="77777777" w:rsidR="00BC2959" w:rsidRDefault="00BC2959">
            <w:pPr>
              <w:rPr>
                <w:rFonts w:ascii="Arial" w:hAnsi="Arial" w:cs="Arial"/>
                <w:sz w:val="20"/>
                <w:lang w:val="en-US"/>
              </w:rPr>
            </w:pPr>
            <w:r>
              <w:rPr>
                <w:rFonts w:ascii="Arial" w:eastAsia="Arial" w:hAnsi="Arial" w:cs="Arial"/>
                <w:sz w:val="20"/>
              </w:rPr>
              <w:t>The personal data transferred concern the following categories of data subjects</w:t>
            </w:r>
          </w:p>
        </w:tc>
        <w:tc>
          <w:tcPr>
            <w:tcW w:w="6379" w:type="dxa"/>
            <w:gridSpan w:val="2"/>
            <w:tcBorders>
              <w:top w:val="single" w:sz="4" w:space="0" w:color="auto"/>
              <w:left w:val="single" w:sz="4" w:space="0" w:color="auto"/>
              <w:bottom w:val="single" w:sz="4" w:space="0" w:color="auto"/>
              <w:right w:val="single" w:sz="4" w:space="0" w:color="auto"/>
            </w:tcBorders>
            <w:hideMark/>
          </w:tcPr>
          <w:p w14:paraId="14732A19" w14:textId="77777777" w:rsidR="00BC2959" w:rsidRDefault="00BC2959">
            <w:pPr>
              <w:spacing w:after="180"/>
              <w:rPr>
                <w:rFonts w:ascii="Arial" w:hAnsi="Arial" w:cs="Arial"/>
                <w:iCs/>
                <w:sz w:val="20"/>
                <w:highlight w:val="yellow"/>
              </w:rPr>
            </w:pPr>
            <w:r>
              <w:rPr>
                <w:rFonts w:ascii="Arial" w:hAnsi="Arial" w:cs="Arial"/>
                <w:iCs/>
                <w:sz w:val="20"/>
              </w:rPr>
              <w:t>[</w:t>
            </w:r>
            <w:r>
              <w:rPr>
                <w:rFonts w:ascii="Arial" w:hAnsi="Arial" w:cs="Arial"/>
                <w:b/>
                <w:bCs/>
                <w:iCs/>
                <w:sz w:val="20"/>
                <w:highlight w:val="yellow"/>
              </w:rPr>
              <w:t>Drafting note</w:t>
            </w:r>
            <w:r>
              <w:rPr>
                <w:rFonts w:ascii="Arial" w:hAnsi="Arial" w:cs="Arial"/>
                <w:i/>
                <w:sz w:val="20"/>
                <w:highlight w:val="yellow"/>
              </w:rPr>
              <w:t>: Describe the categories of individuals whose personal data will be transferred outside of the UK or EEA. Simple example wording for this box is set out below. If any of this detail is captured in Schedule 1, that can be cross referred to here. This also applies to the sections below</w:t>
            </w:r>
            <w:r>
              <w:rPr>
                <w:rFonts w:ascii="Arial" w:hAnsi="Arial" w:cs="Arial"/>
                <w:iCs/>
                <w:sz w:val="20"/>
                <w:highlight w:val="yellow"/>
              </w:rPr>
              <w:t>]</w:t>
            </w:r>
          </w:p>
        </w:tc>
      </w:tr>
      <w:tr w:rsidR="00BC2959" w14:paraId="5E2D7E5A" w14:textId="77777777" w:rsidTr="00BC2959">
        <w:trPr>
          <w:trHeight w:val="838"/>
        </w:trPr>
        <w:tc>
          <w:tcPr>
            <w:tcW w:w="365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16455C" w14:textId="77777777" w:rsidR="00BC2959" w:rsidRDefault="00BC2959">
            <w:pPr>
              <w:rPr>
                <w:rFonts w:ascii="Arial" w:hAnsi="Arial" w:cs="Arial"/>
                <w:b/>
                <w:sz w:val="20"/>
                <w:lang w:val="en-US"/>
              </w:rPr>
            </w:pPr>
            <w:r>
              <w:rPr>
                <w:rFonts w:ascii="Arial" w:hAnsi="Arial" w:cs="Arial"/>
                <w:b/>
                <w:sz w:val="20"/>
                <w:lang w:val="en-US"/>
              </w:rPr>
              <w:t>Nature and purposes of the data transfer(s) and further processing</w:t>
            </w:r>
          </w:p>
          <w:p w14:paraId="476FAE91" w14:textId="77777777" w:rsidR="00BC2959" w:rsidRDefault="00BC2959">
            <w:pPr>
              <w:rPr>
                <w:rFonts w:ascii="Arial" w:eastAsia="Times New Roman" w:hAnsi="Arial" w:cs="Arial"/>
                <w:sz w:val="20"/>
                <w:lang w:val="en-US"/>
              </w:rPr>
            </w:pPr>
          </w:p>
          <w:p w14:paraId="2288C9D8" w14:textId="77777777" w:rsidR="00BC2959" w:rsidRDefault="00BC2959">
            <w:pPr>
              <w:rPr>
                <w:rFonts w:ascii="Arial" w:hAnsi="Arial" w:cs="Arial"/>
                <w:sz w:val="20"/>
                <w:lang w:val="en-US"/>
              </w:rPr>
            </w:pPr>
            <w:r>
              <w:rPr>
                <w:rFonts w:ascii="Arial" w:hAnsi="Arial" w:cs="Arial"/>
                <w:sz w:val="20"/>
                <w:lang w:val="en-US"/>
              </w:rPr>
              <w:t>The transfer is made for the following purposes</w:t>
            </w:r>
          </w:p>
        </w:tc>
        <w:tc>
          <w:tcPr>
            <w:tcW w:w="6379" w:type="dxa"/>
            <w:gridSpan w:val="2"/>
            <w:tcBorders>
              <w:top w:val="single" w:sz="4" w:space="0" w:color="auto"/>
              <w:left w:val="single" w:sz="4" w:space="0" w:color="auto"/>
              <w:bottom w:val="single" w:sz="4" w:space="0" w:color="auto"/>
              <w:right w:val="single" w:sz="4" w:space="0" w:color="auto"/>
            </w:tcBorders>
          </w:tcPr>
          <w:p w14:paraId="74B41CC9" w14:textId="77777777" w:rsidR="00BC2959" w:rsidRDefault="00BC2959">
            <w:pPr>
              <w:rPr>
                <w:rFonts w:ascii="Arial" w:hAnsi="Arial" w:cs="Arial"/>
                <w:sz w:val="20"/>
                <w:highlight w:val="yellow"/>
                <w:lang w:val="en-US"/>
              </w:rPr>
            </w:pPr>
            <w:r>
              <w:rPr>
                <w:rFonts w:ascii="Arial" w:hAnsi="Arial" w:cs="Arial"/>
                <w:sz w:val="20"/>
                <w:lang w:val="en-US"/>
              </w:rPr>
              <w:t>[</w:t>
            </w:r>
            <w:r>
              <w:rPr>
                <w:rFonts w:ascii="Arial" w:hAnsi="Arial" w:cs="Arial"/>
                <w:b/>
                <w:bCs/>
                <w:sz w:val="20"/>
                <w:highlight w:val="yellow"/>
                <w:lang w:val="en-US"/>
              </w:rPr>
              <w:t>Drafting note</w:t>
            </w:r>
            <w:r>
              <w:rPr>
                <w:rFonts w:ascii="Arial" w:hAnsi="Arial" w:cs="Arial"/>
                <w:sz w:val="20"/>
                <w:highlight w:val="yellow"/>
                <w:lang w:val="en-US"/>
              </w:rPr>
              <w:t xml:space="preserve">: </w:t>
            </w:r>
            <w:r>
              <w:rPr>
                <w:rFonts w:ascii="Arial" w:hAnsi="Arial" w:cs="Arial"/>
                <w:i/>
                <w:sz w:val="20"/>
                <w:highlight w:val="yellow"/>
                <w:lang w:val="en-US"/>
              </w:rPr>
              <w:t>Describe why the transfer of the personal data outside of the UK is being made – the more specific you can be the better.</w:t>
            </w:r>
            <w:r>
              <w:rPr>
                <w:rFonts w:ascii="Arial" w:hAnsi="Arial" w:cs="Arial"/>
                <w:sz w:val="20"/>
                <w:highlight w:val="yellow"/>
                <w:lang w:val="en-US"/>
              </w:rPr>
              <w:t xml:space="preserve">]   </w:t>
            </w:r>
          </w:p>
          <w:p w14:paraId="3CC14980" w14:textId="77777777" w:rsidR="00BC2959" w:rsidRDefault="00BC2959">
            <w:pPr>
              <w:rPr>
                <w:rFonts w:ascii="Arial" w:eastAsia="Times New Roman" w:hAnsi="Arial" w:cs="Arial"/>
                <w:iCs/>
                <w:sz w:val="20"/>
                <w:lang w:val="en-US"/>
              </w:rPr>
            </w:pPr>
          </w:p>
        </w:tc>
      </w:tr>
      <w:tr w:rsidR="00BC2959" w14:paraId="7B1966D9" w14:textId="77777777" w:rsidTr="00BC2959">
        <w:trPr>
          <w:trHeight w:val="838"/>
        </w:trPr>
        <w:tc>
          <w:tcPr>
            <w:tcW w:w="36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552E25" w14:textId="77777777" w:rsidR="00BC2959" w:rsidRDefault="00BC2959">
            <w:pPr>
              <w:rPr>
                <w:rFonts w:ascii="Arial" w:hAnsi="Arial" w:cs="Arial"/>
                <w:b/>
                <w:sz w:val="20"/>
                <w:lang w:val="en-US"/>
              </w:rPr>
            </w:pPr>
            <w:r>
              <w:rPr>
                <w:rFonts w:ascii="Arial" w:hAnsi="Arial" w:cs="Arial"/>
                <w:b/>
                <w:sz w:val="20"/>
                <w:lang w:val="en-US"/>
              </w:rPr>
              <w:t>Categories of personal data transferred</w:t>
            </w:r>
          </w:p>
          <w:p w14:paraId="68D8070C" w14:textId="77777777" w:rsidR="00BC2959" w:rsidRDefault="00BC2959">
            <w:pPr>
              <w:rPr>
                <w:rFonts w:ascii="Arial" w:hAnsi="Arial" w:cs="Arial"/>
                <w:b/>
                <w:sz w:val="20"/>
                <w:lang w:val="en-US"/>
              </w:rPr>
            </w:pPr>
            <w:r>
              <w:rPr>
                <w:rFonts w:ascii="Arial" w:hAnsi="Arial" w:cs="Arial"/>
                <w:b/>
                <w:sz w:val="20"/>
                <w:lang w:val="en-US"/>
              </w:rPr>
              <w:t xml:space="preserve"> </w:t>
            </w:r>
          </w:p>
          <w:p w14:paraId="42934DBF" w14:textId="77777777" w:rsidR="00BC2959" w:rsidRDefault="00BC2959">
            <w:pPr>
              <w:rPr>
                <w:rFonts w:ascii="Arial" w:hAnsi="Arial" w:cs="Arial"/>
                <w:b/>
                <w:sz w:val="20"/>
                <w:lang w:val="en-US"/>
              </w:rPr>
            </w:pPr>
            <w:r>
              <w:rPr>
                <w:rFonts w:ascii="Arial" w:hAnsi="Arial" w:cs="Arial"/>
                <w:sz w:val="20"/>
                <w:lang w:val="en-US"/>
              </w:rPr>
              <w:t>The personal data transferred concern the following categories of data</w:t>
            </w:r>
          </w:p>
        </w:tc>
        <w:tc>
          <w:tcPr>
            <w:tcW w:w="6379" w:type="dxa"/>
            <w:gridSpan w:val="2"/>
            <w:tcBorders>
              <w:top w:val="single" w:sz="4" w:space="0" w:color="auto"/>
              <w:left w:val="single" w:sz="4" w:space="0" w:color="auto"/>
              <w:bottom w:val="single" w:sz="4" w:space="0" w:color="auto"/>
              <w:right w:val="single" w:sz="4" w:space="0" w:color="auto"/>
            </w:tcBorders>
          </w:tcPr>
          <w:p w14:paraId="281A71EE" w14:textId="77777777" w:rsidR="00BC2959" w:rsidRDefault="00BC2959">
            <w:pPr>
              <w:shd w:val="clear" w:color="auto" w:fill="FFFFFF"/>
              <w:adjustRightInd w:val="0"/>
              <w:spacing w:before="139"/>
              <w:rPr>
                <w:rFonts w:ascii="Arial" w:eastAsia="Arial" w:hAnsi="Arial" w:cs="Arial"/>
                <w:i/>
                <w:noProof/>
                <w:spacing w:val="-1"/>
                <w:sz w:val="20"/>
                <w:highlight w:val="yellow"/>
                <w:lang w:val="en-US"/>
              </w:rPr>
            </w:pPr>
            <w:r>
              <w:rPr>
                <w:rFonts w:ascii="Arial" w:eastAsia="Arial" w:hAnsi="Arial" w:cs="Arial"/>
                <w:noProof/>
                <w:spacing w:val="-1"/>
                <w:sz w:val="20"/>
                <w:lang w:val="en-US"/>
              </w:rPr>
              <w:t>[</w:t>
            </w:r>
            <w:r>
              <w:rPr>
                <w:rFonts w:ascii="Arial" w:eastAsia="Arial" w:hAnsi="Arial" w:cs="Arial"/>
                <w:b/>
                <w:bCs/>
                <w:noProof/>
                <w:spacing w:val="-1"/>
                <w:sz w:val="20"/>
                <w:highlight w:val="yellow"/>
                <w:lang w:val="en-US"/>
              </w:rPr>
              <w:t>Drafting note</w:t>
            </w:r>
            <w:r>
              <w:rPr>
                <w:rFonts w:ascii="Arial" w:eastAsia="Arial" w:hAnsi="Arial" w:cs="Arial"/>
                <w:noProof/>
                <w:spacing w:val="-1"/>
                <w:sz w:val="20"/>
                <w:highlight w:val="yellow"/>
                <w:lang w:val="en-US"/>
              </w:rPr>
              <w:t xml:space="preserve">: </w:t>
            </w:r>
            <w:r>
              <w:rPr>
                <w:rFonts w:ascii="Arial" w:eastAsia="Arial" w:hAnsi="Arial" w:cs="Arial"/>
                <w:i/>
                <w:noProof/>
                <w:spacing w:val="-1"/>
                <w:sz w:val="20"/>
                <w:highlight w:val="yellow"/>
                <w:lang w:val="en-US"/>
              </w:rPr>
              <w:t>Describe the types of personal data (other than sensitive data) being transferred outside of the UK. Simple example wording for this box is set out below.</w:t>
            </w:r>
            <w:r>
              <w:rPr>
                <w:rFonts w:ascii="Arial" w:eastAsia="Arial" w:hAnsi="Arial" w:cs="Arial"/>
                <w:noProof/>
                <w:spacing w:val="-1"/>
                <w:sz w:val="20"/>
                <w:highlight w:val="yellow"/>
                <w:lang w:val="en-US"/>
              </w:rPr>
              <w:t xml:space="preserve">] </w:t>
            </w:r>
            <w:r>
              <w:rPr>
                <w:rFonts w:ascii="Arial" w:eastAsia="Arial" w:hAnsi="Arial" w:cs="Arial"/>
                <w:i/>
                <w:noProof/>
                <w:spacing w:val="-1"/>
                <w:sz w:val="20"/>
                <w:highlight w:val="yellow"/>
                <w:lang w:val="en-US"/>
              </w:rPr>
              <w:t xml:space="preserve">  </w:t>
            </w:r>
          </w:p>
          <w:p w14:paraId="19916D43" w14:textId="77777777" w:rsidR="00BC2959" w:rsidRDefault="00BC2959">
            <w:pPr>
              <w:rPr>
                <w:rFonts w:ascii="Arial" w:eastAsia="Times New Roman" w:hAnsi="Arial" w:cs="Arial"/>
                <w:sz w:val="20"/>
                <w:lang w:val="en-US"/>
              </w:rPr>
            </w:pPr>
          </w:p>
        </w:tc>
      </w:tr>
      <w:tr w:rsidR="00BC2959" w14:paraId="1F74B0E0" w14:textId="77777777" w:rsidTr="00BC2959">
        <w:trPr>
          <w:trHeight w:val="838"/>
        </w:trPr>
        <w:tc>
          <w:tcPr>
            <w:tcW w:w="365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8B85ED" w14:textId="77777777" w:rsidR="00BC2959" w:rsidRDefault="00BC2959">
            <w:pPr>
              <w:rPr>
                <w:rFonts w:ascii="Arial" w:hAnsi="Arial" w:cs="Arial"/>
                <w:b/>
                <w:sz w:val="20"/>
                <w:lang w:val="en-US"/>
              </w:rPr>
            </w:pPr>
            <w:r>
              <w:rPr>
                <w:rFonts w:ascii="Arial" w:hAnsi="Arial" w:cs="Arial"/>
                <w:b/>
                <w:sz w:val="20"/>
                <w:lang w:val="en-US"/>
              </w:rPr>
              <w:lastRenderedPageBreak/>
              <w:t>Recipients</w:t>
            </w:r>
          </w:p>
          <w:p w14:paraId="3B9D8893" w14:textId="77777777" w:rsidR="00BC2959" w:rsidRDefault="00BC2959">
            <w:pPr>
              <w:rPr>
                <w:rFonts w:ascii="Arial" w:eastAsia="Times New Roman" w:hAnsi="Arial" w:cs="Arial"/>
                <w:b/>
                <w:sz w:val="20"/>
                <w:lang w:val="en-US"/>
              </w:rPr>
            </w:pPr>
          </w:p>
          <w:p w14:paraId="258D4113" w14:textId="77777777" w:rsidR="00BC2959" w:rsidRDefault="00BC2959">
            <w:pPr>
              <w:rPr>
                <w:rFonts w:ascii="Arial" w:hAnsi="Arial" w:cs="Arial"/>
                <w:sz w:val="20"/>
                <w:lang w:val="en-US"/>
              </w:rPr>
            </w:pPr>
            <w:r>
              <w:rPr>
                <w:rFonts w:ascii="Arial" w:hAnsi="Arial" w:cs="Arial"/>
                <w:sz w:val="20"/>
                <w:lang w:val="en-US"/>
              </w:rPr>
              <w:t>The personal data transferred may be disclosed only to the following recipients or categories of recipients</w:t>
            </w:r>
          </w:p>
        </w:tc>
        <w:tc>
          <w:tcPr>
            <w:tcW w:w="6379" w:type="dxa"/>
            <w:gridSpan w:val="2"/>
            <w:tcBorders>
              <w:top w:val="single" w:sz="4" w:space="0" w:color="auto"/>
              <w:left w:val="single" w:sz="4" w:space="0" w:color="auto"/>
              <w:bottom w:val="single" w:sz="4" w:space="0" w:color="auto"/>
              <w:right w:val="single" w:sz="4" w:space="0" w:color="auto"/>
            </w:tcBorders>
          </w:tcPr>
          <w:p w14:paraId="37064F4B" w14:textId="77777777" w:rsidR="00BC2959" w:rsidRDefault="00BC2959">
            <w:pPr>
              <w:rPr>
                <w:rFonts w:ascii="Arial" w:hAnsi="Arial" w:cs="Arial"/>
                <w:sz w:val="20"/>
                <w:highlight w:val="yellow"/>
                <w:lang w:val="en-US"/>
              </w:rPr>
            </w:pPr>
            <w:r>
              <w:rPr>
                <w:rFonts w:ascii="Arial" w:hAnsi="Arial" w:cs="Arial"/>
                <w:b/>
                <w:bCs/>
                <w:iCs/>
                <w:sz w:val="20"/>
                <w:lang w:val="en-US"/>
              </w:rPr>
              <w:t>[</w:t>
            </w:r>
            <w:r>
              <w:rPr>
                <w:rFonts w:ascii="Arial" w:hAnsi="Arial" w:cs="Arial"/>
                <w:b/>
                <w:bCs/>
                <w:iCs/>
                <w:sz w:val="20"/>
                <w:highlight w:val="yellow"/>
                <w:lang w:val="en-US"/>
              </w:rPr>
              <w:t>Drafting note</w:t>
            </w:r>
            <w:r>
              <w:rPr>
                <w:rFonts w:ascii="Arial" w:hAnsi="Arial" w:cs="Arial"/>
                <w:i/>
                <w:sz w:val="20"/>
                <w:highlight w:val="yellow"/>
                <w:lang w:val="en-US"/>
              </w:rPr>
              <w:t xml:space="preserve">: Describe the third parties to which the </w:t>
            </w:r>
            <w:r>
              <w:rPr>
                <w:rFonts w:ascii="Arial" w:eastAsia="Arial" w:hAnsi="Arial" w:cs="Arial"/>
                <w:i/>
                <w:iCs/>
                <w:noProof/>
                <w:spacing w:val="-1"/>
                <w:sz w:val="20"/>
                <w:highlight w:val="yellow"/>
              </w:rPr>
              <w:t xml:space="preserve">Recipient </w:t>
            </w:r>
            <w:r>
              <w:rPr>
                <w:rFonts w:ascii="Arial" w:hAnsi="Arial" w:cs="Arial"/>
                <w:sz w:val="20"/>
                <w:highlight w:val="yellow"/>
                <w:lang w:val="en-US"/>
              </w:rPr>
              <w:t>Institution</w:t>
            </w:r>
            <w:r>
              <w:rPr>
                <w:rFonts w:ascii="Arial" w:hAnsi="Arial" w:cs="Arial"/>
                <w:i/>
                <w:sz w:val="20"/>
                <w:highlight w:val="yellow"/>
                <w:lang w:val="en-US"/>
              </w:rPr>
              <w:t xml:space="preserve"> may disclose the transferred data. Simple example wording for this box is set out below.</w:t>
            </w:r>
            <w:r>
              <w:rPr>
                <w:rFonts w:ascii="Arial" w:hAnsi="Arial" w:cs="Arial"/>
                <w:sz w:val="20"/>
                <w:highlight w:val="yellow"/>
                <w:lang w:val="en-US"/>
              </w:rPr>
              <w:t xml:space="preserve">] </w:t>
            </w:r>
            <w:r>
              <w:rPr>
                <w:rFonts w:ascii="Arial" w:hAnsi="Arial" w:cs="Arial"/>
                <w:i/>
                <w:sz w:val="20"/>
                <w:highlight w:val="yellow"/>
                <w:lang w:val="en-US"/>
              </w:rPr>
              <w:t xml:space="preserve">   </w:t>
            </w:r>
          </w:p>
          <w:p w14:paraId="081CBE7A" w14:textId="77777777" w:rsidR="00BC2959" w:rsidRDefault="00BC2959">
            <w:pPr>
              <w:shd w:val="clear" w:color="auto" w:fill="FFFFFF"/>
              <w:adjustRightInd w:val="0"/>
              <w:spacing w:before="139"/>
              <w:rPr>
                <w:rFonts w:ascii="Arial" w:eastAsia="Arial" w:hAnsi="Arial" w:cs="Arial"/>
                <w:noProof/>
                <w:spacing w:val="-1"/>
                <w:sz w:val="20"/>
                <w:highlight w:val="yellow"/>
              </w:rPr>
            </w:pPr>
            <w:r>
              <w:rPr>
                <w:rFonts w:ascii="Arial" w:eastAsia="Arial" w:hAnsi="Arial" w:cs="Arial"/>
                <w:noProof/>
                <w:spacing w:val="-1"/>
                <w:sz w:val="20"/>
                <w:highlight w:val="yellow"/>
              </w:rPr>
              <w:t>[</w:t>
            </w:r>
            <w:r>
              <w:rPr>
                <w:rFonts w:ascii="Arial" w:eastAsia="Arial" w:hAnsi="Arial" w:cs="Arial"/>
                <w:b/>
                <w:bCs/>
                <w:noProof/>
                <w:spacing w:val="-1"/>
                <w:sz w:val="20"/>
                <w:highlight w:val="yellow"/>
              </w:rPr>
              <w:t>Drafting note</w:t>
            </w:r>
            <w:r>
              <w:rPr>
                <w:rFonts w:ascii="Arial" w:eastAsia="Arial" w:hAnsi="Arial" w:cs="Arial"/>
                <w:noProof/>
                <w:spacing w:val="-1"/>
                <w:sz w:val="20"/>
                <w:highlight w:val="yellow"/>
              </w:rPr>
              <w:t xml:space="preserve">: </w:t>
            </w:r>
            <w:r>
              <w:rPr>
                <w:rFonts w:ascii="Arial" w:eastAsia="Arial" w:hAnsi="Arial" w:cs="Arial"/>
                <w:i/>
                <w:iCs/>
                <w:noProof/>
                <w:spacing w:val="-1"/>
                <w:sz w:val="20"/>
                <w:highlight w:val="yellow"/>
              </w:rPr>
              <w:t>Recipient Institution to add the recipients to which it will disclose the personal data outlined above</w:t>
            </w:r>
            <w:r>
              <w:rPr>
                <w:rFonts w:ascii="Arial" w:eastAsia="Arial" w:hAnsi="Arial" w:cs="Arial"/>
                <w:noProof/>
                <w:spacing w:val="-1"/>
                <w:sz w:val="20"/>
                <w:highlight w:val="yellow"/>
              </w:rPr>
              <w:t>]</w:t>
            </w:r>
          </w:p>
          <w:p w14:paraId="51C3F3B5" w14:textId="77777777" w:rsidR="00BC2959" w:rsidRDefault="00BC2959">
            <w:pPr>
              <w:rPr>
                <w:rFonts w:ascii="Arial" w:eastAsia="Times New Roman" w:hAnsi="Arial" w:cs="Arial"/>
                <w:sz w:val="20"/>
                <w:lang w:val="en-US"/>
              </w:rPr>
            </w:pPr>
          </w:p>
          <w:p w14:paraId="65695918" w14:textId="77777777" w:rsidR="00BC2959" w:rsidRDefault="00BC2959">
            <w:pPr>
              <w:rPr>
                <w:rFonts w:ascii="Arial" w:eastAsia="Times New Roman" w:hAnsi="Arial" w:cs="Arial"/>
                <w:sz w:val="20"/>
                <w:lang w:val="en-US"/>
              </w:rPr>
            </w:pPr>
          </w:p>
          <w:p w14:paraId="158BCE9B" w14:textId="77777777" w:rsidR="00BC2959" w:rsidRDefault="00BC2959">
            <w:pPr>
              <w:rPr>
                <w:rFonts w:ascii="Arial" w:eastAsia="Times New Roman" w:hAnsi="Arial" w:cs="Arial"/>
                <w:sz w:val="20"/>
                <w:lang w:val="en-US"/>
              </w:rPr>
            </w:pPr>
          </w:p>
          <w:p w14:paraId="2F81BE77" w14:textId="77777777" w:rsidR="00BC2959" w:rsidRDefault="00BC2959">
            <w:pPr>
              <w:rPr>
                <w:rFonts w:ascii="Arial" w:eastAsia="Times New Roman" w:hAnsi="Arial" w:cs="Arial"/>
                <w:sz w:val="20"/>
                <w:lang w:val="en-US"/>
              </w:rPr>
            </w:pPr>
          </w:p>
        </w:tc>
      </w:tr>
      <w:tr w:rsidR="00BC2959" w14:paraId="603C2C3A" w14:textId="77777777" w:rsidTr="00BC2959">
        <w:trPr>
          <w:trHeight w:val="838"/>
        </w:trPr>
        <w:tc>
          <w:tcPr>
            <w:tcW w:w="36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AB24C74" w14:textId="77777777" w:rsidR="00BC2959" w:rsidRDefault="00BC2959">
            <w:pPr>
              <w:rPr>
                <w:rFonts w:ascii="Arial" w:hAnsi="Arial" w:cs="Arial"/>
                <w:b/>
                <w:sz w:val="20"/>
                <w:lang w:val="en-US"/>
              </w:rPr>
            </w:pPr>
            <w:r>
              <w:rPr>
                <w:rFonts w:ascii="Arial" w:hAnsi="Arial" w:cs="Arial"/>
                <w:b/>
                <w:sz w:val="20"/>
                <w:lang w:val="en-US"/>
              </w:rPr>
              <w:t xml:space="preserve">Sensitive data transferred </w:t>
            </w:r>
            <w:r>
              <w:rPr>
                <w:rFonts w:ascii="Arial" w:hAnsi="Arial" w:cs="Arial"/>
                <w:sz w:val="20"/>
                <w:lang w:val="en-US"/>
              </w:rPr>
              <w:t>(if applicable)</w:t>
            </w:r>
          </w:p>
          <w:p w14:paraId="052BD822" w14:textId="77777777" w:rsidR="00BC2959" w:rsidRDefault="00BC2959">
            <w:pPr>
              <w:rPr>
                <w:rFonts w:ascii="Arial" w:hAnsi="Arial" w:cs="Arial"/>
                <w:b/>
                <w:sz w:val="20"/>
                <w:lang w:val="en-US"/>
              </w:rPr>
            </w:pPr>
            <w:r>
              <w:rPr>
                <w:rFonts w:ascii="Arial" w:hAnsi="Arial" w:cs="Arial"/>
                <w:b/>
                <w:sz w:val="20"/>
                <w:lang w:val="en-US"/>
              </w:rPr>
              <w:t xml:space="preserve"> </w:t>
            </w:r>
          </w:p>
          <w:p w14:paraId="7E0F4998" w14:textId="77777777" w:rsidR="00BC2959" w:rsidRDefault="00BC2959">
            <w:pPr>
              <w:rPr>
                <w:rFonts w:ascii="Arial" w:hAnsi="Arial" w:cs="Arial"/>
                <w:sz w:val="20"/>
                <w:lang w:val="en-US"/>
              </w:rPr>
            </w:pPr>
            <w:r>
              <w:rPr>
                <w:rFonts w:ascii="Arial" w:hAnsi="Arial" w:cs="Arial"/>
                <w:sz w:val="20"/>
                <w:lang w:val="en-US"/>
              </w:rPr>
              <w:t>The personal data transferred concern the following categories of sensitive data</w:t>
            </w:r>
          </w:p>
        </w:tc>
        <w:tc>
          <w:tcPr>
            <w:tcW w:w="6379" w:type="dxa"/>
            <w:gridSpan w:val="2"/>
            <w:tcBorders>
              <w:top w:val="single" w:sz="4" w:space="0" w:color="auto"/>
              <w:left w:val="single" w:sz="4" w:space="0" w:color="auto"/>
              <w:bottom w:val="single" w:sz="4" w:space="0" w:color="auto"/>
              <w:right w:val="single" w:sz="4" w:space="0" w:color="auto"/>
            </w:tcBorders>
          </w:tcPr>
          <w:p w14:paraId="2B8743BB" w14:textId="77777777" w:rsidR="00BC2959" w:rsidRDefault="00BC2959">
            <w:pPr>
              <w:rPr>
                <w:rFonts w:ascii="Arial" w:hAnsi="Arial" w:cs="Arial"/>
                <w:i/>
                <w:sz w:val="20"/>
                <w:highlight w:val="yellow"/>
                <w:lang w:val="en-US"/>
              </w:rPr>
            </w:pPr>
            <w:r>
              <w:rPr>
                <w:rFonts w:ascii="Arial" w:hAnsi="Arial" w:cs="Arial"/>
                <w:iCs/>
                <w:sz w:val="20"/>
                <w:lang w:val="en-US"/>
              </w:rPr>
              <w:t>[</w:t>
            </w:r>
            <w:r>
              <w:rPr>
                <w:rFonts w:ascii="Arial" w:hAnsi="Arial" w:cs="Arial"/>
                <w:b/>
                <w:bCs/>
                <w:iCs/>
                <w:sz w:val="20"/>
                <w:highlight w:val="yellow"/>
                <w:lang w:val="en-US"/>
              </w:rPr>
              <w:t>Drafting note</w:t>
            </w:r>
            <w:r>
              <w:rPr>
                <w:rFonts w:ascii="Arial" w:hAnsi="Arial" w:cs="Arial"/>
                <w:i/>
                <w:sz w:val="20"/>
                <w:highlight w:val="yellow"/>
                <w:lang w:val="en-US"/>
              </w:rPr>
              <w:t>: Describe the types of special categories of personal data (such as health and racial origin information) and criminal convictions data (if any) being transferred outside of the UK or EEA.  Simple example wording for this box is set out below. Put 'None' if no sensitive data is being transferred.</w:t>
            </w:r>
            <w:r>
              <w:rPr>
                <w:rFonts w:ascii="Arial" w:hAnsi="Arial" w:cs="Arial"/>
                <w:sz w:val="20"/>
                <w:highlight w:val="yellow"/>
                <w:lang w:val="en-US"/>
              </w:rPr>
              <w:t xml:space="preserve">] </w:t>
            </w:r>
            <w:r>
              <w:rPr>
                <w:rFonts w:ascii="Arial" w:hAnsi="Arial" w:cs="Arial"/>
                <w:i/>
                <w:sz w:val="20"/>
                <w:highlight w:val="yellow"/>
                <w:lang w:val="en-US"/>
              </w:rPr>
              <w:t xml:space="preserve">  </w:t>
            </w:r>
          </w:p>
          <w:p w14:paraId="7F3E2BFB" w14:textId="77777777" w:rsidR="00BC2959" w:rsidRDefault="00BC2959">
            <w:pPr>
              <w:rPr>
                <w:rFonts w:ascii="Arial" w:eastAsia="Times New Roman" w:hAnsi="Arial" w:cs="Arial"/>
                <w:sz w:val="20"/>
                <w:lang w:val="en-US"/>
              </w:rPr>
            </w:pPr>
          </w:p>
          <w:p w14:paraId="0F2A2E3A" w14:textId="77777777" w:rsidR="00BC2959" w:rsidRDefault="00BC2959">
            <w:pPr>
              <w:shd w:val="clear" w:color="auto" w:fill="FFFFFF"/>
              <w:adjustRightInd w:val="0"/>
              <w:spacing w:before="139"/>
              <w:rPr>
                <w:rFonts w:ascii="Arial" w:hAnsi="Arial" w:cs="Arial"/>
                <w:sz w:val="20"/>
                <w:lang w:val="en-US"/>
              </w:rPr>
            </w:pPr>
          </w:p>
        </w:tc>
      </w:tr>
      <w:tr w:rsidR="00BC2959" w14:paraId="27D51044" w14:textId="77777777" w:rsidTr="00BC2959">
        <w:trPr>
          <w:trHeight w:val="838"/>
        </w:trPr>
        <w:tc>
          <w:tcPr>
            <w:tcW w:w="36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79A002" w14:textId="77777777" w:rsidR="00BC2959" w:rsidRDefault="00BC2959">
            <w:pPr>
              <w:rPr>
                <w:rFonts w:ascii="Arial" w:hAnsi="Arial" w:cs="Arial"/>
                <w:b/>
                <w:sz w:val="20"/>
                <w:lang w:val="en-US"/>
              </w:rPr>
            </w:pPr>
            <w:r>
              <w:rPr>
                <w:rFonts w:ascii="Arial" w:hAnsi="Arial" w:cs="Arial"/>
                <w:b/>
                <w:sz w:val="20"/>
                <w:lang w:val="en-US"/>
              </w:rPr>
              <w:t>The frequency of the transfer</w:t>
            </w:r>
          </w:p>
        </w:tc>
        <w:tc>
          <w:tcPr>
            <w:tcW w:w="6379" w:type="dxa"/>
            <w:gridSpan w:val="2"/>
            <w:tcBorders>
              <w:top w:val="single" w:sz="4" w:space="0" w:color="auto"/>
              <w:left w:val="single" w:sz="4" w:space="0" w:color="auto"/>
              <w:bottom w:val="single" w:sz="4" w:space="0" w:color="auto"/>
              <w:right w:val="single" w:sz="4" w:space="0" w:color="auto"/>
            </w:tcBorders>
            <w:hideMark/>
          </w:tcPr>
          <w:p w14:paraId="77FC5EFD" w14:textId="77777777" w:rsidR="00BC2959" w:rsidRDefault="00BC2959">
            <w:pPr>
              <w:shd w:val="clear" w:color="auto" w:fill="FFFFFF"/>
              <w:adjustRightInd w:val="0"/>
              <w:spacing w:before="139"/>
              <w:rPr>
                <w:rFonts w:ascii="Arial" w:hAnsi="Arial" w:cs="Arial"/>
                <w:sz w:val="20"/>
              </w:rPr>
            </w:pPr>
            <w:r>
              <w:rPr>
                <w:rFonts w:ascii="Arial" w:hAnsi="Arial" w:cs="Arial"/>
                <w:sz w:val="20"/>
                <w:lang w:val="en-US"/>
              </w:rPr>
              <w:t>[</w:t>
            </w:r>
            <w:r>
              <w:rPr>
                <w:rFonts w:ascii="Arial" w:hAnsi="Arial" w:cs="Arial"/>
                <w:b/>
                <w:bCs/>
                <w:sz w:val="20"/>
                <w:highlight w:val="yellow"/>
                <w:lang w:val="en-US"/>
              </w:rPr>
              <w:t>Drafting note</w:t>
            </w:r>
            <w:r>
              <w:rPr>
                <w:rFonts w:ascii="Arial" w:hAnsi="Arial" w:cs="Arial"/>
                <w:sz w:val="20"/>
                <w:highlight w:val="yellow"/>
                <w:lang w:val="en-US"/>
              </w:rPr>
              <w:t xml:space="preserve">: </w:t>
            </w:r>
            <w:r>
              <w:rPr>
                <w:rFonts w:ascii="Arial" w:hAnsi="Arial" w:cs="Arial"/>
                <w:i/>
                <w:sz w:val="20"/>
                <w:highlight w:val="yellow"/>
                <w:lang w:val="en-US"/>
              </w:rPr>
              <w:t>Describe whether the data is transferred on a one-off or continuous basis.</w:t>
            </w:r>
            <w:r>
              <w:rPr>
                <w:rFonts w:ascii="Arial" w:hAnsi="Arial" w:cs="Arial"/>
                <w:sz w:val="20"/>
                <w:highlight w:val="yellow"/>
                <w:lang w:val="en-US"/>
              </w:rPr>
              <w:t>]</w:t>
            </w:r>
          </w:p>
        </w:tc>
      </w:tr>
      <w:tr w:rsidR="00BC2959" w14:paraId="1D948909" w14:textId="77777777" w:rsidTr="00BC2959">
        <w:trPr>
          <w:trHeight w:val="838"/>
        </w:trPr>
        <w:tc>
          <w:tcPr>
            <w:tcW w:w="36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3DDBA06" w14:textId="77777777" w:rsidR="00BC2959" w:rsidRDefault="00BC2959">
            <w:pPr>
              <w:rPr>
                <w:rFonts w:ascii="Arial" w:hAnsi="Arial" w:cs="Arial"/>
                <w:b/>
                <w:sz w:val="20"/>
                <w:lang w:val="en-US"/>
              </w:rPr>
            </w:pPr>
            <w:r>
              <w:rPr>
                <w:rFonts w:ascii="Arial" w:hAnsi="Arial" w:cs="Arial"/>
                <w:b/>
                <w:sz w:val="20"/>
                <w:lang w:val="en-US"/>
              </w:rPr>
              <w:t>The period for which the personal data will be retained, or, if that is not possible, the criteria used to determine that period</w:t>
            </w:r>
          </w:p>
        </w:tc>
        <w:tc>
          <w:tcPr>
            <w:tcW w:w="6379" w:type="dxa"/>
            <w:gridSpan w:val="2"/>
            <w:tcBorders>
              <w:top w:val="single" w:sz="4" w:space="0" w:color="auto"/>
              <w:left w:val="single" w:sz="4" w:space="0" w:color="auto"/>
              <w:bottom w:val="single" w:sz="4" w:space="0" w:color="auto"/>
              <w:right w:val="single" w:sz="4" w:space="0" w:color="auto"/>
            </w:tcBorders>
            <w:hideMark/>
          </w:tcPr>
          <w:p w14:paraId="5C36504B" w14:textId="77777777" w:rsidR="00BC2959" w:rsidRDefault="00BC2959">
            <w:pPr>
              <w:shd w:val="clear" w:color="auto" w:fill="FFFFFF"/>
              <w:adjustRightInd w:val="0"/>
              <w:spacing w:before="139"/>
              <w:rPr>
                <w:rFonts w:ascii="Arial" w:hAnsi="Arial" w:cs="Arial"/>
                <w:i/>
                <w:sz w:val="20"/>
                <w:highlight w:val="yellow"/>
                <w:lang w:val="en-US"/>
              </w:rPr>
            </w:pPr>
            <w:r>
              <w:rPr>
                <w:rFonts w:ascii="Arial" w:hAnsi="Arial" w:cs="Arial"/>
                <w:sz w:val="20"/>
                <w:lang w:val="en-US"/>
              </w:rPr>
              <w:t>[</w:t>
            </w:r>
            <w:r>
              <w:rPr>
                <w:rFonts w:ascii="Arial" w:hAnsi="Arial" w:cs="Arial"/>
                <w:b/>
                <w:bCs/>
                <w:sz w:val="20"/>
                <w:highlight w:val="yellow"/>
                <w:lang w:val="en-US"/>
              </w:rPr>
              <w:t>Drafting note</w:t>
            </w:r>
            <w:r>
              <w:rPr>
                <w:rFonts w:ascii="Arial" w:hAnsi="Arial" w:cs="Arial"/>
                <w:sz w:val="20"/>
                <w:highlight w:val="yellow"/>
                <w:lang w:val="en-US"/>
              </w:rPr>
              <w:t xml:space="preserve">: </w:t>
            </w:r>
            <w:r>
              <w:rPr>
                <w:rFonts w:ascii="Arial" w:hAnsi="Arial" w:cs="Arial"/>
                <w:i/>
                <w:sz w:val="20"/>
                <w:highlight w:val="yellow"/>
                <w:lang w:val="en-US"/>
              </w:rPr>
              <w:t>Describe retention period or criteria to determine retention period.</w:t>
            </w:r>
            <w:r>
              <w:rPr>
                <w:rFonts w:ascii="Arial" w:hAnsi="Arial" w:cs="Arial"/>
                <w:iCs/>
                <w:sz w:val="20"/>
                <w:highlight w:val="yellow"/>
                <w:lang w:val="en-US"/>
              </w:rPr>
              <w:t>]</w:t>
            </w:r>
          </w:p>
          <w:p w14:paraId="2AB33E77" w14:textId="77777777" w:rsidR="00BC2959" w:rsidRDefault="00BC2959">
            <w:pPr>
              <w:shd w:val="clear" w:color="auto" w:fill="FFFFFF"/>
              <w:adjustRightInd w:val="0"/>
              <w:spacing w:before="139"/>
              <w:rPr>
                <w:rFonts w:ascii="Arial" w:hAnsi="Arial" w:cs="Arial"/>
                <w:i/>
                <w:sz w:val="20"/>
                <w:highlight w:val="yellow"/>
                <w:lang w:val="en-US"/>
              </w:rPr>
            </w:pPr>
            <w:r>
              <w:rPr>
                <w:rFonts w:ascii="Arial" w:hAnsi="Arial" w:cs="Arial"/>
                <w:i/>
                <w:sz w:val="20"/>
                <w:highlight w:val="yellow"/>
                <w:lang w:val="en-US"/>
              </w:rPr>
              <w:t xml:space="preserve"> For UCL this can state ‘UCL shall retain the personal data in accordance with UCL’s Retention Schedule available athttps://www.ucl.ac.uk/library/collections/records-office/retention-schedule </w:t>
            </w:r>
          </w:p>
          <w:p w14:paraId="39702051" w14:textId="77777777" w:rsidR="00BC2959" w:rsidRDefault="00BC2959">
            <w:pPr>
              <w:shd w:val="clear" w:color="auto" w:fill="FFFFFF"/>
              <w:adjustRightInd w:val="0"/>
              <w:spacing w:before="139"/>
              <w:rPr>
                <w:rFonts w:ascii="Arial" w:hAnsi="Arial" w:cs="Arial"/>
                <w:i/>
                <w:sz w:val="20"/>
                <w:lang w:val="en-US"/>
              </w:rPr>
            </w:pPr>
            <w:r>
              <w:rPr>
                <w:rFonts w:ascii="Arial" w:hAnsi="Arial" w:cs="Arial"/>
                <w:i/>
                <w:sz w:val="20"/>
                <w:highlight w:val="yellow"/>
                <w:lang w:val="en-US"/>
              </w:rPr>
              <w:t>Please insert the data retention period or criteria to determine retention period of the Recipient Institution here</w:t>
            </w:r>
            <w:r>
              <w:rPr>
                <w:rFonts w:ascii="Arial" w:hAnsi="Arial" w:cs="Arial"/>
                <w:i/>
                <w:sz w:val="20"/>
                <w:lang w:val="en-US"/>
              </w:rPr>
              <w:t>]</w:t>
            </w:r>
          </w:p>
        </w:tc>
      </w:tr>
      <w:tr w:rsidR="00BC2959" w14:paraId="5980D72E" w14:textId="77777777" w:rsidTr="00BC2959">
        <w:trPr>
          <w:trHeight w:val="838"/>
        </w:trPr>
        <w:tc>
          <w:tcPr>
            <w:tcW w:w="36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659EE4A" w14:textId="77777777" w:rsidR="00BC2959" w:rsidRDefault="00BC2959">
            <w:pPr>
              <w:rPr>
                <w:rFonts w:ascii="Arial" w:hAnsi="Arial" w:cs="Arial"/>
                <w:b/>
                <w:sz w:val="20"/>
                <w:lang w:val="en-US"/>
              </w:rPr>
            </w:pPr>
            <w:r>
              <w:rPr>
                <w:rFonts w:ascii="Arial" w:hAnsi="Arial" w:cs="Arial"/>
                <w:b/>
                <w:sz w:val="20"/>
                <w:lang w:val="en-US"/>
              </w:rPr>
              <w:t xml:space="preserve">Data protection registration information of data exporter </w:t>
            </w:r>
            <w:r>
              <w:rPr>
                <w:rFonts w:ascii="Arial" w:hAnsi="Arial" w:cs="Arial"/>
                <w:sz w:val="20"/>
                <w:lang w:val="en-US"/>
              </w:rPr>
              <w:t>(where applicable)</w:t>
            </w:r>
          </w:p>
        </w:tc>
        <w:tc>
          <w:tcPr>
            <w:tcW w:w="6379" w:type="dxa"/>
            <w:gridSpan w:val="2"/>
            <w:tcBorders>
              <w:top w:val="single" w:sz="4" w:space="0" w:color="auto"/>
              <w:left w:val="single" w:sz="4" w:space="0" w:color="auto"/>
              <w:bottom w:val="single" w:sz="4" w:space="0" w:color="auto"/>
              <w:right w:val="single" w:sz="4" w:space="0" w:color="auto"/>
            </w:tcBorders>
            <w:hideMark/>
          </w:tcPr>
          <w:p w14:paraId="23178CCA" w14:textId="77777777" w:rsidR="00BC2959" w:rsidRDefault="00BC2959">
            <w:pPr>
              <w:shd w:val="clear" w:color="auto" w:fill="FFFFFF"/>
              <w:adjustRightInd w:val="0"/>
              <w:spacing w:before="139"/>
              <w:rPr>
                <w:rFonts w:ascii="Arial" w:hAnsi="Arial" w:cs="Arial"/>
                <w:i/>
                <w:sz w:val="20"/>
                <w:lang w:val="en-US"/>
              </w:rPr>
            </w:pPr>
            <w:r>
              <w:rPr>
                <w:rFonts w:ascii="Arial" w:hAnsi="Arial" w:cs="Arial"/>
                <w:sz w:val="20"/>
                <w:lang w:val="en-US"/>
              </w:rPr>
              <w:t>The data exporter is registered as a controller with the UK Information Commissioner's Office under Registration Number Z6364106.</w:t>
            </w:r>
          </w:p>
        </w:tc>
      </w:tr>
      <w:tr w:rsidR="00BC2959" w14:paraId="638EFA2E" w14:textId="77777777" w:rsidTr="00BC2959">
        <w:trPr>
          <w:trHeight w:val="838"/>
        </w:trPr>
        <w:tc>
          <w:tcPr>
            <w:tcW w:w="36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CBE996" w14:textId="77777777" w:rsidR="00BC2959" w:rsidRDefault="00BC2959">
            <w:pPr>
              <w:rPr>
                <w:rFonts w:ascii="Arial" w:hAnsi="Arial" w:cs="Arial"/>
                <w:b/>
                <w:sz w:val="20"/>
                <w:lang w:val="en-US"/>
              </w:rPr>
            </w:pPr>
            <w:r>
              <w:rPr>
                <w:rFonts w:ascii="Arial" w:hAnsi="Arial" w:cs="Arial"/>
                <w:b/>
                <w:sz w:val="20"/>
                <w:lang w:val="en-US"/>
              </w:rPr>
              <w:t xml:space="preserve">Additional useful information </w:t>
            </w:r>
            <w:r>
              <w:rPr>
                <w:rFonts w:ascii="Arial" w:hAnsi="Arial" w:cs="Arial"/>
                <w:sz w:val="20"/>
                <w:lang w:val="en-US"/>
              </w:rPr>
              <w:t>(storage limits and other relevant information)</w:t>
            </w:r>
          </w:p>
        </w:tc>
        <w:tc>
          <w:tcPr>
            <w:tcW w:w="6379" w:type="dxa"/>
            <w:gridSpan w:val="2"/>
            <w:tcBorders>
              <w:top w:val="single" w:sz="4" w:space="0" w:color="auto"/>
              <w:left w:val="single" w:sz="4" w:space="0" w:color="auto"/>
              <w:bottom w:val="single" w:sz="4" w:space="0" w:color="auto"/>
              <w:right w:val="single" w:sz="4" w:space="0" w:color="auto"/>
            </w:tcBorders>
          </w:tcPr>
          <w:p w14:paraId="2FCCEC38" w14:textId="77777777" w:rsidR="00BC2959" w:rsidRDefault="00BC2959">
            <w:pPr>
              <w:rPr>
                <w:rFonts w:ascii="Arial" w:eastAsia="Times New Roman" w:hAnsi="Arial" w:cs="Arial"/>
                <w:sz w:val="20"/>
                <w:lang w:val="en-US"/>
              </w:rPr>
            </w:pPr>
          </w:p>
        </w:tc>
      </w:tr>
      <w:tr w:rsidR="00BC2959" w14:paraId="6429D697" w14:textId="77777777" w:rsidTr="00BC2959">
        <w:trPr>
          <w:trHeight w:val="838"/>
        </w:trPr>
        <w:tc>
          <w:tcPr>
            <w:tcW w:w="36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20AEBE" w14:textId="77777777" w:rsidR="00BC2959" w:rsidRDefault="00BC2959">
            <w:pPr>
              <w:rPr>
                <w:rFonts w:ascii="Arial" w:hAnsi="Arial" w:cs="Arial"/>
                <w:b/>
                <w:sz w:val="20"/>
                <w:lang w:val="en-US"/>
              </w:rPr>
            </w:pPr>
            <w:r>
              <w:rPr>
                <w:rFonts w:ascii="Arial" w:hAnsi="Arial" w:cs="Arial"/>
                <w:b/>
                <w:sz w:val="20"/>
                <w:lang w:val="en-US"/>
              </w:rPr>
              <w:t>Technical and organizational measures of the Recipient Institution including technical and organizational measures of the Recipient Institution to ensure the security of data</w:t>
            </w:r>
          </w:p>
        </w:tc>
        <w:tc>
          <w:tcPr>
            <w:tcW w:w="6379" w:type="dxa"/>
            <w:gridSpan w:val="2"/>
            <w:tcBorders>
              <w:top w:val="single" w:sz="4" w:space="0" w:color="auto"/>
              <w:left w:val="single" w:sz="4" w:space="0" w:color="auto"/>
              <w:bottom w:val="single" w:sz="4" w:space="0" w:color="auto"/>
              <w:right w:val="single" w:sz="4" w:space="0" w:color="auto"/>
            </w:tcBorders>
            <w:hideMark/>
          </w:tcPr>
          <w:p w14:paraId="23DCAEC7" w14:textId="77777777" w:rsidR="00BC2959" w:rsidRDefault="00BC2959">
            <w:pPr>
              <w:rPr>
                <w:rFonts w:ascii="Arial" w:hAnsi="Arial" w:cs="Arial"/>
                <w:b/>
                <w:bCs/>
                <w:sz w:val="20"/>
                <w:lang w:val="en-US"/>
              </w:rPr>
            </w:pPr>
            <w:r>
              <w:rPr>
                <w:rFonts w:ascii="Arial" w:hAnsi="Arial" w:cs="Arial"/>
                <w:sz w:val="20"/>
                <w:highlight w:val="yellow"/>
                <w:lang w:val="en-US"/>
              </w:rPr>
              <w:t>[</w:t>
            </w:r>
            <w:r>
              <w:rPr>
                <w:rFonts w:ascii="Arial" w:hAnsi="Arial" w:cs="Arial"/>
                <w:b/>
                <w:bCs/>
                <w:sz w:val="20"/>
                <w:highlight w:val="yellow"/>
                <w:lang w:val="en-US"/>
              </w:rPr>
              <w:t>Drafting note</w:t>
            </w:r>
            <w:r>
              <w:rPr>
                <w:rFonts w:ascii="Arial" w:hAnsi="Arial" w:cs="Arial"/>
                <w:sz w:val="20"/>
                <w:highlight w:val="yellow"/>
                <w:lang w:val="en-US"/>
              </w:rPr>
              <w:t>: insert details]</w:t>
            </w:r>
          </w:p>
        </w:tc>
      </w:tr>
      <w:tr w:rsidR="00BC2959" w14:paraId="19CF8C6E" w14:textId="77777777" w:rsidTr="00BC2959">
        <w:trPr>
          <w:trHeight w:val="70"/>
        </w:trPr>
        <w:tc>
          <w:tcPr>
            <w:tcW w:w="36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1A57F1" w14:textId="77777777" w:rsidR="00BC2959" w:rsidRDefault="00BC2959">
            <w:pPr>
              <w:rPr>
                <w:rFonts w:ascii="Arial" w:hAnsi="Arial" w:cs="Arial"/>
                <w:b/>
                <w:sz w:val="20"/>
                <w:lang w:val="en-US"/>
              </w:rPr>
            </w:pPr>
            <w:r>
              <w:rPr>
                <w:rFonts w:ascii="Arial" w:hAnsi="Arial" w:cs="Arial"/>
                <w:b/>
                <w:sz w:val="20"/>
                <w:lang w:val="en-US"/>
              </w:rPr>
              <w:t>Contact points for data protection enquiries</w:t>
            </w:r>
          </w:p>
        </w:tc>
        <w:tc>
          <w:tcPr>
            <w:tcW w:w="3189" w:type="dxa"/>
            <w:tcBorders>
              <w:top w:val="single" w:sz="4" w:space="0" w:color="auto"/>
              <w:left w:val="single" w:sz="4" w:space="0" w:color="auto"/>
              <w:bottom w:val="single" w:sz="4" w:space="0" w:color="auto"/>
              <w:right w:val="single" w:sz="4" w:space="0" w:color="auto"/>
            </w:tcBorders>
          </w:tcPr>
          <w:p w14:paraId="71AC8068" w14:textId="77777777" w:rsidR="00BC2959" w:rsidRDefault="00BC2959">
            <w:pPr>
              <w:rPr>
                <w:rFonts w:ascii="Arial" w:hAnsi="Arial" w:cs="Arial"/>
                <w:sz w:val="20"/>
                <w:lang w:val="en-US"/>
              </w:rPr>
            </w:pPr>
            <w:r>
              <w:rPr>
                <w:rFonts w:ascii="Arial" w:hAnsi="Arial" w:cs="Arial"/>
                <w:sz w:val="20"/>
                <w:lang w:val="en-US"/>
              </w:rPr>
              <w:t>DATA IMPORTER</w:t>
            </w:r>
          </w:p>
          <w:p w14:paraId="01C6F70B" w14:textId="77777777" w:rsidR="00BC2959" w:rsidRDefault="00BC2959">
            <w:pPr>
              <w:rPr>
                <w:rFonts w:ascii="Arial" w:eastAsia="Times New Roman" w:hAnsi="Arial" w:cs="Arial"/>
                <w:sz w:val="20"/>
                <w:lang w:val="en-US"/>
              </w:rPr>
            </w:pPr>
          </w:p>
          <w:p w14:paraId="49000BC8" w14:textId="77777777" w:rsidR="00BC2959" w:rsidRDefault="00BC2959">
            <w:pPr>
              <w:rPr>
                <w:rFonts w:ascii="Arial" w:hAnsi="Arial" w:cs="Arial"/>
                <w:sz w:val="20"/>
                <w:lang w:val="en-US"/>
              </w:rPr>
            </w:pPr>
            <w:r>
              <w:rPr>
                <w:rFonts w:ascii="Arial" w:hAnsi="Arial" w:cs="Arial"/>
                <w:sz w:val="20"/>
                <w:highlight w:val="yellow"/>
                <w:lang w:val="en-US"/>
              </w:rPr>
              <w:t>[</w:t>
            </w:r>
            <w:r>
              <w:rPr>
                <w:rFonts w:ascii="Arial" w:hAnsi="Arial" w:cs="Arial"/>
                <w:b/>
                <w:bCs/>
                <w:sz w:val="20"/>
                <w:highlight w:val="yellow"/>
                <w:lang w:val="en-US"/>
              </w:rPr>
              <w:t>Drafting Note</w:t>
            </w:r>
            <w:r>
              <w:rPr>
                <w:rFonts w:ascii="Arial" w:hAnsi="Arial" w:cs="Arial"/>
                <w:sz w:val="20"/>
                <w:highlight w:val="yellow"/>
                <w:lang w:val="en-US"/>
              </w:rPr>
              <w:t>: Recipient Institution to include details of Data Protection/Legal Team]</w:t>
            </w:r>
          </w:p>
          <w:p w14:paraId="21D0C6A3" w14:textId="77777777" w:rsidR="00BC2959" w:rsidRDefault="00BC2959">
            <w:pPr>
              <w:rPr>
                <w:rFonts w:ascii="Arial" w:eastAsia="Times New Roman" w:hAnsi="Arial" w:cs="Arial"/>
                <w:sz w:val="20"/>
                <w:lang w:val="en-US"/>
              </w:rPr>
            </w:pPr>
          </w:p>
        </w:tc>
        <w:tc>
          <w:tcPr>
            <w:tcW w:w="3190" w:type="dxa"/>
            <w:tcBorders>
              <w:top w:val="single" w:sz="4" w:space="0" w:color="auto"/>
              <w:left w:val="single" w:sz="4" w:space="0" w:color="auto"/>
              <w:bottom w:val="single" w:sz="4" w:space="0" w:color="auto"/>
              <w:right w:val="single" w:sz="4" w:space="0" w:color="auto"/>
            </w:tcBorders>
          </w:tcPr>
          <w:p w14:paraId="61611090" w14:textId="77777777" w:rsidR="00BC2959" w:rsidRDefault="00BC2959">
            <w:pPr>
              <w:rPr>
                <w:rFonts w:ascii="Arial" w:hAnsi="Arial" w:cs="Arial"/>
                <w:sz w:val="20"/>
                <w:lang w:val="en-US"/>
              </w:rPr>
            </w:pPr>
            <w:r>
              <w:rPr>
                <w:rFonts w:ascii="Arial" w:hAnsi="Arial" w:cs="Arial"/>
                <w:sz w:val="20"/>
                <w:lang w:val="en-US"/>
              </w:rPr>
              <w:t>DATA EXPORTER</w:t>
            </w:r>
          </w:p>
          <w:p w14:paraId="63C54ABD" w14:textId="77777777" w:rsidR="00BC2959" w:rsidRDefault="00BC2959">
            <w:pPr>
              <w:rPr>
                <w:rFonts w:ascii="Arial" w:eastAsia="Times New Roman" w:hAnsi="Arial" w:cs="Arial"/>
                <w:sz w:val="20"/>
                <w:lang w:val="en-US"/>
              </w:rPr>
            </w:pPr>
          </w:p>
          <w:p w14:paraId="22D11A1D" w14:textId="77777777" w:rsidR="00BC2959" w:rsidRDefault="00BC2959">
            <w:pPr>
              <w:rPr>
                <w:rFonts w:ascii="Arial" w:hAnsi="Arial" w:cs="Arial"/>
                <w:sz w:val="20"/>
                <w:lang w:val="en-US"/>
              </w:rPr>
            </w:pPr>
            <w:r>
              <w:rPr>
                <w:rFonts w:ascii="Arial" w:hAnsi="Arial" w:cs="Arial"/>
                <w:sz w:val="20"/>
                <w:lang w:val="en-US"/>
              </w:rPr>
              <w:t>Data Protection Officer</w:t>
            </w:r>
          </w:p>
          <w:p w14:paraId="4AE3A220" w14:textId="77777777" w:rsidR="00BC2959" w:rsidRDefault="00643B95">
            <w:pPr>
              <w:rPr>
                <w:rFonts w:ascii="Arial" w:hAnsi="Arial" w:cs="Arial"/>
                <w:sz w:val="20"/>
                <w:lang w:val="en-US"/>
              </w:rPr>
            </w:pPr>
            <w:hyperlink r:id="rId8" w:history="1">
              <w:r w:rsidR="00BC2959">
                <w:rPr>
                  <w:rStyle w:val="Hyperlink"/>
                  <w:rFonts w:ascii="Arial" w:hAnsi="Arial" w:cs="Arial"/>
                  <w:kern w:val="20"/>
                  <w:sz w:val="20"/>
                </w:rPr>
                <w:t>data-protection@ucl.ac.uk</w:t>
              </w:r>
            </w:hyperlink>
            <w:r w:rsidR="00BC2959">
              <w:rPr>
                <w:rFonts w:ascii="Arial" w:hAnsi="Arial" w:cs="Arial"/>
                <w:kern w:val="20"/>
                <w:sz w:val="20"/>
              </w:rPr>
              <w:t xml:space="preserve"> </w:t>
            </w:r>
          </w:p>
        </w:tc>
      </w:tr>
    </w:tbl>
    <w:p w14:paraId="4A4B1387" w14:textId="77777777" w:rsidR="00BC2959" w:rsidRDefault="00BC2959" w:rsidP="00BC2959">
      <w:pPr>
        <w:pStyle w:val="MRheading1"/>
        <w:numPr>
          <w:ilvl w:val="0"/>
          <w:numId w:val="0"/>
        </w:numPr>
        <w:tabs>
          <w:tab w:val="left" w:pos="720"/>
        </w:tabs>
        <w:ind w:left="720"/>
        <w:rPr>
          <w:rFonts w:cs="Arial"/>
          <w:sz w:val="20"/>
        </w:rPr>
      </w:pPr>
    </w:p>
    <w:p w14:paraId="3D390B65" w14:textId="77777777" w:rsidR="00BC2959" w:rsidRDefault="00BC2959" w:rsidP="00BC2959">
      <w:pPr>
        <w:pStyle w:val="MRheading1"/>
        <w:numPr>
          <w:ilvl w:val="0"/>
          <w:numId w:val="0"/>
        </w:numPr>
        <w:tabs>
          <w:tab w:val="left" w:pos="720"/>
        </w:tabs>
        <w:ind w:left="720"/>
        <w:rPr>
          <w:rFonts w:cs="Arial"/>
          <w:sz w:val="20"/>
        </w:rPr>
      </w:pPr>
    </w:p>
    <w:p w14:paraId="5076E401" w14:textId="77777777" w:rsidR="00BC2959" w:rsidRDefault="00BC2959" w:rsidP="00BC2959">
      <w:pPr>
        <w:rPr>
          <w:rFonts w:ascii="Arial" w:eastAsia="SimSun" w:hAnsi="Arial" w:cs="Arial"/>
          <w:sz w:val="20"/>
          <w:lang w:eastAsia="zh-CN"/>
        </w:rPr>
      </w:pPr>
    </w:p>
    <w:p w14:paraId="7C15CAAF" w14:textId="77777777" w:rsidR="00BC2959" w:rsidRDefault="00BC2959" w:rsidP="00BC2959">
      <w:pPr>
        <w:rPr>
          <w:rFonts w:ascii="Arial" w:eastAsia="SimSun" w:hAnsi="Arial" w:cs="Arial"/>
          <w:sz w:val="20"/>
          <w:lang w:eastAsia="zh-CN"/>
        </w:rPr>
      </w:pPr>
    </w:p>
    <w:p w14:paraId="6B0D90FC" w14:textId="77777777" w:rsidR="00BC2959" w:rsidRDefault="00BC2959" w:rsidP="00BC2959">
      <w:pPr>
        <w:rPr>
          <w:rFonts w:ascii="Arial" w:eastAsia="SimSun" w:hAnsi="Arial" w:cs="Arial"/>
          <w:sz w:val="20"/>
          <w:lang w:eastAsia="zh-CN"/>
        </w:rPr>
      </w:pPr>
    </w:p>
    <w:p w14:paraId="028005AB" w14:textId="77777777" w:rsidR="00BC2959" w:rsidRDefault="00BC2959" w:rsidP="00BC2959">
      <w:pPr>
        <w:rPr>
          <w:rFonts w:ascii="Arial" w:eastAsia="SimSun" w:hAnsi="Arial" w:cs="Arial"/>
          <w:sz w:val="20"/>
          <w:lang w:eastAsia="zh-CN"/>
        </w:rPr>
      </w:pPr>
    </w:p>
    <w:p w14:paraId="046616D0" w14:textId="77777777" w:rsidR="00BC2959" w:rsidRDefault="00BC2959" w:rsidP="00BC2959">
      <w:pPr>
        <w:rPr>
          <w:rFonts w:ascii="Arial" w:eastAsia="SimSun" w:hAnsi="Arial" w:cs="Arial"/>
          <w:sz w:val="20"/>
          <w:lang w:eastAsia="zh-CN"/>
        </w:rPr>
      </w:pPr>
    </w:p>
    <w:p w14:paraId="5B85EB0D" w14:textId="77777777" w:rsidR="00BC2959" w:rsidRDefault="00BC2959" w:rsidP="00BC2959">
      <w:pPr>
        <w:rPr>
          <w:rFonts w:ascii="Arial" w:eastAsia="SimSun" w:hAnsi="Arial" w:cs="Arial"/>
          <w:sz w:val="20"/>
          <w:lang w:eastAsia="zh-CN"/>
        </w:rPr>
      </w:pPr>
    </w:p>
    <w:p w14:paraId="3B97391D" w14:textId="77777777" w:rsidR="00BC2959" w:rsidRDefault="00BC2959" w:rsidP="00BC2959">
      <w:pPr>
        <w:rPr>
          <w:rFonts w:ascii="Arial" w:eastAsia="SimSun" w:hAnsi="Arial" w:cs="Arial"/>
          <w:sz w:val="20"/>
          <w:lang w:eastAsia="zh-CN"/>
        </w:rPr>
      </w:pPr>
    </w:p>
    <w:p w14:paraId="3376F191" w14:textId="77777777" w:rsidR="00BC2959" w:rsidRDefault="00BC2959" w:rsidP="00BC2959">
      <w:pPr>
        <w:rPr>
          <w:rFonts w:ascii="Arial" w:eastAsia="SimSun" w:hAnsi="Arial" w:cs="Arial"/>
          <w:sz w:val="20"/>
          <w:lang w:eastAsia="zh-CN"/>
        </w:rPr>
      </w:pPr>
    </w:p>
    <w:p w14:paraId="751E0DF5" w14:textId="77777777" w:rsidR="00BC2959" w:rsidRDefault="00BC2959" w:rsidP="00BC2959">
      <w:pPr>
        <w:rPr>
          <w:rFonts w:ascii="Arial" w:eastAsia="SimSun" w:hAnsi="Arial" w:cs="Arial"/>
          <w:sz w:val="20"/>
          <w:lang w:eastAsia="zh-CN"/>
        </w:rPr>
      </w:pPr>
    </w:p>
    <w:p w14:paraId="1D0A5862" w14:textId="77777777" w:rsidR="00BC2959" w:rsidRDefault="00BC2959" w:rsidP="00BC2959">
      <w:pPr>
        <w:rPr>
          <w:rFonts w:ascii="Arial" w:eastAsia="SimSun" w:hAnsi="Arial" w:cs="Arial"/>
          <w:sz w:val="20"/>
          <w:lang w:eastAsia="zh-CN"/>
        </w:rPr>
      </w:pPr>
    </w:p>
    <w:p w14:paraId="30ED5C21" w14:textId="77777777" w:rsidR="00BC2959" w:rsidRDefault="00BC2959" w:rsidP="00BC2959">
      <w:pPr>
        <w:rPr>
          <w:rFonts w:ascii="Arial" w:eastAsia="SimSun" w:hAnsi="Arial" w:cs="Arial"/>
          <w:sz w:val="20"/>
          <w:lang w:eastAsia="zh-CN"/>
        </w:rPr>
      </w:pPr>
    </w:p>
    <w:p w14:paraId="1CF41E21" w14:textId="77777777" w:rsidR="00BC2959" w:rsidRDefault="00BC2959" w:rsidP="00BC2959">
      <w:pPr>
        <w:rPr>
          <w:rFonts w:ascii="Arial" w:eastAsia="SimSun" w:hAnsi="Arial" w:cs="Arial"/>
          <w:sz w:val="20"/>
          <w:lang w:eastAsia="zh-CN"/>
        </w:rPr>
      </w:pPr>
    </w:p>
    <w:p w14:paraId="5C349E0B" w14:textId="77777777" w:rsidR="00BC2959" w:rsidRDefault="00BC2959" w:rsidP="00BC2959">
      <w:pPr>
        <w:rPr>
          <w:rFonts w:ascii="Arial" w:eastAsia="SimSun" w:hAnsi="Arial" w:cs="Arial"/>
          <w:sz w:val="20"/>
          <w:lang w:eastAsia="zh-CN"/>
        </w:rPr>
      </w:pPr>
    </w:p>
    <w:p w14:paraId="69A005D4" w14:textId="77777777" w:rsidR="00BC2959" w:rsidRDefault="00BC2959" w:rsidP="00BC2959">
      <w:pPr>
        <w:rPr>
          <w:rFonts w:ascii="Arial" w:eastAsia="SimSun" w:hAnsi="Arial" w:cs="Arial"/>
          <w:sz w:val="20"/>
          <w:lang w:eastAsia="zh-CN"/>
        </w:rPr>
      </w:pPr>
    </w:p>
    <w:p w14:paraId="259022F9" w14:textId="77777777" w:rsidR="003E0C20" w:rsidRDefault="003E0C20"/>
    <w:sectPr w:rsidR="003E0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655D"/>
    <w:multiLevelType w:val="hybridMultilevel"/>
    <w:tmpl w:val="FC2E2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604E3"/>
    <w:multiLevelType w:val="multilevel"/>
    <w:tmpl w:val="A3F2130C"/>
    <w:lvl w:ilvl="0">
      <w:start w:val="1"/>
      <w:numFmt w:val="decimal"/>
      <w:pStyle w:val="MRheading1"/>
      <w:lvlText w:val="%1"/>
      <w:lvlJc w:val="left"/>
      <w:pPr>
        <w:tabs>
          <w:tab w:val="num" w:pos="720"/>
        </w:tabs>
        <w:ind w:left="720" w:hanging="720"/>
      </w:pPr>
      <w:rPr>
        <w:strike w:val="0"/>
        <w:dstrike w:val="0"/>
        <w:u w:val="none"/>
        <w:effect w:val="none"/>
      </w:rPr>
    </w:lvl>
    <w:lvl w:ilvl="1">
      <w:start w:val="1"/>
      <w:numFmt w:val="decimal"/>
      <w:pStyle w:val="MRheading2"/>
      <w:lvlText w:val="%1.%2"/>
      <w:lvlJc w:val="left"/>
      <w:pPr>
        <w:tabs>
          <w:tab w:val="num" w:pos="720"/>
        </w:tabs>
        <w:ind w:left="720" w:hanging="720"/>
      </w:pPr>
      <w:rPr>
        <w:i w:val="0"/>
        <w:strike w:val="0"/>
        <w:dstrike w:val="0"/>
        <w:u w:val="none"/>
        <w:effect w:val="none"/>
      </w:rPr>
    </w:lvl>
    <w:lvl w:ilvl="2">
      <w:start w:val="1"/>
      <w:numFmt w:val="decimal"/>
      <w:pStyle w:val="MRheading3"/>
      <w:lvlText w:val="%1.%2.%3"/>
      <w:lvlJc w:val="left"/>
      <w:pPr>
        <w:tabs>
          <w:tab w:val="num" w:pos="1222"/>
        </w:tabs>
        <w:ind w:left="1222" w:hanging="1080"/>
      </w:pPr>
      <w:rPr>
        <w:strike w:val="0"/>
        <w:dstrike w:val="0"/>
        <w:u w:val="none"/>
        <w:effect w:val="none"/>
      </w:rPr>
    </w:lvl>
    <w:lvl w:ilvl="3">
      <w:start w:val="1"/>
      <w:numFmt w:val="lowerRoman"/>
      <w:pStyle w:val="MRheading4"/>
      <w:lvlText w:val="(%4)"/>
      <w:lvlJc w:val="left"/>
      <w:pPr>
        <w:tabs>
          <w:tab w:val="num" w:pos="2520"/>
        </w:tabs>
        <w:ind w:left="2520" w:hanging="720"/>
      </w:pPr>
      <w:rPr>
        <w:strike w:val="0"/>
        <w:dstrike w:val="0"/>
        <w:u w:val="none"/>
        <w:effect w:val="none"/>
      </w:rPr>
    </w:lvl>
    <w:lvl w:ilvl="4">
      <w:start w:val="1"/>
      <w:numFmt w:val="upperLetter"/>
      <w:pStyle w:val="MRheading5"/>
      <w:lvlText w:val="(%5)"/>
      <w:lvlJc w:val="left"/>
      <w:pPr>
        <w:tabs>
          <w:tab w:val="num" w:pos="3240"/>
        </w:tabs>
        <w:ind w:left="3240" w:hanging="720"/>
      </w:pPr>
      <w:rPr>
        <w:strike w:val="0"/>
        <w:dstrike w:val="0"/>
        <w:u w:val="none"/>
        <w:effect w:val="none"/>
      </w:rPr>
    </w:lvl>
    <w:lvl w:ilvl="5">
      <w:start w:val="1"/>
      <w:numFmt w:val="decimal"/>
      <w:pStyle w:val="MRheading6"/>
      <w:lvlText w:val="%6)"/>
      <w:lvlJc w:val="left"/>
      <w:pPr>
        <w:tabs>
          <w:tab w:val="num" w:pos="3960"/>
        </w:tabs>
        <w:ind w:left="3960" w:hanging="720"/>
      </w:pPr>
      <w:rPr>
        <w:rFonts w:ascii="Arial" w:hAnsi="Arial" w:cs="Arial" w:hint="default"/>
        <w:b w:val="0"/>
        <w:i w:val="0"/>
        <w:strike w:val="0"/>
        <w:dstrike w:val="0"/>
        <w:sz w:val="22"/>
        <w:szCs w:val="22"/>
        <w:u w:val="none"/>
        <w:effect w:val="none"/>
      </w:rPr>
    </w:lvl>
    <w:lvl w:ilvl="6">
      <w:start w:val="1"/>
      <w:numFmt w:val="lowerLetter"/>
      <w:pStyle w:val="MRheading7"/>
      <w:lvlText w:val="%7)"/>
      <w:lvlJc w:val="left"/>
      <w:pPr>
        <w:tabs>
          <w:tab w:val="num" w:pos="4680"/>
        </w:tabs>
        <w:ind w:left="4680" w:hanging="720"/>
      </w:pPr>
      <w:rPr>
        <w:rFonts w:ascii="Arial" w:hAnsi="Arial" w:cs="Arial" w:hint="default"/>
        <w:b w:val="0"/>
        <w:i w:val="0"/>
        <w:strike w:val="0"/>
        <w:dstrike w:val="0"/>
        <w:sz w:val="22"/>
        <w:szCs w:val="22"/>
        <w:u w:val="none"/>
        <w:effect w:val="none"/>
      </w:rPr>
    </w:lvl>
    <w:lvl w:ilvl="7">
      <w:start w:val="1"/>
      <w:numFmt w:val="lowerRoman"/>
      <w:pStyle w:val="MRheading8"/>
      <w:lvlText w:val="%8)"/>
      <w:lvlJc w:val="left"/>
      <w:pPr>
        <w:tabs>
          <w:tab w:val="num" w:pos="5400"/>
        </w:tabs>
        <w:ind w:left="5400" w:hanging="720"/>
      </w:pPr>
      <w:rPr>
        <w:rFonts w:ascii="Arial" w:hAnsi="Arial" w:cs="Arial" w:hint="default"/>
        <w:b w:val="0"/>
        <w:i w:val="0"/>
        <w:strike w:val="0"/>
        <w:dstrike w:val="0"/>
        <w:sz w:val="22"/>
        <w:szCs w:val="22"/>
        <w:u w:val="none"/>
        <w:effect w:val="none"/>
      </w:rPr>
    </w:lvl>
    <w:lvl w:ilvl="8">
      <w:start w:val="1"/>
      <w:numFmt w:val="upperLetter"/>
      <w:pStyle w:val="MRheading9"/>
      <w:lvlText w:val="%9)"/>
      <w:lvlJc w:val="left"/>
      <w:pPr>
        <w:tabs>
          <w:tab w:val="num" w:pos="6120"/>
        </w:tabs>
        <w:ind w:left="6120" w:hanging="720"/>
      </w:pPr>
      <w:rPr>
        <w:rFonts w:ascii="Arial" w:hAnsi="Arial" w:cs="Arial" w:hint="default"/>
        <w:b w:val="0"/>
        <w:i w:val="0"/>
        <w:strike w:val="0"/>
        <w:dstrike w:val="0"/>
        <w:sz w:val="22"/>
        <w:szCs w:val="22"/>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59"/>
    <w:rsid w:val="003E0C20"/>
    <w:rsid w:val="004E481F"/>
    <w:rsid w:val="00643B95"/>
    <w:rsid w:val="006E6731"/>
    <w:rsid w:val="009F021E"/>
    <w:rsid w:val="00BC2959"/>
    <w:rsid w:val="00C31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FBBF"/>
  <w15:chartTrackingRefBased/>
  <w15:docId w15:val="{6049A62E-E427-4887-8891-DCDCDAAC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959"/>
    <w:pPr>
      <w:spacing w:after="0" w:line="240" w:lineRule="auto"/>
    </w:pPr>
    <w:rPr>
      <w:rFonts w:ascii="Times" w:eastAsia="Times" w:hAnsi="Times"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959"/>
    <w:rPr>
      <w:rFonts w:ascii="Times New Roman" w:hAnsi="Times New Roman" w:cs="Times New Roman" w:hint="default"/>
      <w:color w:val="0000FF"/>
      <w:u w:val="single"/>
    </w:rPr>
  </w:style>
  <w:style w:type="paragraph" w:styleId="ListParagraph">
    <w:name w:val="List Paragraph"/>
    <w:basedOn w:val="Normal"/>
    <w:uiPriority w:val="34"/>
    <w:qFormat/>
    <w:rsid w:val="00BC2959"/>
    <w:pPr>
      <w:ind w:left="720"/>
      <w:contextualSpacing/>
    </w:pPr>
  </w:style>
  <w:style w:type="paragraph" w:customStyle="1" w:styleId="MRheading1">
    <w:name w:val="M&amp;R heading 1"/>
    <w:basedOn w:val="Normal"/>
    <w:rsid w:val="00BC2959"/>
    <w:pPr>
      <w:keepNext/>
      <w:keepLines/>
      <w:numPr>
        <w:numId w:val="1"/>
      </w:numPr>
      <w:spacing w:before="240" w:line="360" w:lineRule="auto"/>
      <w:jc w:val="both"/>
    </w:pPr>
    <w:rPr>
      <w:rFonts w:ascii="Arial" w:eastAsia="Times New Roman" w:hAnsi="Arial"/>
      <w:b/>
      <w:sz w:val="22"/>
      <w:u w:val="single"/>
      <w:lang w:eastAsia="en-GB"/>
    </w:rPr>
  </w:style>
  <w:style w:type="paragraph" w:customStyle="1" w:styleId="MRheading2">
    <w:name w:val="M&amp;R heading 2"/>
    <w:basedOn w:val="Normal"/>
    <w:rsid w:val="00BC2959"/>
    <w:pPr>
      <w:numPr>
        <w:ilvl w:val="1"/>
        <w:numId w:val="1"/>
      </w:numPr>
      <w:spacing w:before="240" w:line="360" w:lineRule="auto"/>
      <w:jc w:val="both"/>
      <w:outlineLvl w:val="1"/>
    </w:pPr>
    <w:rPr>
      <w:rFonts w:ascii="Arial" w:eastAsia="Times New Roman" w:hAnsi="Arial"/>
      <w:sz w:val="22"/>
      <w:lang w:eastAsia="en-GB"/>
    </w:rPr>
  </w:style>
  <w:style w:type="paragraph" w:customStyle="1" w:styleId="MRheading3">
    <w:name w:val="M&amp;R heading 3"/>
    <w:basedOn w:val="Normal"/>
    <w:rsid w:val="00BC2959"/>
    <w:pPr>
      <w:numPr>
        <w:ilvl w:val="2"/>
        <w:numId w:val="1"/>
      </w:numPr>
      <w:spacing w:before="240" w:line="360" w:lineRule="auto"/>
      <w:jc w:val="both"/>
      <w:outlineLvl w:val="2"/>
    </w:pPr>
    <w:rPr>
      <w:rFonts w:ascii="Arial" w:eastAsia="Times New Roman" w:hAnsi="Arial"/>
      <w:sz w:val="22"/>
      <w:lang w:eastAsia="en-GB"/>
    </w:rPr>
  </w:style>
  <w:style w:type="paragraph" w:customStyle="1" w:styleId="MRheading4">
    <w:name w:val="M&amp;R heading 4"/>
    <w:basedOn w:val="Normal"/>
    <w:rsid w:val="00BC2959"/>
    <w:pPr>
      <w:numPr>
        <w:ilvl w:val="3"/>
        <w:numId w:val="1"/>
      </w:numPr>
      <w:spacing w:before="240" w:line="360" w:lineRule="auto"/>
      <w:jc w:val="both"/>
      <w:outlineLvl w:val="3"/>
    </w:pPr>
    <w:rPr>
      <w:rFonts w:ascii="Arial" w:eastAsia="Times New Roman" w:hAnsi="Arial"/>
      <w:sz w:val="22"/>
      <w:lang w:eastAsia="en-GB"/>
    </w:rPr>
  </w:style>
  <w:style w:type="paragraph" w:customStyle="1" w:styleId="MRheading5">
    <w:name w:val="M&amp;R heading 5"/>
    <w:basedOn w:val="Normal"/>
    <w:rsid w:val="00BC2959"/>
    <w:pPr>
      <w:numPr>
        <w:ilvl w:val="4"/>
        <w:numId w:val="1"/>
      </w:numPr>
      <w:spacing w:before="240" w:line="360" w:lineRule="auto"/>
      <w:jc w:val="both"/>
      <w:outlineLvl w:val="4"/>
    </w:pPr>
    <w:rPr>
      <w:rFonts w:ascii="Arial" w:eastAsia="Times New Roman" w:hAnsi="Arial"/>
      <w:sz w:val="22"/>
      <w:lang w:eastAsia="en-GB"/>
    </w:rPr>
  </w:style>
  <w:style w:type="paragraph" w:customStyle="1" w:styleId="MRheading6">
    <w:name w:val="M&amp;R heading 6"/>
    <w:basedOn w:val="Normal"/>
    <w:rsid w:val="00BC2959"/>
    <w:pPr>
      <w:numPr>
        <w:ilvl w:val="5"/>
        <w:numId w:val="1"/>
      </w:numPr>
      <w:spacing w:before="240" w:line="360" w:lineRule="auto"/>
      <w:jc w:val="both"/>
      <w:outlineLvl w:val="5"/>
    </w:pPr>
    <w:rPr>
      <w:rFonts w:ascii="Arial" w:eastAsia="Times New Roman" w:hAnsi="Arial"/>
      <w:sz w:val="22"/>
      <w:lang w:eastAsia="en-GB"/>
    </w:rPr>
  </w:style>
  <w:style w:type="paragraph" w:customStyle="1" w:styleId="MRheading7">
    <w:name w:val="M&amp;R heading 7"/>
    <w:basedOn w:val="Normal"/>
    <w:rsid w:val="00BC2959"/>
    <w:pPr>
      <w:numPr>
        <w:ilvl w:val="6"/>
        <w:numId w:val="1"/>
      </w:numPr>
      <w:spacing w:before="240" w:line="360" w:lineRule="auto"/>
      <w:jc w:val="both"/>
      <w:outlineLvl w:val="6"/>
    </w:pPr>
    <w:rPr>
      <w:rFonts w:ascii="Arial" w:eastAsia="Times New Roman" w:hAnsi="Arial"/>
      <w:sz w:val="22"/>
      <w:lang w:eastAsia="en-GB"/>
    </w:rPr>
  </w:style>
  <w:style w:type="paragraph" w:customStyle="1" w:styleId="MRheading8">
    <w:name w:val="M&amp;R heading 8"/>
    <w:basedOn w:val="Normal"/>
    <w:rsid w:val="00BC2959"/>
    <w:pPr>
      <w:numPr>
        <w:ilvl w:val="7"/>
        <w:numId w:val="1"/>
      </w:numPr>
      <w:spacing w:before="240" w:line="360" w:lineRule="auto"/>
      <w:jc w:val="both"/>
      <w:outlineLvl w:val="7"/>
    </w:pPr>
    <w:rPr>
      <w:rFonts w:ascii="Arial" w:eastAsia="Times New Roman" w:hAnsi="Arial"/>
      <w:sz w:val="22"/>
      <w:lang w:eastAsia="en-GB"/>
    </w:rPr>
  </w:style>
  <w:style w:type="paragraph" w:customStyle="1" w:styleId="MRheading9">
    <w:name w:val="M&amp;R heading 9"/>
    <w:basedOn w:val="Normal"/>
    <w:rsid w:val="00BC2959"/>
    <w:pPr>
      <w:numPr>
        <w:ilvl w:val="8"/>
        <w:numId w:val="1"/>
      </w:numPr>
      <w:spacing w:before="240" w:line="360" w:lineRule="auto"/>
      <w:jc w:val="both"/>
      <w:outlineLvl w:val="8"/>
    </w:pPr>
    <w:rPr>
      <w:rFonts w:ascii="Arial" w:eastAsia="Times New Roman" w:hAnsi="Arial"/>
      <w:sz w:val="22"/>
      <w:lang w:eastAsia="en-GB"/>
    </w:rPr>
  </w:style>
  <w:style w:type="table" w:customStyle="1" w:styleId="TableGrid1">
    <w:name w:val="Table Grid1"/>
    <w:basedOn w:val="TableNormal"/>
    <w:rsid w:val="00BC2959"/>
    <w:pPr>
      <w:spacing w:after="0" w:line="240" w:lineRule="auto"/>
    </w:pPr>
    <w:rPr>
      <w:rFonts w:ascii="Times New Roman" w:eastAsia="Times New Roman" w:hAnsi="Times New Roman" w:cs="Times New Roman"/>
      <w:kern w:val="0"/>
      <w:sz w:val="20"/>
      <w:szCs w:val="20"/>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BC2959"/>
    <w:pPr>
      <w:spacing w:after="0" w:line="240" w:lineRule="auto"/>
    </w:pPr>
    <w:rPr>
      <w:rFonts w:ascii="Times New Roman" w:eastAsia="Times New Roman" w:hAnsi="Times New Roman" w:cs="Times New Roman"/>
      <w:kern w:val="0"/>
      <w:sz w:val="20"/>
      <w:szCs w:val="20"/>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7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ucl.ac.uk" TargetMode="External"/><Relationship Id="rId3" Type="http://schemas.openxmlformats.org/officeDocument/2006/relationships/settings" Target="settings.xml"/><Relationship Id="rId7" Type="http://schemas.openxmlformats.org/officeDocument/2006/relationships/hyperlink" Target="https://ico.org.uk/media/for-organisations/documents/4019539/international-data-transfer-addendu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eli/dec_impl/2021/914/oj" TargetMode="External"/><Relationship Id="rId5" Type="http://schemas.openxmlformats.org/officeDocument/2006/relationships/hyperlink" Target="https://ico.org.uk/for-organisations/guide-to-data-protection/guide-to-the-general-data-protection-regulation-gdpr/international-transfers-after-uk-ex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6277</Characters>
  <Application>Microsoft Office Word</Application>
  <DocSecurity>0</DocSecurity>
  <Lines>52</Lines>
  <Paragraphs>14</Paragraphs>
  <ScaleCrop>false</ScaleCrop>
  <Company>University College London</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Sarah</dc:creator>
  <cp:keywords/>
  <dc:description/>
  <cp:lastModifiedBy>Whitehair, Billy</cp:lastModifiedBy>
  <cp:revision>2</cp:revision>
  <dcterms:created xsi:type="dcterms:W3CDTF">2024-02-01T14:57:00Z</dcterms:created>
  <dcterms:modified xsi:type="dcterms:W3CDTF">2024-02-01T14:57:00Z</dcterms:modified>
</cp:coreProperties>
</file>