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B343B" w14:textId="7DAA529A" w:rsidR="00E21D20" w:rsidRPr="006B4984" w:rsidRDefault="009557F6" w:rsidP="008B3196">
      <w:pPr>
        <w:rPr>
          <w:sz w:val="24"/>
          <w:szCs w:val="24"/>
        </w:rPr>
      </w:pPr>
      <w:r>
        <w:rPr>
          <w:b/>
          <w:sz w:val="24"/>
          <w:szCs w:val="24"/>
        </w:rPr>
        <w:t>Interaction Vouchers</w:t>
      </w:r>
      <w:r w:rsidR="00E21D20" w:rsidRPr="001D6E67">
        <w:rPr>
          <w:b/>
          <w:sz w:val="24"/>
          <w:szCs w:val="24"/>
        </w:rPr>
        <w:t xml:space="preserve"> – Invitation to submit proposals</w:t>
      </w:r>
    </w:p>
    <w:p w14:paraId="718FB005" w14:textId="77777777" w:rsidR="00E21D20" w:rsidRPr="006B4984" w:rsidRDefault="00E21D20">
      <w:pPr>
        <w:rPr>
          <w:b/>
          <w:sz w:val="24"/>
          <w:szCs w:val="24"/>
        </w:rPr>
      </w:pPr>
      <w:r w:rsidRPr="006B4984">
        <w:rPr>
          <w:b/>
          <w:sz w:val="24"/>
          <w:szCs w:val="24"/>
        </w:rPr>
        <w:t>Introduction</w:t>
      </w:r>
    </w:p>
    <w:p w14:paraId="24BA8E3A" w14:textId="73543EE8" w:rsidR="0078503A" w:rsidRPr="00BF0F91" w:rsidRDefault="001D7518" w:rsidP="006578C0">
      <w:pPr>
        <w:rPr>
          <w:rFonts w:cstheme="minorHAnsi"/>
          <w:sz w:val="24"/>
          <w:szCs w:val="24"/>
        </w:rPr>
      </w:pPr>
      <w:r w:rsidRPr="00BF0F91">
        <w:rPr>
          <w:rFonts w:cstheme="minorHAnsi"/>
          <w:sz w:val="24"/>
          <w:szCs w:val="24"/>
        </w:rPr>
        <w:t xml:space="preserve">Members of the </w:t>
      </w:r>
      <w:r w:rsidR="009557F6" w:rsidRPr="00BF0F91">
        <w:rPr>
          <w:rFonts w:cstheme="minorHAnsi"/>
          <w:sz w:val="24"/>
          <w:szCs w:val="24"/>
        </w:rPr>
        <w:t xml:space="preserve">Vax-Hub </w:t>
      </w:r>
      <w:r w:rsidR="00E21D20" w:rsidRPr="00BF0F91">
        <w:rPr>
          <w:rFonts w:cstheme="minorHAnsi"/>
          <w:sz w:val="24"/>
          <w:szCs w:val="24"/>
        </w:rPr>
        <w:t>User</w:t>
      </w:r>
      <w:r w:rsidR="009557F6" w:rsidRPr="00BF0F91">
        <w:rPr>
          <w:rFonts w:cstheme="minorHAnsi"/>
          <w:sz w:val="24"/>
          <w:szCs w:val="24"/>
        </w:rPr>
        <w:t>s group</w:t>
      </w:r>
      <w:r w:rsidRPr="00BF0F91">
        <w:rPr>
          <w:rFonts w:cstheme="minorHAnsi"/>
          <w:sz w:val="24"/>
          <w:szCs w:val="24"/>
        </w:rPr>
        <w:t xml:space="preserve"> </w:t>
      </w:r>
      <w:r w:rsidR="00E21D20" w:rsidRPr="00BF0F91">
        <w:rPr>
          <w:rFonts w:cstheme="minorHAnsi"/>
          <w:sz w:val="24"/>
          <w:szCs w:val="24"/>
        </w:rPr>
        <w:t>are invited to submit proposals</w:t>
      </w:r>
      <w:r w:rsidR="006578C0" w:rsidRPr="00BF0F91">
        <w:rPr>
          <w:rFonts w:cstheme="minorHAnsi"/>
          <w:sz w:val="24"/>
          <w:szCs w:val="24"/>
        </w:rPr>
        <w:t xml:space="preserve"> for Interaction Vouchers for projects up to 6 months duration</w:t>
      </w:r>
      <w:r w:rsidR="00D0545B">
        <w:rPr>
          <w:rFonts w:cstheme="minorHAnsi"/>
          <w:sz w:val="24"/>
          <w:szCs w:val="24"/>
        </w:rPr>
        <w:t xml:space="preserve"> with a value up to £10,000</w:t>
      </w:r>
      <w:r w:rsidR="006578C0" w:rsidRPr="00BF0F91">
        <w:rPr>
          <w:rFonts w:cstheme="minorHAnsi"/>
          <w:sz w:val="24"/>
          <w:szCs w:val="24"/>
        </w:rPr>
        <w:t>.</w:t>
      </w:r>
      <w:r w:rsidR="00BF0F91" w:rsidRPr="00BF0F91">
        <w:rPr>
          <w:rFonts w:cstheme="minorHAnsi"/>
          <w:sz w:val="24"/>
          <w:szCs w:val="24"/>
        </w:rPr>
        <w:t xml:space="preserve"> </w:t>
      </w:r>
      <w:r w:rsidR="00BF0F91">
        <w:rPr>
          <w:rFonts w:cstheme="minorHAnsi"/>
          <w:sz w:val="24"/>
          <w:szCs w:val="24"/>
        </w:rPr>
        <w:t xml:space="preserve">Vouchers </w:t>
      </w:r>
      <w:r w:rsidR="00BF0F91" w:rsidRPr="00BF0F91">
        <w:rPr>
          <w:rFonts w:cstheme="minorHAnsi"/>
          <w:sz w:val="24"/>
          <w:szCs w:val="24"/>
        </w:rPr>
        <w:t xml:space="preserve">are designed to encourage and support collaboration between academic and industrial partners within </w:t>
      </w:r>
      <w:r w:rsidR="00BF0F91">
        <w:rPr>
          <w:rFonts w:cstheme="minorHAnsi"/>
          <w:sz w:val="24"/>
          <w:szCs w:val="24"/>
        </w:rPr>
        <w:t>the Hub and</w:t>
      </w:r>
      <w:r w:rsidR="00BF0F91" w:rsidRPr="00BF0F91">
        <w:rPr>
          <w:rFonts w:cstheme="minorHAnsi"/>
          <w:sz w:val="24"/>
          <w:szCs w:val="24"/>
        </w:rPr>
        <w:t xml:space="preserve"> help to resource small </w:t>
      </w:r>
      <w:r w:rsidR="00BF0F91">
        <w:rPr>
          <w:rFonts w:cstheme="minorHAnsi"/>
          <w:sz w:val="24"/>
          <w:szCs w:val="24"/>
        </w:rPr>
        <w:t>interaction projects</w:t>
      </w:r>
      <w:r w:rsidR="00BF0F91" w:rsidRPr="00BF0F91">
        <w:rPr>
          <w:rFonts w:cstheme="minorHAnsi"/>
          <w:sz w:val="24"/>
          <w:szCs w:val="24"/>
        </w:rPr>
        <w:t xml:space="preserve"> between the partners that are likely to lead to outcomes such as a longer-term relationship, a</w:t>
      </w:r>
      <w:r w:rsidR="00BF0F91">
        <w:rPr>
          <w:rFonts w:cstheme="minorHAnsi"/>
          <w:sz w:val="24"/>
          <w:szCs w:val="24"/>
        </w:rPr>
        <w:t xml:space="preserve"> new or </w:t>
      </w:r>
      <w:r w:rsidR="00BF0F91" w:rsidRPr="00BF0F91">
        <w:rPr>
          <w:rFonts w:cstheme="minorHAnsi"/>
          <w:sz w:val="24"/>
          <w:szCs w:val="24"/>
        </w:rPr>
        <w:t>improved interaction</w:t>
      </w:r>
      <w:r w:rsidR="00BF0F91">
        <w:rPr>
          <w:rFonts w:cstheme="minorHAnsi"/>
          <w:sz w:val="24"/>
          <w:szCs w:val="24"/>
        </w:rPr>
        <w:t xml:space="preserve"> or</w:t>
      </w:r>
      <w:r w:rsidR="00BF0F91" w:rsidRPr="00BF0F91">
        <w:rPr>
          <w:rFonts w:cstheme="minorHAnsi"/>
          <w:sz w:val="24"/>
          <w:szCs w:val="24"/>
        </w:rPr>
        <w:t xml:space="preserve"> new research </w:t>
      </w:r>
      <w:r w:rsidR="00BF0F91">
        <w:rPr>
          <w:rFonts w:cstheme="minorHAnsi"/>
          <w:sz w:val="24"/>
          <w:szCs w:val="24"/>
        </w:rPr>
        <w:t>data.</w:t>
      </w:r>
    </w:p>
    <w:p w14:paraId="23EF1778" w14:textId="14943D32" w:rsidR="00602BBC" w:rsidRPr="00602BBC" w:rsidRDefault="006578C0">
      <w:pPr>
        <w:rPr>
          <w:sz w:val="24"/>
          <w:szCs w:val="24"/>
        </w:rPr>
      </w:pPr>
      <w:r>
        <w:rPr>
          <w:sz w:val="24"/>
          <w:szCs w:val="24"/>
        </w:rPr>
        <w:t>Projects might include (but are not limited to)</w:t>
      </w:r>
      <w:r w:rsidR="001A73AB">
        <w:rPr>
          <w:sz w:val="24"/>
          <w:szCs w:val="24"/>
        </w:rPr>
        <w:t>:</w:t>
      </w:r>
    </w:p>
    <w:p w14:paraId="26642C9D" w14:textId="3C16673D" w:rsidR="00602BBC" w:rsidRDefault="006578C0" w:rsidP="00602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Generating new experimental data to validate new tools and methods developed via the Hub research</w:t>
      </w:r>
    </w:p>
    <w:p w14:paraId="6C104A97" w14:textId="01041D4C" w:rsidR="00602BBC" w:rsidRDefault="006578C0" w:rsidP="00602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Facilitating technology transfer of relevant Hub research</w:t>
      </w:r>
    </w:p>
    <w:p w14:paraId="480A6E9A" w14:textId="25D5458D" w:rsidR="00602BBC" w:rsidRDefault="006578C0" w:rsidP="00602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Solving a technological problem</w:t>
      </w:r>
    </w:p>
    <w:p w14:paraId="5341EB93" w14:textId="6184983C" w:rsidR="00602BBC" w:rsidRDefault="006578C0" w:rsidP="00602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Adapting an existing technology for a new application</w:t>
      </w:r>
    </w:p>
    <w:p w14:paraId="36D10F0A" w14:textId="42511304" w:rsidR="006578C0" w:rsidRDefault="006578C0" w:rsidP="00602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Consulting with a partner organization</w:t>
      </w:r>
    </w:p>
    <w:p w14:paraId="3B5359B1" w14:textId="7E29626D" w:rsidR="006578C0" w:rsidRPr="00D10DD2" w:rsidRDefault="006578C0" w:rsidP="00602B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Funding staff time, travel, accommodation for a visit to a partner organization</w:t>
      </w:r>
    </w:p>
    <w:p w14:paraId="79DC8E36" w14:textId="77777777" w:rsidR="006578C0" w:rsidRDefault="006578C0" w:rsidP="006578C0">
      <w:pPr>
        <w:rPr>
          <w:sz w:val="24"/>
          <w:szCs w:val="24"/>
        </w:rPr>
      </w:pPr>
      <w:r w:rsidRPr="006B4984">
        <w:rPr>
          <w:sz w:val="24"/>
          <w:szCs w:val="24"/>
        </w:rPr>
        <w:t xml:space="preserve">Successful projects are expected to </w:t>
      </w:r>
      <w:r>
        <w:rPr>
          <w:sz w:val="24"/>
          <w:szCs w:val="24"/>
        </w:rPr>
        <w:t>generate tangible outputs which could include one or more of the following:</w:t>
      </w:r>
    </w:p>
    <w:p w14:paraId="1D48A162" w14:textId="77777777" w:rsidR="006578C0" w:rsidRPr="001D7518" w:rsidRDefault="006578C0" w:rsidP="006578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7518">
        <w:rPr>
          <w:sz w:val="24"/>
          <w:szCs w:val="24"/>
        </w:rPr>
        <w:t xml:space="preserve">Preliminary data that is then used to apply for further funding to accelerate the route to adoption or application. </w:t>
      </w:r>
    </w:p>
    <w:p w14:paraId="0663F882" w14:textId="727211F8" w:rsidR="006578C0" w:rsidRDefault="006578C0" w:rsidP="006578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1D7518">
        <w:rPr>
          <w:sz w:val="24"/>
          <w:szCs w:val="24"/>
        </w:rPr>
        <w:t>ublication that demonstrates Hub results in a User context</w:t>
      </w:r>
    </w:p>
    <w:p w14:paraId="1D284E4F" w14:textId="0E0C8618" w:rsidR="001A73AB" w:rsidRPr="00C57AD0" w:rsidRDefault="00A9200B" w:rsidP="006578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7AD0">
        <w:rPr>
          <w:sz w:val="24"/>
          <w:szCs w:val="24"/>
        </w:rPr>
        <w:t xml:space="preserve">A new partnership between a manufacturer and an academic group </w:t>
      </w:r>
    </w:p>
    <w:p w14:paraId="22F75A3E" w14:textId="18B3BC1B" w:rsidR="006B4984" w:rsidRDefault="001A73AB" w:rsidP="006B4984">
      <w:pPr>
        <w:rPr>
          <w:sz w:val="24"/>
          <w:szCs w:val="24"/>
        </w:rPr>
      </w:pPr>
      <w:r w:rsidRPr="006F1E61">
        <w:rPr>
          <w:sz w:val="24"/>
          <w:szCs w:val="24"/>
        </w:rPr>
        <w:t>Up to</w:t>
      </w:r>
      <w:r w:rsidR="00C57AD0" w:rsidRPr="006F1E61">
        <w:rPr>
          <w:sz w:val="24"/>
          <w:szCs w:val="24"/>
        </w:rPr>
        <w:t xml:space="preserve"> £10,000 will be awarded for projects with a maximum duration of 6 months</w:t>
      </w:r>
      <w:r w:rsidRPr="006F1E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B4984" w:rsidRPr="006B4984">
        <w:rPr>
          <w:sz w:val="24"/>
          <w:szCs w:val="24"/>
        </w:rPr>
        <w:t xml:space="preserve">All the studies must involve </w:t>
      </w:r>
      <w:r>
        <w:rPr>
          <w:sz w:val="24"/>
          <w:szCs w:val="24"/>
        </w:rPr>
        <w:t>two partners (including academia-company interaction)</w:t>
      </w:r>
      <w:r w:rsidR="006B4984" w:rsidRPr="006B4984">
        <w:rPr>
          <w:sz w:val="24"/>
          <w:szCs w:val="24"/>
        </w:rPr>
        <w:t>.</w:t>
      </w:r>
      <w:r w:rsidR="00D60804">
        <w:rPr>
          <w:sz w:val="24"/>
          <w:szCs w:val="24"/>
        </w:rPr>
        <w:t xml:space="preserve"> Users are expected to provide</w:t>
      </w:r>
      <w:r w:rsidR="004774C2">
        <w:rPr>
          <w:sz w:val="24"/>
          <w:szCs w:val="24"/>
        </w:rPr>
        <w:t xml:space="preserve"> industry</w:t>
      </w:r>
      <w:r w:rsidR="00D60804">
        <w:rPr>
          <w:sz w:val="24"/>
          <w:szCs w:val="24"/>
        </w:rPr>
        <w:t xml:space="preserve"> </w:t>
      </w:r>
      <w:r w:rsidR="004774C2">
        <w:rPr>
          <w:sz w:val="24"/>
          <w:szCs w:val="24"/>
        </w:rPr>
        <w:t xml:space="preserve">supervision to the project and provide </w:t>
      </w:r>
      <w:r w:rsidR="00D60804">
        <w:rPr>
          <w:sz w:val="24"/>
          <w:szCs w:val="24"/>
        </w:rPr>
        <w:t>access to the necessary materials, equipment or data</w:t>
      </w:r>
      <w:r w:rsidR="004774C2">
        <w:rPr>
          <w:sz w:val="24"/>
          <w:szCs w:val="24"/>
        </w:rPr>
        <w:t>.</w:t>
      </w:r>
    </w:p>
    <w:p w14:paraId="02BCA32D" w14:textId="7E203827" w:rsidR="00D10DD2" w:rsidRPr="001D7518" w:rsidRDefault="001D7518" w:rsidP="006B4984">
      <w:pPr>
        <w:rPr>
          <w:b/>
          <w:sz w:val="24"/>
          <w:szCs w:val="24"/>
        </w:rPr>
      </w:pPr>
      <w:r w:rsidRPr="001D7518">
        <w:rPr>
          <w:b/>
          <w:sz w:val="24"/>
          <w:szCs w:val="24"/>
        </w:rPr>
        <w:t>Confidentiality</w:t>
      </w:r>
    </w:p>
    <w:p w14:paraId="2C260943" w14:textId="15795101" w:rsidR="00FF11DA" w:rsidRDefault="008B3196" w:rsidP="006B4984">
      <w:pPr>
        <w:rPr>
          <w:sz w:val="24"/>
          <w:szCs w:val="24"/>
        </w:rPr>
      </w:pPr>
      <w:r w:rsidRPr="008B3196">
        <w:rPr>
          <w:sz w:val="24"/>
          <w:szCs w:val="24"/>
        </w:rPr>
        <w:t xml:space="preserve">All projects that are taken forward will be carried out under the terms of the Hub Collaboration Agreement, in compliance with the clauses around Intellectual Property, Confidentiality and </w:t>
      </w:r>
      <w:r w:rsidRPr="00C57AD0">
        <w:rPr>
          <w:sz w:val="24"/>
          <w:szCs w:val="24"/>
        </w:rPr>
        <w:t>Publication (Sections 7-9). In</w:t>
      </w:r>
      <w:r>
        <w:rPr>
          <w:sz w:val="24"/>
          <w:szCs w:val="24"/>
        </w:rPr>
        <w:t xml:space="preserve"> cases where separate CDAs and MTAs are required, over and above the clauses in the Hub Collaboration Agreement,</w:t>
      </w:r>
      <w:r w:rsidR="008A1AA8">
        <w:rPr>
          <w:sz w:val="24"/>
          <w:szCs w:val="24"/>
        </w:rPr>
        <w:t xml:space="preserve"> the Hub will provide templates</w:t>
      </w:r>
      <w:r w:rsidR="00A9200B">
        <w:rPr>
          <w:sz w:val="24"/>
          <w:szCs w:val="24"/>
        </w:rPr>
        <w:t xml:space="preserve"> if required</w:t>
      </w:r>
      <w:r w:rsidR="009359BC">
        <w:rPr>
          <w:sz w:val="24"/>
          <w:szCs w:val="24"/>
        </w:rPr>
        <w:t>.</w:t>
      </w:r>
    </w:p>
    <w:p w14:paraId="19CCA06F" w14:textId="5814AC62" w:rsidR="00D60804" w:rsidRPr="00D60804" w:rsidRDefault="00D60804" w:rsidP="006B4984">
      <w:pPr>
        <w:rPr>
          <w:b/>
          <w:sz w:val="24"/>
          <w:szCs w:val="24"/>
        </w:rPr>
      </w:pPr>
      <w:r w:rsidRPr="00D60804">
        <w:rPr>
          <w:b/>
          <w:sz w:val="24"/>
          <w:szCs w:val="24"/>
        </w:rPr>
        <w:t>Application Process</w:t>
      </w:r>
    </w:p>
    <w:p w14:paraId="5A3386CF" w14:textId="739B5C5B" w:rsidR="00D60804" w:rsidRDefault="001A73AB" w:rsidP="00D60804">
      <w:pPr>
        <w:rPr>
          <w:sz w:val="24"/>
          <w:szCs w:val="24"/>
        </w:rPr>
      </w:pPr>
      <w:r>
        <w:rPr>
          <w:sz w:val="24"/>
          <w:szCs w:val="24"/>
        </w:rPr>
        <w:t>Interaction Vouchers</w:t>
      </w:r>
      <w:r w:rsidR="00D60804">
        <w:rPr>
          <w:sz w:val="24"/>
          <w:szCs w:val="24"/>
        </w:rPr>
        <w:t xml:space="preserve"> are awarded competitively. </w:t>
      </w:r>
      <w:r w:rsidR="00D60804" w:rsidRPr="00D60804">
        <w:rPr>
          <w:sz w:val="24"/>
          <w:szCs w:val="24"/>
        </w:rPr>
        <w:t>Applications will be via a</w:t>
      </w:r>
      <w:r w:rsidR="00D60804">
        <w:rPr>
          <w:sz w:val="24"/>
          <w:szCs w:val="24"/>
        </w:rPr>
        <w:t xml:space="preserve"> </w:t>
      </w:r>
      <w:r w:rsidR="00AA7DC4">
        <w:rPr>
          <w:sz w:val="24"/>
          <w:szCs w:val="24"/>
        </w:rPr>
        <w:t>1</w:t>
      </w:r>
      <w:r w:rsidR="00D60804" w:rsidRPr="00D60804">
        <w:rPr>
          <w:sz w:val="24"/>
          <w:szCs w:val="24"/>
        </w:rPr>
        <w:t xml:space="preserve">-stage process </w:t>
      </w:r>
      <w:r w:rsidR="008B3196">
        <w:rPr>
          <w:sz w:val="24"/>
          <w:szCs w:val="24"/>
        </w:rPr>
        <w:t>to facilitate a fast turnaround</w:t>
      </w:r>
      <w:r w:rsidR="00D60804" w:rsidRPr="00D60804">
        <w:rPr>
          <w:sz w:val="24"/>
          <w:szCs w:val="24"/>
        </w:rPr>
        <w:t xml:space="preserve"> </w:t>
      </w:r>
      <w:r w:rsidR="00AA7DC4">
        <w:rPr>
          <w:sz w:val="24"/>
          <w:szCs w:val="24"/>
        </w:rPr>
        <w:t>with</w:t>
      </w:r>
      <w:r w:rsidR="00D60804">
        <w:rPr>
          <w:sz w:val="24"/>
          <w:szCs w:val="24"/>
        </w:rPr>
        <w:t xml:space="preserve"> </w:t>
      </w:r>
      <w:r w:rsidR="008B3196">
        <w:rPr>
          <w:sz w:val="24"/>
          <w:szCs w:val="24"/>
        </w:rPr>
        <w:t>s</w:t>
      </w:r>
      <w:r w:rsidR="00D60804">
        <w:rPr>
          <w:sz w:val="24"/>
          <w:szCs w:val="24"/>
        </w:rPr>
        <w:t>ubmi</w:t>
      </w:r>
      <w:r w:rsidR="00AA7DC4">
        <w:rPr>
          <w:sz w:val="24"/>
          <w:szCs w:val="24"/>
        </w:rPr>
        <w:t>ssion of</w:t>
      </w:r>
      <w:r w:rsidR="00D60804">
        <w:rPr>
          <w:sz w:val="24"/>
          <w:szCs w:val="24"/>
        </w:rPr>
        <w:t xml:space="preserve"> a detailed work</w:t>
      </w:r>
      <w:r w:rsidR="00547EF3">
        <w:rPr>
          <w:sz w:val="24"/>
          <w:szCs w:val="24"/>
        </w:rPr>
        <w:t xml:space="preserve"> </w:t>
      </w:r>
      <w:r w:rsidR="00D60804">
        <w:rPr>
          <w:sz w:val="24"/>
          <w:szCs w:val="24"/>
        </w:rPr>
        <w:t>plan for the study w</w:t>
      </w:r>
      <w:r w:rsidR="008B3196">
        <w:rPr>
          <w:sz w:val="24"/>
          <w:szCs w:val="24"/>
        </w:rPr>
        <w:t>ith milestones</w:t>
      </w:r>
      <w:r w:rsidR="00C57AD0">
        <w:rPr>
          <w:sz w:val="24"/>
          <w:szCs w:val="24"/>
        </w:rPr>
        <w:t>, costings</w:t>
      </w:r>
      <w:r w:rsidR="008B3196">
        <w:rPr>
          <w:sz w:val="24"/>
          <w:szCs w:val="24"/>
        </w:rPr>
        <w:t xml:space="preserve"> and deliverables (see proposal form).</w:t>
      </w:r>
    </w:p>
    <w:p w14:paraId="6D986E32" w14:textId="3C1788C9" w:rsidR="00FF765C" w:rsidRDefault="00FF765C" w:rsidP="008B31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Applications should be developed by the User organisation(s) in collabora</w:t>
      </w:r>
      <w:r w:rsidR="001A73AB">
        <w:rPr>
          <w:sz w:val="24"/>
          <w:szCs w:val="24"/>
        </w:rPr>
        <w:t>tion with the Hub Researcher(s), if they are involved in the project.</w:t>
      </w:r>
    </w:p>
    <w:p w14:paraId="6DE75B29" w14:textId="3B5A47F8" w:rsidR="00EB77A9" w:rsidRPr="00EB77A9" w:rsidRDefault="00EB77A9" w:rsidP="008B3196">
      <w:pPr>
        <w:rPr>
          <w:b/>
          <w:sz w:val="24"/>
          <w:szCs w:val="24"/>
        </w:rPr>
      </w:pPr>
      <w:r w:rsidRPr="00EB77A9">
        <w:rPr>
          <w:b/>
          <w:sz w:val="24"/>
          <w:szCs w:val="24"/>
        </w:rPr>
        <w:t>Vax-Hub membership</w:t>
      </w:r>
    </w:p>
    <w:p w14:paraId="718C7470" w14:textId="6A6D1DC7" w:rsidR="00EB77A9" w:rsidRDefault="00EB77A9" w:rsidP="00EB77A9">
      <w:pPr>
        <w:rPr>
          <w:rFonts w:ascii="CIDFont+F2" w:hAnsi="CIDFont+F2" w:cs="CIDFont+F2"/>
          <w:sz w:val="24"/>
          <w:szCs w:val="24"/>
          <w:lang w:eastAsia="en-GB"/>
        </w:rPr>
      </w:pPr>
      <w:r>
        <w:rPr>
          <w:sz w:val="24"/>
          <w:szCs w:val="24"/>
        </w:rPr>
        <w:t xml:space="preserve">Interaction Vouchers will be awarded to members of the Vax-Hub Users group only, if you are not currently a member of the Hub but would be interested in joining to access this and other Hub benefits, please contact </w:t>
      </w:r>
      <w:r w:rsidRPr="00EB77A9">
        <w:rPr>
          <w:sz w:val="24"/>
          <w:szCs w:val="24"/>
        </w:rPr>
        <w:t>Dr Naveraj Gill</w:t>
      </w:r>
      <w:r>
        <w:rPr>
          <w:sz w:val="24"/>
          <w:szCs w:val="24"/>
        </w:rPr>
        <w:t xml:space="preserve">, UCL </w:t>
      </w:r>
      <w:r w:rsidRPr="00EB77A9">
        <w:rPr>
          <w:sz w:val="24"/>
          <w:szCs w:val="24"/>
        </w:rPr>
        <w:t>Strategic Alliance Director</w:t>
      </w:r>
      <w:r>
        <w:rPr>
          <w:sz w:val="24"/>
          <w:szCs w:val="24"/>
        </w:rPr>
        <w:t xml:space="preserve"> (</w:t>
      </w:r>
      <w:hyperlink r:id="rId7" w:history="1">
        <w:r w:rsidRPr="00FE77ED">
          <w:rPr>
            <w:rStyle w:val="Hyperlink"/>
            <w:sz w:val="24"/>
            <w:szCs w:val="24"/>
          </w:rPr>
          <w:t>naveraj.gill@ucl.ac.uk</w:t>
        </w:r>
      </w:hyperlink>
      <w:r>
        <w:rPr>
          <w:sz w:val="24"/>
          <w:szCs w:val="24"/>
        </w:rPr>
        <w:t xml:space="preserve"> or 0</w:t>
      </w:r>
      <w:r w:rsidRPr="00EB77A9">
        <w:rPr>
          <w:sz w:val="24"/>
          <w:szCs w:val="24"/>
        </w:rPr>
        <w:t>203 549 5619</w:t>
      </w:r>
      <w:r>
        <w:rPr>
          <w:sz w:val="24"/>
          <w:szCs w:val="24"/>
        </w:rPr>
        <w:t xml:space="preserve">). </w:t>
      </w:r>
    </w:p>
    <w:p w14:paraId="76B4DCAB" w14:textId="6936EF9E" w:rsidR="00FF765C" w:rsidRPr="00FF765C" w:rsidRDefault="00FF765C" w:rsidP="008B3196">
      <w:pPr>
        <w:rPr>
          <w:rFonts w:ascii="CIDFont+F2" w:hAnsi="CIDFont+F2" w:cs="CIDFont+F2"/>
          <w:b/>
          <w:lang w:eastAsia="en-GB"/>
        </w:rPr>
      </w:pPr>
      <w:r w:rsidRPr="00FF765C">
        <w:rPr>
          <w:rFonts w:ascii="CIDFont+F2" w:hAnsi="CIDFont+F2" w:cs="CIDFont+F2"/>
          <w:b/>
          <w:sz w:val="24"/>
          <w:szCs w:val="24"/>
          <w:lang w:eastAsia="en-GB"/>
        </w:rPr>
        <w:t xml:space="preserve">Assessment </w:t>
      </w:r>
      <w:r>
        <w:rPr>
          <w:rFonts w:ascii="CIDFont+F2" w:hAnsi="CIDFont+F2" w:cs="CIDFont+F2"/>
          <w:b/>
          <w:sz w:val="24"/>
          <w:szCs w:val="24"/>
          <w:lang w:eastAsia="en-GB"/>
        </w:rPr>
        <w:t>Process</w:t>
      </w:r>
    </w:p>
    <w:p w14:paraId="1F59C9B7" w14:textId="5CDE933F" w:rsidR="00FF765C" w:rsidRDefault="00FF765C" w:rsidP="00D60804">
      <w:pPr>
        <w:rPr>
          <w:sz w:val="24"/>
          <w:szCs w:val="24"/>
        </w:rPr>
      </w:pPr>
      <w:r w:rsidRPr="001D7518">
        <w:rPr>
          <w:rFonts w:ascii="CIDFont+F2" w:hAnsi="CIDFont+F2" w:cs="CIDFont+F2"/>
          <w:sz w:val="24"/>
          <w:szCs w:val="24"/>
          <w:lang w:eastAsia="en-GB"/>
        </w:rPr>
        <w:t xml:space="preserve">Allocation of resource to these feasibility studies based on their potential impact will be decided by </w:t>
      </w:r>
      <w:r w:rsidR="001A73AB">
        <w:rPr>
          <w:rFonts w:ascii="CIDFont+F2" w:hAnsi="CIDFont+F2" w:cs="CIDFont+F2"/>
          <w:sz w:val="24"/>
          <w:szCs w:val="24"/>
          <w:lang w:eastAsia="en-GB"/>
        </w:rPr>
        <w:t>the Hub Management Committee.</w:t>
      </w:r>
      <w:r w:rsidR="00FF11DA">
        <w:rPr>
          <w:rFonts w:ascii="CIDFont+F2" w:hAnsi="CIDFont+F2" w:cs="CIDFont+F2"/>
          <w:sz w:val="24"/>
          <w:szCs w:val="24"/>
          <w:lang w:eastAsia="en-GB"/>
        </w:rPr>
        <w:t xml:space="preserve"> </w:t>
      </w:r>
      <w:r>
        <w:rPr>
          <w:sz w:val="24"/>
          <w:szCs w:val="24"/>
        </w:rPr>
        <w:t>Proposals will be assessed against the following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FF765C" w:rsidRPr="00820B03" w14:paraId="309331ED" w14:textId="77777777" w:rsidTr="00BF0F91">
        <w:trPr>
          <w:jc w:val="center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723F08E" w14:textId="24A39B6B" w:rsidR="00FF765C" w:rsidRPr="0053409C" w:rsidRDefault="00FF765C" w:rsidP="000D6E78">
            <w:pPr>
              <w:spacing w:before="40" w:after="0" w:line="240" w:lineRule="auto"/>
              <w:rPr>
                <w:b/>
                <w:sz w:val="24"/>
                <w:szCs w:val="24"/>
              </w:rPr>
            </w:pPr>
            <w:r w:rsidRPr="0053409C">
              <w:rPr>
                <w:b/>
                <w:sz w:val="24"/>
                <w:szCs w:val="24"/>
              </w:rPr>
              <w:t>Eligibility questions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F765C">
              <w:rPr>
                <w:i/>
                <w:sz w:val="24"/>
                <w:szCs w:val="24"/>
              </w:rPr>
              <w:t>(yes or no)</w:t>
            </w:r>
          </w:p>
        </w:tc>
      </w:tr>
      <w:tr w:rsidR="00FF765C" w:rsidRPr="00820B03" w14:paraId="48899B20" w14:textId="77777777" w:rsidTr="00BF0F91">
        <w:trPr>
          <w:jc w:val="center"/>
        </w:trPr>
        <w:tc>
          <w:tcPr>
            <w:tcW w:w="9447" w:type="dxa"/>
            <w:tcBorders>
              <w:top w:val="single" w:sz="4" w:space="0" w:color="auto"/>
            </w:tcBorders>
            <w:shd w:val="pct5" w:color="auto" w:fill="auto"/>
          </w:tcPr>
          <w:p w14:paraId="069FB2C1" w14:textId="76AE454C" w:rsidR="00FF765C" w:rsidRPr="00820B03" w:rsidRDefault="00FF765C" w:rsidP="000D6E78">
            <w:pPr>
              <w:spacing w:beforeLines="40" w:before="96" w:after="0" w:line="240" w:lineRule="auto"/>
              <w:rPr>
                <w:b/>
                <w:sz w:val="24"/>
                <w:szCs w:val="24"/>
              </w:rPr>
            </w:pPr>
            <w:r w:rsidRPr="00820B03">
              <w:rPr>
                <w:b/>
                <w:sz w:val="24"/>
                <w:szCs w:val="24"/>
              </w:rPr>
              <w:t>Is the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73AB">
              <w:rPr>
                <w:b/>
                <w:sz w:val="24"/>
                <w:szCs w:val="24"/>
              </w:rPr>
              <w:t>proposed project and application within the scope of the Vax-Hub?</w:t>
            </w:r>
          </w:p>
          <w:p w14:paraId="379937FB" w14:textId="780C1FEC" w:rsidR="00FF765C" w:rsidRPr="00820B03" w:rsidRDefault="00BF0F91" w:rsidP="00BF0F91">
            <w:pPr>
              <w:spacing w:beforeLines="40" w:before="96" w:after="0" w:line="240" w:lineRule="auto"/>
              <w:ind w:left="-20" w:firstLine="20"/>
              <w:rPr>
                <w:sz w:val="24"/>
                <w:szCs w:val="24"/>
              </w:rPr>
            </w:pPr>
            <w:r w:rsidRPr="0078217D">
              <w:rPr>
                <w:sz w:val="24"/>
                <w:szCs w:val="24"/>
              </w:rPr>
              <w:t xml:space="preserve">Prompt: Is there a statement describing </w:t>
            </w:r>
            <w:r>
              <w:rPr>
                <w:sz w:val="24"/>
                <w:szCs w:val="24"/>
              </w:rPr>
              <w:t>the relevance to one of three Vax-Hub technologies?</w:t>
            </w:r>
          </w:p>
        </w:tc>
      </w:tr>
      <w:tr w:rsidR="00FF765C" w:rsidRPr="00820B03" w14:paraId="4A5512DD" w14:textId="77777777" w:rsidTr="00BF0F91">
        <w:trPr>
          <w:jc w:val="center"/>
        </w:trPr>
        <w:tc>
          <w:tcPr>
            <w:tcW w:w="9447" w:type="dxa"/>
            <w:tcBorders>
              <w:bottom w:val="single" w:sz="4" w:space="0" w:color="auto"/>
            </w:tcBorders>
            <w:shd w:val="pct5" w:color="auto" w:fill="auto"/>
          </w:tcPr>
          <w:p w14:paraId="6405C009" w14:textId="4ED195C3" w:rsidR="00FF11DA" w:rsidRDefault="001A73AB" w:rsidP="00FF11DA">
            <w:pPr>
              <w:spacing w:beforeLines="40" w:before="96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the project deliverables and outputs clearly of benefit to LMIC and</w:t>
            </w:r>
            <w:r w:rsidR="00BF0F91">
              <w:rPr>
                <w:b/>
                <w:sz w:val="24"/>
                <w:szCs w:val="24"/>
              </w:rPr>
              <w:t xml:space="preserve"> relevant to a low income settings?</w:t>
            </w:r>
          </w:p>
          <w:p w14:paraId="4E128EC9" w14:textId="786F620A" w:rsidR="00FF765C" w:rsidRPr="00AC0913" w:rsidRDefault="00FF765C" w:rsidP="00BF0F91">
            <w:pPr>
              <w:spacing w:beforeLines="40" w:before="96" w:after="0" w:line="240" w:lineRule="auto"/>
              <w:rPr>
                <w:sz w:val="24"/>
                <w:szCs w:val="24"/>
              </w:rPr>
            </w:pPr>
            <w:r w:rsidRPr="0078217D">
              <w:rPr>
                <w:sz w:val="24"/>
                <w:szCs w:val="24"/>
              </w:rPr>
              <w:t xml:space="preserve">Prompt: Is there a user statement describing the benefit for </w:t>
            </w:r>
            <w:r w:rsidR="00BF0F91">
              <w:rPr>
                <w:sz w:val="24"/>
                <w:szCs w:val="24"/>
              </w:rPr>
              <w:t>LMIC</w:t>
            </w:r>
          </w:p>
        </w:tc>
      </w:tr>
      <w:tr w:rsidR="00FF765C" w:rsidRPr="00820B03" w14:paraId="6047E134" w14:textId="77777777" w:rsidTr="00BF0F91">
        <w:trPr>
          <w:jc w:val="center"/>
        </w:trPr>
        <w:tc>
          <w:tcPr>
            <w:tcW w:w="9447" w:type="dxa"/>
            <w:tcBorders>
              <w:bottom w:val="single" w:sz="4" w:space="0" w:color="auto"/>
            </w:tcBorders>
            <w:shd w:val="pct25" w:color="auto" w:fill="auto"/>
          </w:tcPr>
          <w:p w14:paraId="35F122BF" w14:textId="147DE4F0" w:rsidR="00FF765C" w:rsidRPr="00820B03" w:rsidRDefault="00FF765C" w:rsidP="00FF765C">
            <w:pPr>
              <w:spacing w:before="40" w:after="0" w:line="240" w:lineRule="auto"/>
              <w:rPr>
                <w:b/>
                <w:sz w:val="24"/>
                <w:szCs w:val="24"/>
              </w:rPr>
            </w:pPr>
            <w:r w:rsidRPr="00820B03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>s criteria</w:t>
            </w:r>
            <w:r w:rsidRPr="00820B03">
              <w:rPr>
                <w:b/>
                <w:sz w:val="24"/>
                <w:szCs w:val="24"/>
              </w:rPr>
              <w:t xml:space="preserve"> </w:t>
            </w:r>
            <w:r w:rsidRPr="00820B03">
              <w:rPr>
                <w:sz w:val="24"/>
                <w:szCs w:val="24"/>
              </w:rPr>
              <w:t xml:space="preserve"> </w:t>
            </w:r>
            <w:r w:rsidRPr="00FF765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scores</w:t>
            </w:r>
            <w:r w:rsidRPr="00FF765C">
              <w:rPr>
                <w:i/>
                <w:sz w:val="24"/>
                <w:szCs w:val="24"/>
              </w:rPr>
              <w:t xml:space="preserve"> given for each of the questions below)</w:t>
            </w:r>
          </w:p>
        </w:tc>
      </w:tr>
      <w:tr w:rsidR="00FF765C" w:rsidRPr="00820B03" w14:paraId="5520FC16" w14:textId="77777777" w:rsidTr="00BF0F91">
        <w:trPr>
          <w:jc w:val="center"/>
        </w:trPr>
        <w:tc>
          <w:tcPr>
            <w:tcW w:w="9447" w:type="dxa"/>
            <w:shd w:val="pct5" w:color="auto" w:fill="auto"/>
          </w:tcPr>
          <w:p w14:paraId="173C6F3A" w14:textId="3E00CACE" w:rsidR="00FF11DA" w:rsidRDefault="00FF765C" w:rsidP="00FF11DA">
            <w:pPr>
              <w:spacing w:beforeLines="40" w:before="96" w:after="0" w:line="240" w:lineRule="auto"/>
              <w:rPr>
                <w:b/>
                <w:sz w:val="24"/>
                <w:szCs w:val="24"/>
              </w:rPr>
            </w:pPr>
            <w:r w:rsidRPr="00820B03">
              <w:rPr>
                <w:b/>
                <w:sz w:val="24"/>
                <w:szCs w:val="24"/>
              </w:rPr>
              <w:t xml:space="preserve">Does the proposed </w:t>
            </w:r>
            <w:r w:rsidR="00BF0F91">
              <w:rPr>
                <w:b/>
                <w:sz w:val="24"/>
                <w:szCs w:val="24"/>
              </w:rPr>
              <w:t>project</w:t>
            </w:r>
            <w:r w:rsidRPr="00820B03">
              <w:rPr>
                <w:b/>
                <w:sz w:val="24"/>
                <w:szCs w:val="24"/>
              </w:rPr>
              <w:t xml:space="preserve"> have a realistic plan with clear assessable </w:t>
            </w:r>
            <w:r w:rsidRPr="00C113D8">
              <w:rPr>
                <w:b/>
                <w:sz w:val="24"/>
                <w:szCs w:val="24"/>
              </w:rPr>
              <w:t>deliverables and endpoints?</w:t>
            </w:r>
          </w:p>
          <w:p w14:paraId="1BBD5987" w14:textId="0483C975" w:rsidR="00FF765C" w:rsidRPr="00820B03" w:rsidRDefault="00FF765C" w:rsidP="00FF11DA">
            <w:pPr>
              <w:spacing w:beforeLines="40" w:before="96" w:after="0" w:line="240" w:lineRule="auto"/>
              <w:rPr>
                <w:sz w:val="24"/>
                <w:szCs w:val="24"/>
              </w:rPr>
            </w:pPr>
            <w:r w:rsidRPr="00C113D8">
              <w:rPr>
                <w:sz w:val="24"/>
                <w:szCs w:val="24"/>
              </w:rPr>
              <w:t>Prompts: scope, activities, milestones</w:t>
            </w:r>
            <w:r w:rsidRPr="00820B03">
              <w:rPr>
                <w:sz w:val="24"/>
                <w:szCs w:val="24"/>
              </w:rPr>
              <w:t xml:space="preserve"> and endpoint clearly described</w:t>
            </w:r>
            <w:r>
              <w:rPr>
                <w:sz w:val="24"/>
                <w:szCs w:val="24"/>
              </w:rPr>
              <w:t>? Can s</w:t>
            </w:r>
            <w:r w:rsidRPr="00820B03">
              <w:rPr>
                <w:sz w:val="24"/>
                <w:szCs w:val="24"/>
              </w:rPr>
              <w:t>uccess or failure be assessed</w:t>
            </w:r>
            <w:r>
              <w:rPr>
                <w:sz w:val="24"/>
                <w:szCs w:val="24"/>
              </w:rPr>
              <w:t>?</w:t>
            </w:r>
          </w:p>
        </w:tc>
      </w:tr>
      <w:tr w:rsidR="00FF765C" w:rsidRPr="00820B03" w14:paraId="6FA84252" w14:textId="77777777" w:rsidTr="00BF0F91">
        <w:trPr>
          <w:jc w:val="center"/>
        </w:trPr>
        <w:tc>
          <w:tcPr>
            <w:tcW w:w="9447" w:type="dxa"/>
            <w:shd w:val="pct5" w:color="auto" w:fill="auto"/>
          </w:tcPr>
          <w:p w14:paraId="4ED4489F" w14:textId="77777777" w:rsidR="00FF11DA" w:rsidRDefault="00FF765C" w:rsidP="00FF11DA">
            <w:pPr>
              <w:spacing w:beforeLines="40" w:before="96" w:after="0" w:line="240" w:lineRule="auto"/>
              <w:rPr>
                <w:b/>
                <w:sz w:val="24"/>
                <w:szCs w:val="24"/>
              </w:rPr>
            </w:pPr>
            <w:r w:rsidRPr="00820B03">
              <w:rPr>
                <w:b/>
                <w:sz w:val="24"/>
                <w:szCs w:val="24"/>
              </w:rPr>
              <w:t xml:space="preserve">Is there </w:t>
            </w:r>
            <w:r>
              <w:rPr>
                <w:b/>
                <w:sz w:val="24"/>
                <w:szCs w:val="24"/>
              </w:rPr>
              <w:t xml:space="preserve">a </w:t>
            </w:r>
            <w:r w:rsidRPr="00820B03">
              <w:rPr>
                <w:b/>
                <w:sz w:val="24"/>
                <w:szCs w:val="24"/>
              </w:rPr>
              <w:t>clear commitment from the user partner</w:t>
            </w:r>
            <w:r>
              <w:rPr>
                <w:b/>
                <w:sz w:val="24"/>
                <w:szCs w:val="24"/>
              </w:rPr>
              <w:t>?</w:t>
            </w:r>
            <w:r w:rsidR="00FF11DA">
              <w:rPr>
                <w:b/>
                <w:sz w:val="24"/>
                <w:szCs w:val="24"/>
              </w:rPr>
              <w:t xml:space="preserve"> </w:t>
            </w:r>
          </w:p>
          <w:p w14:paraId="7EC2D9F3" w14:textId="4BF94E96" w:rsidR="00FF765C" w:rsidRDefault="00FF765C" w:rsidP="00FF11DA">
            <w:pPr>
              <w:spacing w:beforeLines="40" w:before="96" w:after="0" w:line="240" w:lineRule="auto"/>
              <w:rPr>
                <w:sz w:val="24"/>
                <w:szCs w:val="24"/>
              </w:rPr>
            </w:pPr>
            <w:r w:rsidRPr="00820B03">
              <w:rPr>
                <w:sz w:val="24"/>
                <w:szCs w:val="24"/>
              </w:rPr>
              <w:t>Prompt</w:t>
            </w:r>
            <w:r w:rsidR="00582F23">
              <w:rPr>
                <w:sz w:val="24"/>
                <w:szCs w:val="24"/>
              </w:rPr>
              <w:t>s</w:t>
            </w:r>
            <w:r w:rsidRPr="00820B03">
              <w:rPr>
                <w:sz w:val="24"/>
                <w:szCs w:val="24"/>
              </w:rPr>
              <w:t>: Are there named contacts/supervisor(s) at user, with involvement stated</w:t>
            </w:r>
            <w:r>
              <w:rPr>
                <w:sz w:val="24"/>
                <w:szCs w:val="24"/>
              </w:rPr>
              <w:t>?</w:t>
            </w:r>
          </w:p>
          <w:p w14:paraId="2B4C7FAD" w14:textId="293439A8" w:rsidR="0013131C" w:rsidRPr="001B43E6" w:rsidRDefault="0013131C" w:rsidP="00582F23">
            <w:pPr>
              <w:rPr>
                <w:sz w:val="24"/>
                <w:szCs w:val="24"/>
              </w:rPr>
            </w:pPr>
            <w:r w:rsidRPr="001B43E6">
              <w:rPr>
                <w:sz w:val="24"/>
                <w:szCs w:val="24"/>
              </w:rPr>
              <w:t>Are there resource commitments? for example access to data is regarded as a tangible benefit</w:t>
            </w:r>
          </w:p>
        </w:tc>
      </w:tr>
      <w:tr w:rsidR="00FF765C" w:rsidRPr="00820B03" w14:paraId="6CA13033" w14:textId="77777777" w:rsidTr="00BF0F91">
        <w:trPr>
          <w:jc w:val="center"/>
        </w:trPr>
        <w:tc>
          <w:tcPr>
            <w:tcW w:w="9447" w:type="dxa"/>
            <w:shd w:val="pct5" w:color="auto" w:fill="auto"/>
          </w:tcPr>
          <w:p w14:paraId="40C811CC" w14:textId="77777777" w:rsidR="00FF11DA" w:rsidRDefault="00FF765C" w:rsidP="00FF11DA">
            <w:pPr>
              <w:spacing w:beforeLines="40" w:before="96" w:after="0" w:line="240" w:lineRule="auto"/>
              <w:rPr>
                <w:b/>
                <w:sz w:val="24"/>
                <w:szCs w:val="24"/>
              </w:rPr>
            </w:pPr>
            <w:r w:rsidRPr="00820B03">
              <w:rPr>
                <w:b/>
                <w:sz w:val="24"/>
                <w:szCs w:val="24"/>
              </w:rPr>
              <w:t xml:space="preserve">Is there a clear plan to take </w:t>
            </w:r>
            <w:r>
              <w:rPr>
                <w:b/>
                <w:sz w:val="24"/>
                <w:szCs w:val="24"/>
              </w:rPr>
              <w:t xml:space="preserve">the technology/approach </w:t>
            </w:r>
            <w:r w:rsidRPr="00820B03">
              <w:rPr>
                <w:b/>
                <w:sz w:val="24"/>
                <w:szCs w:val="24"/>
              </w:rPr>
              <w:t>forward after</w:t>
            </w:r>
            <w:r>
              <w:rPr>
                <w:b/>
                <w:sz w:val="24"/>
                <w:szCs w:val="24"/>
              </w:rPr>
              <w:t>wards</w:t>
            </w:r>
            <w:r w:rsidRPr="00820B03">
              <w:rPr>
                <w:b/>
                <w:sz w:val="24"/>
                <w:szCs w:val="24"/>
              </w:rPr>
              <w:t>, including seeking additional funding</w:t>
            </w:r>
            <w:r>
              <w:rPr>
                <w:b/>
                <w:sz w:val="24"/>
                <w:szCs w:val="24"/>
              </w:rPr>
              <w:t>?</w:t>
            </w:r>
          </w:p>
          <w:p w14:paraId="69B5A074" w14:textId="565F8D2F" w:rsidR="00FF765C" w:rsidRPr="00820B03" w:rsidRDefault="00FF765C" w:rsidP="00FF11DA">
            <w:pPr>
              <w:spacing w:beforeLines="40" w:before="96" w:after="0" w:line="240" w:lineRule="auto"/>
              <w:rPr>
                <w:sz w:val="24"/>
                <w:szCs w:val="24"/>
              </w:rPr>
            </w:pPr>
            <w:r w:rsidRPr="00820B03">
              <w:rPr>
                <w:sz w:val="24"/>
                <w:szCs w:val="24"/>
              </w:rPr>
              <w:t>Prompts: is the pathway to adoption and application</w:t>
            </w:r>
            <w:r>
              <w:rPr>
                <w:sz w:val="24"/>
                <w:szCs w:val="24"/>
              </w:rPr>
              <w:t xml:space="preserve"> set out?</w:t>
            </w:r>
            <w:r w:rsidRPr="00820B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820B03">
              <w:rPr>
                <w:sz w:val="24"/>
                <w:szCs w:val="24"/>
              </w:rPr>
              <w:t>oes it have sensible</w:t>
            </w:r>
            <w:r>
              <w:rPr>
                <w:sz w:val="24"/>
                <w:szCs w:val="24"/>
              </w:rPr>
              <w:t xml:space="preserve"> milestones and</w:t>
            </w:r>
            <w:r w:rsidRPr="00820B03">
              <w:rPr>
                <w:sz w:val="24"/>
                <w:szCs w:val="24"/>
              </w:rPr>
              <w:t xml:space="preserve"> timelines</w:t>
            </w:r>
            <w:r>
              <w:rPr>
                <w:sz w:val="24"/>
                <w:szCs w:val="24"/>
              </w:rPr>
              <w:t>?</w:t>
            </w:r>
            <w:r w:rsidRPr="00820B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 w:rsidRPr="00820B03">
              <w:rPr>
                <w:sz w:val="24"/>
                <w:szCs w:val="24"/>
              </w:rPr>
              <w:t>ave potential funding routes been considered</w:t>
            </w:r>
            <w:r>
              <w:rPr>
                <w:sz w:val="24"/>
                <w:szCs w:val="24"/>
              </w:rPr>
              <w:t>?</w:t>
            </w:r>
          </w:p>
        </w:tc>
      </w:tr>
      <w:tr w:rsidR="00FF765C" w:rsidRPr="00820B03" w14:paraId="45980A67" w14:textId="77777777" w:rsidTr="00BF0F91">
        <w:trPr>
          <w:jc w:val="center"/>
        </w:trPr>
        <w:tc>
          <w:tcPr>
            <w:tcW w:w="9447" w:type="dxa"/>
            <w:shd w:val="pct5" w:color="auto" w:fill="auto"/>
          </w:tcPr>
          <w:p w14:paraId="2AB82841" w14:textId="6B287E72" w:rsidR="00FF11DA" w:rsidRDefault="00FF765C" w:rsidP="00FF11DA">
            <w:pPr>
              <w:spacing w:beforeLines="40" w:before="96" w:after="120" w:line="240" w:lineRule="auto"/>
              <w:rPr>
                <w:b/>
                <w:sz w:val="24"/>
                <w:szCs w:val="24"/>
              </w:rPr>
            </w:pPr>
            <w:r w:rsidRPr="00820B03">
              <w:rPr>
                <w:b/>
                <w:sz w:val="24"/>
                <w:szCs w:val="24"/>
              </w:rPr>
              <w:t xml:space="preserve">If successful, </w:t>
            </w:r>
            <w:r>
              <w:rPr>
                <w:b/>
                <w:sz w:val="24"/>
                <w:szCs w:val="24"/>
              </w:rPr>
              <w:t>does</w:t>
            </w:r>
            <w:r w:rsidRPr="00820B03">
              <w:rPr>
                <w:b/>
                <w:sz w:val="24"/>
                <w:szCs w:val="24"/>
              </w:rPr>
              <w:t xml:space="preserve"> this technology</w:t>
            </w:r>
            <w:r>
              <w:rPr>
                <w:b/>
                <w:sz w:val="24"/>
                <w:szCs w:val="24"/>
              </w:rPr>
              <w:t>/approach have the potential to</w:t>
            </w:r>
            <w:r w:rsidRPr="00820B03">
              <w:rPr>
                <w:b/>
                <w:sz w:val="24"/>
                <w:szCs w:val="24"/>
              </w:rPr>
              <w:t xml:space="preserve"> deliver real benefits to users</w:t>
            </w:r>
            <w:r w:rsidR="00BF0F91">
              <w:rPr>
                <w:b/>
                <w:sz w:val="24"/>
                <w:szCs w:val="24"/>
              </w:rPr>
              <w:t xml:space="preserve"> (including building long-term relationship)?</w:t>
            </w:r>
          </w:p>
          <w:p w14:paraId="77544C4F" w14:textId="0B87C691" w:rsidR="00FF765C" w:rsidRPr="00FF11DA" w:rsidRDefault="00FF765C" w:rsidP="00BF0F91">
            <w:pPr>
              <w:spacing w:beforeLines="40" w:before="96" w:after="120" w:line="240" w:lineRule="auto"/>
              <w:rPr>
                <w:b/>
                <w:sz w:val="24"/>
                <w:szCs w:val="24"/>
              </w:rPr>
            </w:pPr>
            <w:r w:rsidRPr="00820B03">
              <w:rPr>
                <w:sz w:val="24"/>
                <w:szCs w:val="24"/>
              </w:rPr>
              <w:t>Prompts:</w:t>
            </w:r>
            <w:r>
              <w:rPr>
                <w:sz w:val="24"/>
                <w:szCs w:val="24"/>
              </w:rPr>
              <w:t xml:space="preserve"> Potential breadth of application, scale of impact for users </w:t>
            </w:r>
          </w:p>
        </w:tc>
      </w:tr>
    </w:tbl>
    <w:p w14:paraId="5394BD38" w14:textId="125FD12D" w:rsidR="00582F23" w:rsidRDefault="00582F23" w:rsidP="008B3196">
      <w:pPr>
        <w:rPr>
          <w:b/>
          <w:sz w:val="24"/>
          <w:szCs w:val="24"/>
        </w:rPr>
      </w:pPr>
    </w:p>
    <w:p w14:paraId="00E8638C" w14:textId="6E3FAE2D" w:rsidR="00096705" w:rsidRDefault="00096705" w:rsidP="008B3196">
      <w:pPr>
        <w:rPr>
          <w:b/>
          <w:sz w:val="24"/>
          <w:szCs w:val="24"/>
        </w:rPr>
      </w:pPr>
    </w:p>
    <w:p w14:paraId="1C09D6A8" w14:textId="77777777" w:rsidR="00096705" w:rsidRDefault="00096705" w:rsidP="008B3196">
      <w:pPr>
        <w:rPr>
          <w:b/>
          <w:sz w:val="24"/>
          <w:szCs w:val="24"/>
        </w:rPr>
      </w:pPr>
    </w:p>
    <w:p w14:paraId="292A1425" w14:textId="45C7B1E0" w:rsidR="008B3196" w:rsidRPr="00D60804" w:rsidRDefault="001E3281" w:rsidP="008B3196">
      <w:pPr>
        <w:rPr>
          <w:b/>
          <w:sz w:val="24"/>
          <w:szCs w:val="24"/>
        </w:rPr>
      </w:pPr>
      <w:r w:rsidRPr="00C57AD0">
        <w:rPr>
          <w:b/>
          <w:sz w:val="24"/>
          <w:szCs w:val="24"/>
        </w:rPr>
        <w:lastRenderedPageBreak/>
        <w:t xml:space="preserve">Key </w:t>
      </w:r>
      <w:r w:rsidR="008B3196" w:rsidRPr="00C57AD0">
        <w:rPr>
          <w:b/>
          <w:sz w:val="24"/>
          <w:szCs w:val="24"/>
        </w:rPr>
        <w:t>Dates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4"/>
        <w:gridCol w:w="2377"/>
      </w:tblGrid>
      <w:tr w:rsidR="001A0B10" w:rsidRPr="00806131" w14:paraId="38C44FAF" w14:textId="77777777" w:rsidTr="00806131">
        <w:trPr>
          <w:trHeight w:val="369"/>
          <w:jc w:val="center"/>
        </w:trPr>
        <w:tc>
          <w:tcPr>
            <w:tcW w:w="4564" w:type="dxa"/>
            <w:vAlign w:val="center"/>
          </w:tcPr>
          <w:p w14:paraId="4D5307CF" w14:textId="6D656C53" w:rsidR="001A0B10" w:rsidRPr="00806131" w:rsidRDefault="001A0B10" w:rsidP="008A1AA8">
            <w:pPr>
              <w:rPr>
                <w:b/>
              </w:rPr>
            </w:pPr>
            <w:r w:rsidRPr="00806131">
              <w:rPr>
                <w:b/>
              </w:rPr>
              <w:t>Activity</w:t>
            </w:r>
          </w:p>
        </w:tc>
        <w:tc>
          <w:tcPr>
            <w:tcW w:w="2377" w:type="dxa"/>
            <w:vAlign w:val="center"/>
          </w:tcPr>
          <w:p w14:paraId="055F6C24" w14:textId="66F99E0B" w:rsidR="001A0B10" w:rsidRPr="00806131" w:rsidRDefault="001A0B10" w:rsidP="008A1AA8">
            <w:pPr>
              <w:rPr>
                <w:b/>
              </w:rPr>
            </w:pPr>
            <w:r w:rsidRPr="00806131">
              <w:rPr>
                <w:b/>
              </w:rPr>
              <w:t>Date</w:t>
            </w:r>
          </w:p>
        </w:tc>
      </w:tr>
      <w:tr w:rsidR="001A0B10" w:rsidRPr="00806131" w14:paraId="56BB7531" w14:textId="77777777" w:rsidTr="00806131">
        <w:trPr>
          <w:trHeight w:val="369"/>
          <w:jc w:val="center"/>
        </w:trPr>
        <w:tc>
          <w:tcPr>
            <w:tcW w:w="4564" w:type="dxa"/>
            <w:vAlign w:val="center"/>
          </w:tcPr>
          <w:p w14:paraId="5E31C5AA" w14:textId="1BECF62C" w:rsidR="001A0B10" w:rsidRPr="00806131" w:rsidRDefault="001A0B10" w:rsidP="00326A79">
            <w:r w:rsidRPr="00806131">
              <w:t xml:space="preserve">Submission </w:t>
            </w:r>
            <w:r w:rsidR="00326A79" w:rsidRPr="00806131">
              <w:t>d</w:t>
            </w:r>
            <w:r w:rsidRPr="00806131">
              <w:t xml:space="preserve">eadline for </w:t>
            </w:r>
            <w:r w:rsidR="00326A79" w:rsidRPr="00806131">
              <w:t>p</w:t>
            </w:r>
            <w:r w:rsidRPr="00806131">
              <w:t>roposal</w:t>
            </w:r>
            <w:r w:rsidR="00326A79" w:rsidRPr="00806131">
              <w:t>s</w:t>
            </w:r>
          </w:p>
        </w:tc>
        <w:tc>
          <w:tcPr>
            <w:tcW w:w="2377" w:type="dxa"/>
            <w:vAlign w:val="center"/>
          </w:tcPr>
          <w:p w14:paraId="3678E379" w14:textId="473A7C79" w:rsidR="001A0B10" w:rsidRPr="00806131" w:rsidRDefault="00C8688F" w:rsidP="00806131">
            <w:r>
              <w:t xml:space="preserve">9 </w:t>
            </w:r>
            <w:bookmarkStart w:id="0" w:name="_GoBack"/>
            <w:bookmarkEnd w:id="0"/>
            <w:r>
              <w:t xml:space="preserve">December </w:t>
            </w:r>
            <w:r w:rsidR="001A0B10" w:rsidRPr="00806131">
              <w:t>201</w:t>
            </w:r>
            <w:r w:rsidR="009A4EA4" w:rsidRPr="00806131">
              <w:t>9</w:t>
            </w:r>
          </w:p>
        </w:tc>
      </w:tr>
      <w:tr w:rsidR="00C8688F" w:rsidRPr="00806131" w14:paraId="1133E027" w14:textId="77777777" w:rsidTr="00806131">
        <w:trPr>
          <w:trHeight w:val="369"/>
          <w:jc w:val="center"/>
        </w:trPr>
        <w:tc>
          <w:tcPr>
            <w:tcW w:w="4564" w:type="dxa"/>
            <w:vAlign w:val="center"/>
          </w:tcPr>
          <w:p w14:paraId="708BC9A4" w14:textId="061C52AB" w:rsidR="00C8688F" w:rsidRPr="00806131" w:rsidRDefault="00C8688F" w:rsidP="00C8688F">
            <w:r w:rsidRPr="00806131">
              <w:t>Review by Hub Management Committee</w:t>
            </w:r>
          </w:p>
        </w:tc>
        <w:tc>
          <w:tcPr>
            <w:tcW w:w="2377" w:type="dxa"/>
            <w:vAlign w:val="center"/>
          </w:tcPr>
          <w:p w14:paraId="3DC3878C" w14:textId="6C262124" w:rsidR="00C8688F" w:rsidRPr="00806131" w:rsidRDefault="00C8688F" w:rsidP="00C8688F">
            <w:r w:rsidRPr="00806131">
              <w:t>Early January 2020</w:t>
            </w:r>
          </w:p>
        </w:tc>
      </w:tr>
      <w:tr w:rsidR="00C8688F" w:rsidRPr="00806131" w14:paraId="41A9A81C" w14:textId="77777777" w:rsidTr="00806131">
        <w:trPr>
          <w:trHeight w:val="369"/>
          <w:jc w:val="center"/>
        </w:trPr>
        <w:tc>
          <w:tcPr>
            <w:tcW w:w="4564" w:type="dxa"/>
            <w:vAlign w:val="center"/>
          </w:tcPr>
          <w:p w14:paraId="7BEC46AF" w14:textId="236F5DA5" w:rsidR="00C8688F" w:rsidRPr="00806131" w:rsidRDefault="00C8688F" w:rsidP="00C8688F">
            <w:r w:rsidRPr="00806131">
              <w:t>Review of decisions by Advisory Board</w:t>
            </w:r>
          </w:p>
        </w:tc>
        <w:tc>
          <w:tcPr>
            <w:tcW w:w="2377" w:type="dxa"/>
            <w:vAlign w:val="center"/>
          </w:tcPr>
          <w:p w14:paraId="3260ABC0" w14:textId="0DD246DC" w:rsidR="00C8688F" w:rsidRPr="00806131" w:rsidRDefault="00C8688F" w:rsidP="00C8688F">
            <w:r w:rsidRPr="00806131">
              <w:t>January 2020</w:t>
            </w:r>
          </w:p>
        </w:tc>
      </w:tr>
      <w:tr w:rsidR="00C8688F" w:rsidRPr="00806131" w14:paraId="0B475351" w14:textId="77777777" w:rsidTr="00806131">
        <w:trPr>
          <w:trHeight w:val="369"/>
          <w:jc w:val="center"/>
        </w:trPr>
        <w:tc>
          <w:tcPr>
            <w:tcW w:w="4564" w:type="dxa"/>
            <w:vAlign w:val="center"/>
          </w:tcPr>
          <w:p w14:paraId="0E2AE6ED" w14:textId="1E13F810" w:rsidR="00C8688F" w:rsidRPr="00806131" w:rsidRDefault="00C8688F" w:rsidP="00C8688F">
            <w:r w:rsidRPr="00806131">
              <w:t>Announcement of successful proposals</w:t>
            </w:r>
          </w:p>
        </w:tc>
        <w:tc>
          <w:tcPr>
            <w:tcW w:w="2377" w:type="dxa"/>
            <w:vAlign w:val="center"/>
          </w:tcPr>
          <w:p w14:paraId="1EE9D2C3" w14:textId="56F5253C" w:rsidR="00C8688F" w:rsidRPr="00806131" w:rsidRDefault="00C8688F" w:rsidP="00C8688F">
            <w:r w:rsidRPr="00806131">
              <w:t>January 2020</w:t>
            </w:r>
          </w:p>
        </w:tc>
      </w:tr>
      <w:tr w:rsidR="00C8688F" w14:paraId="3E20D1A7" w14:textId="77777777" w:rsidTr="00806131">
        <w:trPr>
          <w:trHeight w:val="369"/>
          <w:jc w:val="center"/>
        </w:trPr>
        <w:tc>
          <w:tcPr>
            <w:tcW w:w="4564" w:type="dxa"/>
            <w:vAlign w:val="center"/>
          </w:tcPr>
          <w:p w14:paraId="4A54010C" w14:textId="01A491E0" w:rsidR="00C8688F" w:rsidRPr="00806131" w:rsidRDefault="00C8688F" w:rsidP="00C8688F">
            <w:r w:rsidRPr="00806131">
              <w:t>Earliest project start dates</w:t>
            </w:r>
          </w:p>
        </w:tc>
        <w:tc>
          <w:tcPr>
            <w:tcW w:w="2377" w:type="dxa"/>
            <w:vAlign w:val="center"/>
          </w:tcPr>
          <w:p w14:paraId="13B91329" w14:textId="15A25B4C" w:rsidR="00C8688F" w:rsidRDefault="00C8688F" w:rsidP="00C8688F">
            <w:r w:rsidRPr="00806131">
              <w:t>March 2020</w:t>
            </w:r>
          </w:p>
        </w:tc>
      </w:tr>
    </w:tbl>
    <w:p w14:paraId="30716434" w14:textId="77777777" w:rsidR="00EB77A9" w:rsidRDefault="00EB77A9" w:rsidP="001E3281">
      <w:pPr>
        <w:rPr>
          <w:b/>
          <w:sz w:val="24"/>
          <w:szCs w:val="24"/>
        </w:rPr>
      </w:pPr>
    </w:p>
    <w:p w14:paraId="534A4BEE" w14:textId="4F2DF088" w:rsidR="001E3281" w:rsidRDefault="001E3281" w:rsidP="001E3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Examples of </w:t>
      </w:r>
      <w:r w:rsidR="007C24FB">
        <w:rPr>
          <w:b/>
          <w:sz w:val="24"/>
          <w:szCs w:val="24"/>
        </w:rPr>
        <w:t>Interaction Vouchers</w:t>
      </w:r>
      <w:r w:rsidR="00DF0FDE">
        <w:rPr>
          <w:b/>
          <w:sz w:val="24"/>
          <w:szCs w:val="24"/>
        </w:rPr>
        <w:t xml:space="preserve"> projects</w:t>
      </w:r>
    </w:p>
    <w:p w14:paraId="64F8E5B5" w14:textId="7CE6D468" w:rsidR="002A311F" w:rsidRPr="002A311F" w:rsidRDefault="007C24FB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Collaborative development of training material and course on GMP and regulatory background</w:t>
      </w:r>
    </w:p>
    <w:p w14:paraId="31DF7785" w14:textId="3EE710BA" w:rsidR="002A311F" w:rsidRDefault="007C24FB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Development of analytics for conjugate vaccine platform</w:t>
      </w:r>
    </w:p>
    <w:p w14:paraId="4179745B" w14:textId="0DE1F541" w:rsidR="007C24FB" w:rsidRDefault="007C24FB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Technology testing from equipment provider’s users</w:t>
      </w:r>
    </w:p>
    <w:p w14:paraId="308A6F51" w14:textId="78141FCB" w:rsidR="007C24FB" w:rsidRDefault="00DF0FDE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Consultancy from partner company on application of new technologies</w:t>
      </w:r>
    </w:p>
    <w:p w14:paraId="3714AB21" w14:textId="646680DD" w:rsidR="00DF0FDE" w:rsidRDefault="00DF0FDE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Cost-benefit analysis of introduction of new technology/process step</w:t>
      </w:r>
    </w:p>
    <w:p w14:paraId="4B6A9D10" w14:textId="41A03F57" w:rsidR="00DF0FDE" w:rsidRDefault="00DF0FDE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Platform analytics assessment for VLPs</w:t>
      </w:r>
    </w:p>
    <w:p w14:paraId="0EE661EC" w14:textId="1A5D3BB2" w:rsidR="003B56A0" w:rsidRPr="002A311F" w:rsidRDefault="003B56A0" w:rsidP="002A3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Collaborative organization of event at partner’s site aimed at widening knowledge base of LMIC stakeholder</w:t>
      </w:r>
    </w:p>
    <w:p w14:paraId="45ED2777" w14:textId="77777777" w:rsidR="0087046C" w:rsidRPr="004063F9" w:rsidRDefault="0087046C" w:rsidP="001E3281"/>
    <w:sectPr w:rsidR="0087046C" w:rsidRPr="004063F9" w:rsidSect="001A73AB">
      <w:headerReference w:type="default" r:id="rId8"/>
      <w:footerReference w:type="default" r:id="rId9"/>
      <w:pgSz w:w="11906" w:h="16838"/>
      <w:pgMar w:top="284" w:right="1080" w:bottom="1440" w:left="1080" w:header="708" w:footer="2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3FFC" w14:textId="77777777" w:rsidR="00A41F3B" w:rsidRDefault="00A41F3B" w:rsidP="00015BE5">
      <w:pPr>
        <w:spacing w:after="0" w:line="240" w:lineRule="auto"/>
      </w:pPr>
      <w:r>
        <w:separator/>
      </w:r>
    </w:p>
  </w:endnote>
  <w:endnote w:type="continuationSeparator" w:id="0">
    <w:p w14:paraId="394F9385" w14:textId="77777777" w:rsidR="00A41F3B" w:rsidRDefault="00A41F3B" w:rsidP="0001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019A" w14:textId="3C036DE2" w:rsidR="004063F9" w:rsidRDefault="009557F6">
    <w:pPr>
      <w:pStyle w:val="Footer"/>
    </w:pPr>
    <w:r>
      <w:rPr>
        <w:sz w:val="16"/>
        <w:szCs w:val="16"/>
      </w:rPr>
      <w:t xml:space="preserve">The </w:t>
    </w:r>
    <w:r w:rsidR="00D641F3">
      <w:rPr>
        <w:sz w:val="16"/>
        <w:szCs w:val="16"/>
      </w:rPr>
      <w:t xml:space="preserve">Future </w:t>
    </w:r>
    <w:r>
      <w:rPr>
        <w:sz w:val="16"/>
        <w:szCs w:val="16"/>
      </w:rPr>
      <w:t>Vaccine</w:t>
    </w:r>
    <w:r w:rsidR="00D641F3">
      <w:rPr>
        <w:sz w:val="16"/>
        <w:szCs w:val="16"/>
      </w:rPr>
      <w:t xml:space="preserve"> Manufacturing</w:t>
    </w:r>
    <w:r>
      <w:rPr>
        <w:sz w:val="16"/>
        <w:szCs w:val="16"/>
      </w:rPr>
      <w:t xml:space="preserve"> Research</w:t>
    </w:r>
    <w:r w:rsidR="00D641F3">
      <w:rPr>
        <w:sz w:val="16"/>
        <w:szCs w:val="16"/>
      </w:rPr>
      <w:t xml:space="preserve"> Hub</w:t>
    </w:r>
    <w:r>
      <w:rPr>
        <w:sz w:val="16"/>
        <w:szCs w:val="16"/>
      </w:rPr>
      <w:t xml:space="preserve"> </w:t>
    </w:r>
    <w:r w:rsidR="00D641F3">
      <w:rPr>
        <w:sz w:val="16"/>
        <w:szCs w:val="16"/>
      </w:rPr>
      <w:tab/>
    </w:r>
    <w:r>
      <w:rPr>
        <w:sz w:val="16"/>
        <w:szCs w:val="16"/>
      </w:rPr>
      <w:tab/>
      <w:t xml:space="preserve">Interaction </w:t>
    </w:r>
    <w:r w:rsidR="00C57AD0">
      <w:rPr>
        <w:sz w:val="16"/>
        <w:szCs w:val="16"/>
      </w:rPr>
      <w:t>Vouchers 2019</w:t>
    </w:r>
    <w:r w:rsidR="00D641F3">
      <w:rPr>
        <w:sz w:val="16"/>
        <w:szCs w:val="16"/>
      </w:rPr>
      <w:t>-</w:t>
    </w:r>
    <w:r w:rsidR="00FF765C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1737" w14:textId="77777777" w:rsidR="00A41F3B" w:rsidRDefault="00A41F3B" w:rsidP="00015BE5">
      <w:pPr>
        <w:spacing w:after="0" w:line="240" w:lineRule="auto"/>
      </w:pPr>
      <w:r>
        <w:separator/>
      </w:r>
    </w:p>
  </w:footnote>
  <w:footnote w:type="continuationSeparator" w:id="0">
    <w:p w14:paraId="2063CFF4" w14:textId="77777777" w:rsidR="00A41F3B" w:rsidRDefault="00A41F3B" w:rsidP="0001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642A" w14:textId="10053711" w:rsidR="001D7518" w:rsidRPr="001D7518" w:rsidRDefault="009557F6" w:rsidP="001D7518">
    <w:pPr>
      <w:pStyle w:val="Header"/>
      <w:ind w:right="-454"/>
      <w:jc w:val="right"/>
      <w:rPr>
        <w:rFonts w:ascii="Arial" w:eastAsia="Calibri" w:hAnsi="Arial" w:cs="Arial"/>
        <w:b/>
        <w:bCs/>
        <w:color w:val="0099B3"/>
        <w:sz w:val="24"/>
        <w:szCs w:val="24"/>
      </w:rPr>
    </w:pPr>
    <w:r>
      <w:rPr>
        <w:rFonts w:ascii="Arial" w:eastAsia="Calibri" w:hAnsi="Arial" w:cs="Arial"/>
        <w:b/>
        <w:bCs/>
        <w:color w:val="877874"/>
        <w:sz w:val="24"/>
        <w:szCs w:val="24"/>
      </w:rPr>
      <w:t xml:space="preserve">The </w:t>
    </w:r>
    <w:r w:rsidR="001D7518" w:rsidRPr="001D7518">
      <w:rPr>
        <w:rFonts w:ascii="Arial" w:eastAsia="Calibri" w:hAnsi="Arial" w:cs="Arial"/>
        <w:b/>
        <w:bCs/>
        <w:color w:val="877874"/>
        <w:sz w:val="24"/>
        <w:szCs w:val="24"/>
      </w:rPr>
      <w:t xml:space="preserve">Future </w:t>
    </w:r>
    <w:r>
      <w:rPr>
        <w:rFonts w:ascii="Arial" w:eastAsia="Calibri" w:hAnsi="Arial" w:cs="Arial"/>
        <w:b/>
        <w:bCs/>
        <w:color w:val="877874"/>
        <w:sz w:val="24"/>
        <w:szCs w:val="24"/>
      </w:rPr>
      <w:t xml:space="preserve">Vaccine </w:t>
    </w:r>
    <w:r w:rsidR="001D7518" w:rsidRPr="001D7518">
      <w:rPr>
        <w:rFonts w:ascii="Arial" w:eastAsia="Calibri" w:hAnsi="Arial" w:cs="Arial"/>
        <w:b/>
        <w:bCs/>
        <w:color w:val="877874"/>
        <w:sz w:val="24"/>
        <w:szCs w:val="24"/>
      </w:rPr>
      <w:t>Manufacturing Hub</w:t>
    </w:r>
    <w:r>
      <w:rPr>
        <w:rFonts w:ascii="Arial" w:eastAsia="Calibri" w:hAnsi="Arial" w:cs="Arial"/>
        <w:b/>
        <w:bCs/>
        <w:color w:val="877874"/>
        <w:sz w:val="24"/>
        <w:szCs w:val="24"/>
      </w:rPr>
      <w:t xml:space="preserve"> Research Hub (Vax-Hub)</w:t>
    </w:r>
  </w:p>
  <w:p w14:paraId="24E66FF5" w14:textId="235AB1B9" w:rsidR="001D7518" w:rsidRPr="00BF0F91" w:rsidRDefault="009557F6" w:rsidP="008B3196">
    <w:pPr>
      <w:ind w:right="-433"/>
      <w:jc w:val="right"/>
      <w:rPr>
        <w:rFonts w:ascii="Arial" w:eastAsia="Calibri" w:hAnsi="Arial" w:cs="Arial"/>
        <w:b/>
        <w:bCs/>
        <w:color w:val="2F5496" w:themeColor="accent1" w:themeShade="BF"/>
        <w:sz w:val="40"/>
        <w:szCs w:val="40"/>
      </w:rPr>
    </w:pPr>
    <w:r w:rsidRPr="00BF0F91">
      <w:rPr>
        <w:rFonts w:ascii="Arial" w:eastAsia="Calibri" w:hAnsi="Arial" w:cs="Arial"/>
        <w:b/>
        <w:bCs/>
        <w:color w:val="2F5496" w:themeColor="accent1" w:themeShade="BF"/>
        <w:sz w:val="40"/>
        <w:szCs w:val="40"/>
      </w:rPr>
      <w:t>Interaction Vouchers</w:t>
    </w:r>
  </w:p>
  <w:p w14:paraId="3761D588" w14:textId="45D1B1E3" w:rsidR="001D7518" w:rsidRPr="001D7518" w:rsidRDefault="001D7518" w:rsidP="001D7518">
    <w:pPr>
      <w:tabs>
        <w:tab w:val="center" w:pos="4513"/>
        <w:tab w:val="right" w:pos="9026"/>
      </w:tabs>
      <w:spacing w:after="0" w:line="240" w:lineRule="auto"/>
      <w:ind w:right="-454"/>
      <w:jc w:val="right"/>
      <w:rPr>
        <w:rFonts w:ascii="Arial" w:eastAsia="Calibri" w:hAnsi="Arial" w:cs="Arial"/>
        <w:b/>
        <w:bCs/>
        <w:color w:val="877874"/>
        <w:sz w:val="24"/>
        <w:szCs w:val="24"/>
      </w:rPr>
    </w:pPr>
    <w:r w:rsidRPr="001D7518">
      <w:rPr>
        <w:rFonts w:ascii="Arial" w:eastAsia="Calibri" w:hAnsi="Arial" w:cs="Arial"/>
        <w:b/>
        <w:bCs/>
        <w:color w:val="877874"/>
        <w:sz w:val="24"/>
        <w:szCs w:val="24"/>
      </w:rPr>
      <w:t>201</w:t>
    </w:r>
    <w:r w:rsidR="009A4EA4">
      <w:rPr>
        <w:rFonts w:ascii="Arial" w:eastAsia="Calibri" w:hAnsi="Arial" w:cs="Arial"/>
        <w:b/>
        <w:bCs/>
        <w:color w:val="877874"/>
        <w:sz w:val="24"/>
        <w:szCs w:val="24"/>
      </w:rPr>
      <w:t>9</w:t>
    </w:r>
    <w:r w:rsidRPr="001D7518">
      <w:rPr>
        <w:rFonts w:ascii="Arial" w:eastAsia="Calibri" w:hAnsi="Arial" w:cs="Arial"/>
        <w:b/>
        <w:bCs/>
        <w:color w:val="877874"/>
        <w:sz w:val="24"/>
        <w:szCs w:val="24"/>
      </w:rPr>
      <w:t>-</w:t>
    </w:r>
    <w:r w:rsidR="009A4EA4">
      <w:rPr>
        <w:rFonts w:ascii="Arial" w:eastAsia="Calibri" w:hAnsi="Arial" w:cs="Arial"/>
        <w:b/>
        <w:bCs/>
        <w:color w:val="877874"/>
        <w:sz w:val="24"/>
        <w:szCs w:val="24"/>
      </w:rPr>
      <w:t>20</w:t>
    </w:r>
  </w:p>
  <w:p w14:paraId="158EDE82" w14:textId="1D9861AF" w:rsidR="001D7518" w:rsidRDefault="001D7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AF"/>
    <w:multiLevelType w:val="hybridMultilevel"/>
    <w:tmpl w:val="E2E85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1012"/>
    <w:multiLevelType w:val="hybridMultilevel"/>
    <w:tmpl w:val="71F0A7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26A3D"/>
    <w:multiLevelType w:val="hybridMultilevel"/>
    <w:tmpl w:val="EF48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20"/>
    <w:rsid w:val="0001373D"/>
    <w:rsid w:val="00015BE5"/>
    <w:rsid w:val="0002039B"/>
    <w:rsid w:val="00046892"/>
    <w:rsid w:val="000631F1"/>
    <w:rsid w:val="00096705"/>
    <w:rsid w:val="000B51CE"/>
    <w:rsid w:val="000E74DE"/>
    <w:rsid w:val="00115B5F"/>
    <w:rsid w:val="001303DA"/>
    <w:rsid w:val="0013131C"/>
    <w:rsid w:val="00162F96"/>
    <w:rsid w:val="001A0B10"/>
    <w:rsid w:val="001A73AB"/>
    <w:rsid w:val="001B43E6"/>
    <w:rsid w:val="001C0075"/>
    <w:rsid w:val="001D6E67"/>
    <w:rsid w:val="001D7518"/>
    <w:rsid w:val="001E3281"/>
    <w:rsid w:val="00213ACC"/>
    <w:rsid w:val="00217579"/>
    <w:rsid w:val="0022544B"/>
    <w:rsid w:val="00233AA9"/>
    <w:rsid w:val="002A0269"/>
    <w:rsid w:val="002A311F"/>
    <w:rsid w:val="00317C99"/>
    <w:rsid w:val="00326A79"/>
    <w:rsid w:val="00362994"/>
    <w:rsid w:val="003B56A0"/>
    <w:rsid w:val="003E1C41"/>
    <w:rsid w:val="00405D05"/>
    <w:rsid w:val="004063F9"/>
    <w:rsid w:val="00432B50"/>
    <w:rsid w:val="00464048"/>
    <w:rsid w:val="004774C2"/>
    <w:rsid w:val="00483A2A"/>
    <w:rsid w:val="00547EF3"/>
    <w:rsid w:val="00575B41"/>
    <w:rsid w:val="00582F23"/>
    <w:rsid w:val="005C1E4F"/>
    <w:rsid w:val="00602BBC"/>
    <w:rsid w:val="006201CB"/>
    <w:rsid w:val="006578C0"/>
    <w:rsid w:val="006B4984"/>
    <w:rsid w:val="006C6C21"/>
    <w:rsid w:val="006F1E61"/>
    <w:rsid w:val="0070290A"/>
    <w:rsid w:val="0078503A"/>
    <w:rsid w:val="007B0489"/>
    <w:rsid w:val="007C24FB"/>
    <w:rsid w:val="007E49DA"/>
    <w:rsid w:val="00806131"/>
    <w:rsid w:val="00816693"/>
    <w:rsid w:val="0087046C"/>
    <w:rsid w:val="00872F6E"/>
    <w:rsid w:val="00881001"/>
    <w:rsid w:val="00897C24"/>
    <w:rsid w:val="008A1AA8"/>
    <w:rsid w:val="008B2E33"/>
    <w:rsid w:val="008B3196"/>
    <w:rsid w:val="009359BC"/>
    <w:rsid w:val="00953100"/>
    <w:rsid w:val="009544F9"/>
    <w:rsid w:val="009557F6"/>
    <w:rsid w:val="0095787B"/>
    <w:rsid w:val="009834F9"/>
    <w:rsid w:val="009953AF"/>
    <w:rsid w:val="009A4EA4"/>
    <w:rsid w:val="00A41F3B"/>
    <w:rsid w:val="00A9200B"/>
    <w:rsid w:val="00AA7DC4"/>
    <w:rsid w:val="00AF493B"/>
    <w:rsid w:val="00B07B2C"/>
    <w:rsid w:val="00B41B0D"/>
    <w:rsid w:val="00BB1010"/>
    <w:rsid w:val="00BF0F91"/>
    <w:rsid w:val="00C57AD0"/>
    <w:rsid w:val="00C60448"/>
    <w:rsid w:val="00C8688F"/>
    <w:rsid w:val="00CF2ED5"/>
    <w:rsid w:val="00D0545B"/>
    <w:rsid w:val="00D10DD2"/>
    <w:rsid w:val="00D60804"/>
    <w:rsid w:val="00D641F3"/>
    <w:rsid w:val="00DF0FDE"/>
    <w:rsid w:val="00E21D20"/>
    <w:rsid w:val="00E6593C"/>
    <w:rsid w:val="00E8151D"/>
    <w:rsid w:val="00E90CD6"/>
    <w:rsid w:val="00EB77A9"/>
    <w:rsid w:val="00F46DCF"/>
    <w:rsid w:val="00F77823"/>
    <w:rsid w:val="00F915D0"/>
    <w:rsid w:val="00FC443B"/>
    <w:rsid w:val="00FF11DA"/>
    <w:rsid w:val="00FF255D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26C72"/>
  <w15:docId w15:val="{5A419E4F-D790-464B-8D15-0A3DB09E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E5"/>
  </w:style>
  <w:style w:type="paragraph" w:styleId="Footer">
    <w:name w:val="footer"/>
    <w:basedOn w:val="Normal"/>
    <w:link w:val="FooterChar"/>
    <w:uiPriority w:val="99"/>
    <w:unhideWhenUsed/>
    <w:rsid w:val="0001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E5"/>
  </w:style>
  <w:style w:type="paragraph" w:styleId="BalloonText">
    <w:name w:val="Balloon Text"/>
    <w:basedOn w:val="Normal"/>
    <w:link w:val="BalloonTextChar"/>
    <w:uiPriority w:val="99"/>
    <w:semiHidden/>
    <w:unhideWhenUsed/>
    <w:rsid w:val="007850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3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5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0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A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7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eraj.gill@u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 Davidson</dc:creator>
  <cp:lastModifiedBy>Doogan, Jane</cp:lastModifiedBy>
  <cp:revision>4</cp:revision>
  <dcterms:created xsi:type="dcterms:W3CDTF">2019-11-05T10:22:00Z</dcterms:created>
  <dcterms:modified xsi:type="dcterms:W3CDTF">2019-11-05T10:44:00Z</dcterms:modified>
</cp:coreProperties>
</file>