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85EF" w14:textId="77777777" w:rsidR="00A81FD8" w:rsidRPr="00FF2F9D" w:rsidRDefault="00972B2D">
      <w:pPr>
        <w:rPr>
          <w:b/>
          <w:sz w:val="36"/>
          <w:szCs w:val="36"/>
        </w:rPr>
      </w:pPr>
      <w:r w:rsidRPr="00FF2F9D">
        <w:rPr>
          <w:b/>
          <w:sz w:val="36"/>
          <w:szCs w:val="36"/>
        </w:rPr>
        <w:t>The Bartlett</w:t>
      </w:r>
    </w:p>
    <w:p w14:paraId="7D92E615" w14:textId="77777777" w:rsidR="00972B2D" w:rsidRPr="00FF2F9D" w:rsidRDefault="005972C6" w:rsidP="003C66F6">
      <w:pPr>
        <w:spacing w:line="240" w:lineRule="auto"/>
        <w:rPr>
          <w:sz w:val="20"/>
          <w:szCs w:val="20"/>
        </w:rPr>
      </w:pPr>
      <w:r w:rsidRPr="00FF2F9D">
        <w:rPr>
          <w:sz w:val="20"/>
          <w:szCs w:val="20"/>
        </w:rPr>
        <w:t>Faculty of the Built Environment</w:t>
      </w:r>
    </w:p>
    <w:p w14:paraId="07919FAE" w14:textId="77777777" w:rsidR="005972C6" w:rsidRDefault="005972C6">
      <w:pPr>
        <w:rPr>
          <w:b/>
        </w:rPr>
      </w:pPr>
    </w:p>
    <w:p w14:paraId="78A786FC" w14:textId="77777777" w:rsidR="005972C6" w:rsidRDefault="005972C6">
      <w:pPr>
        <w:rPr>
          <w:b/>
        </w:rPr>
      </w:pPr>
    </w:p>
    <w:p w14:paraId="4DF27B44" w14:textId="682979D7" w:rsidR="00972B2D" w:rsidRPr="00FF2F9D" w:rsidRDefault="00274DB3">
      <w:pPr>
        <w:rPr>
          <w:b/>
          <w:sz w:val="28"/>
          <w:szCs w:val="28"/>
        </w:rPr>
      </w:pPr>
      <w:r w:rsidRPr="00274DB3">
        <w:rPr>
          <w:b/>
          <w:sz w:val="28"/>
          <w:szCs w:val="28"/>
        </w:rPr>
        <w:t>The Bartlett S</w:t>
      </w:r>
      <w:r w:rsidR="0029589E">
        <w:rPr>
          <w:b/>
          <w:sz w:val="28"/>
          <w:szCs w:val="28"/>
        </w:rPr>
        <w:t>ynergy</w:t>
      </w:r>
      <w:r w:rsidRPr="00274DB3">
        <w:rPr>
          <w:b/>
          <w:sz w:val="28"/>
          <w:szCs w:val="28"/>
        </w:rPr>
        <w:t xml:space="preserve"> Grants </w:t>
      </w:r>
      <w:r w:rsidR="00972B2D" w:rsidRPr="00FF2F9D">
        <w:rPr>
          <w:b/>
          <w:sz w:val="28"/>
          <w:szCs w:val="28"/>
        </w:rPr>
        <w:t>201</w:t>
      </w:r>
      <w:r w:rsidR="007A7BA2">
        <w:rPr>
          <w:b/>
          <w:sz w:val="28"/>
          <w:szCs w:val="28"/>
        </w:rPr>
        <w:t>7</w:t>
      </w:r>
    </w:p>
    <w:p w14:paraId="6A6FB425" w14:textId="3E18F010" w:rsidR="003C66F6" w:rsidRPr="00FF2F9D" w:rsidRDefault="00C328B8" w:rsidP="00FF2F9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Issue date:</w:t>
      </w:r>
      <w:r w:rsidRPr="00417A60">
        <w:rPr>
          <w:color w:val="FF0000"/>
          <w:sz w:val="20"/>
          <w:szCs w:val="20"/>
        </w:rPr>
        <w:t xml:space="preserve"> </w:t>
      </w:r>
      <w:r w:rsidR="00FA2CF5">
        <w:rPr>
          <w:sz w:val="20"/>
          <w:szCs w:val="20"/>
        </w:rPr>
        <w:t>Tuesday 23</w:t>
      </w:r>
      <w:r w:rsidR="00FA2CF5">
        <w:rPr>
          <w:sz w:val="20"/>
          <w:szCs w:val="20"/>
          <w:vertAlign w:val="superscript"/>
        </w:rPr>
        <w:t>rd</w:t>
      </w:r>
      <w:r w:rsidR="00C91B71">
        <w:rPr>
          <w:sz w:val="20"/>
          <w:szCs w:val="20"/>
        </w:rPr>
        <w:t xml:space="preserve"> May</w:t>
      </w:r>
      <w:r w:rsidR="003C66F6" w:rsidRPr="00FF2F9D">
        <w:rPr>
          <w:sz w:val="20"/>
          <w:szCs w:val="20"/>
        </w:rPr>
        <w:t xml:space="preserve"> 201</w:t>
      </w:r>
      <w:r w:rsidR="007A7BA2">
        <w:rPr>
          <w:sz w:val="20"/>
          <w:szCs w:val="20"/>
        </w:rPr>
        <w:t>7</w:t>
      </w:r>
    </w:p>
    <w:p w14:paraId="5A5EE47A" w14:textId="63E27351" w:rsidR="003C66F6" w:rsidRPr="00FF2F9D" w:rsidRDefault="00C328B8">
      <w:pPr>
        <w:rPr>
          <w:sz w:val="20"/>
          <w:szCs w:val="20"/>
        </w:rPr>
      </w:pPr>
      <w:r>
        <w:rPr>
          <w:sz w:val="20"/>
          <w:szCs w:val="20"/>
        </w:rPr>
        <w:t xml:space="preserve">Closing date: </w:t>
      </w:r>
      <w:r w:rsidR="00C91B71" w:rsidRPr="00C91B71">
        <w:rPr>
          <w:sz w:val="20"/>
          <w:szCs w:val="20"/>
        </w:rPr>
        <w:t xml:space="preserve">Thursday </w:t>
      </w:r>
      <w:r w:rsidR="007A7BA2">
        <w:rPr>
          <w:sz w:val="20"/>
          <w:szCs w:val="20"/>
        </w:rPr>
        <w:t>22</w:t>
      </w:r>
      <w:r w:rsidR="007A7BA2">
        <w:rPr>
          <w:sz w:val="20"/>
          <w:szCs w:val="20"/>
          <w:vertAlign w:val="superscript"/>
        </w:rPr>
        <w:t>nd</w:t>
      </w:r>
      <w:r w:rsidR="00C91B71" w:rsidRPr="00C91B71">
        <w:rPr>
          <w:sz w:val="20"/>
          <w:szCs w:val="20"/>
        </w:rPr>
        <w:t xml:space="preserve"> June </w:t>
      </w:r>
      <w:r w:rsidR="003C66F6" w:rsidRPr="00FF2F9D">
        <w:rPr>
          <w:sz w:val="20"/>
          <w:szCs w:val="20"/>
        </w:rPr>
        <w:t>201</w:t>
      </w:r>
      <w:r w:rsidR="007A7BA2">
        <w:rPr>
          <w:sz w:val="20"/>
          <w:szCs w:val="20"/>
        </w:rPr>
        <w:t>7</w:t>
      </w:r>
    </w:p>
    <w:p w14:paraId="057011E3" w14:textId="77777777" w:rsidR="00972B2D" w:rsidRDefault="00972B2D"/>
    <w:p w14:paraId="376AE4B7" w14:textId="4A778F24" w:rsidR="0078298E" w:rsidRPr="004A501D" w:rsidRDefault="008B7F1B" w:rsidP="0078298E">
      <w:pPr>
        <w:rPr>
          <w:sz w:val="20"/>
          <w:szCs w:val="20"/>
        </w:rPr>
      </w:pPr>
      <w:r w:rsidRPr="004A501D">
        <w:rPr>
          <w:sz w:val="20"/>
          <w:szCs w:val="20"/>
        </w:rPr>
        <w:t xml:space="preserve">The Bartlett </w:t>
      </w:r>
      <w:r w:rsidR="0029589E">
        <w:rPr>
          <w:sz w:val="20"/>
          <w:szCs w:val="20"/>
        </w:rPr>
        <w:t xml:space="preserve">Synergy Grants </w:t>
      </w:r>
      <w:r w:rsidR="004E340E">
        <w:rPr>
          <w:sz w:val="20"/>
          <w:szCs w:val="20"/>
        </w:rPr>
        <w:t xml:space="preserve">funds </w:t>
      </w:r>
      <w:r w:rsidRPr="004A501D">
        <w:rPr>
          <w:sz w:val="20"/>
          <w:szCs w:val="20"/>
        </w:rPr>
        <w:t xml:space="preserve">activities that lead to, or support, interdisciplinary research collaborations in the Built Environment </w:t>
      </w:r>
      <w:r w:rsidR="0029589E">
        <w:rPr>
          <w:sz w:val="20"/>
          <w:szCs w:val="20"/>
        </w:rPr>
        <w:t>that</w:t>
      </w:r>
      <w:r w:rsidRPr="004A501D">
        <w:rPr>
          <w:sz w:val="20"/>
          <w:szCs w:val="20"/>
        </w:rPr>
        <w:t xml:space="preserve"> are in line with </w:t>
      </w:r>
      <w:r w:rsidR="00092929">
        <w:rPr>
          <w:sz w:val="20"/>
          <w:szCs w:val="20"/>
        </w:rPr>
        <w:t xml:space="preserve">the Bartlett </w:t>
      </w:r>
      <w:r w:rsidR="004E340E">
        <w:rPr>
          <w:sz w:val="20"/>
          <w:szCs w:val="20"/>
        </w:rPr>
        <w:t xml:space="preserve">Faculty’s </w:t>
      </w:r>
      <w:r w:rsidRPr="004A501D">
        <w:rPr>
          <w:sz w:val="20"/>
          <w:szCs w:val="20"/>
        </w:rPr>
        <w:t>Research Strategy.</w:t>
      </w:r>
    </w:p>
    <w:p w14:paraId="1AD5239D" w14:textId="77777777" w:rsidR="008B7F1B" w:rsidRPr="004A501D" w:rsidRDefault="008B7F1B" w:rsidP="0078298E">
      <w:pPr>
        <w:rPr>
          <w:sz w:val="20"/>
          <w:szCs w:val="20"/>
        </w:rPr>
      </w:pPr>
    </w:p>
    <w:p w14:paraId="7DC3FD6C" w14:textId="77777777" w:rsidR="00C12D3B" w:rsidRDefault="008B7F1B" w:rsidP="0078298E">
      <w:pPr>
        <w:rPr>
          <w:sz w:val="20"/>
          <w:szCs w:val="20"/>
        </w:rPr>
      </w:pPr>
      <w:r w:rsidRPr="004A501D">
        <w:rPr>
          <w:sz w:val="20"/>
          <w:szCs w:val="20"/>
        </w:rPr>
        <w:t>We are keen to receive applications that support new and innovative interdisciplinary ideas and activities. This can include a wide range of research from ’blue sky’ thinking through to projects focused on impact through public engagement, policy-related activity or networking opportunities, and covers all modalities of research including action research and design research.</w:t>
      </w:r>
    </w:p>
    <w:p w14:paraId="540216DA" w14:textId="77777777" w:rsidR="00A81FD8" w:rsidRDefault="00A81FD8" w:rsidP="0078298E">
      <w:pPr>
        <w:rPr>
          <w:sz w:val="20"/>
          <w:szCs w:val="20"/>
        </w:rPr>
      </w:pPr>
    </w:p>
    <w:p w14:paraId="4C6CD0BB" w14:textId="77777777" w:rsidR="006C236D" w:rsidRDefault="00A81FD8" w:rsidP="0078298E">
      <w:pPr>
        <w:rPr>
          <w:sz w:val="20"/>
          <w:szCs w:val="20"/>
          <w:lang w:val="en-US"/>
        </w:rPr>
      </w:pPr>
      <w:r w:rsidRPr="00A81FD8">
        <w:rPr>
          <w:sz w:val="20"/>
          <w:szCs w:val="20"/>
          <w:lang w:val="en-US"/>
        </w:rPr>
        <w:t>This round of funding will feature a priority theme of </w:t>
      </w:r>
      <w:r w:rsidR="00D313DB">
        <w:rPr>
          <w:i/>
          <w:iCs/>
          <w:sz w:val="20"/>
          <w:szCs w:val="20"/>
          <w:lang w:val="en-US"/>
        </w:rPr>
        <w:t>Health and W</w:t>
      </w:r>
      <w:r w:rsidR="004E340E">
        <w:rPr>
          <w:i/>
          <w:iCs/>
          <w:sz w:val="20"/>
          <w:szCs w:val="20"/>
          <w:lang w:val="en-US"/>
        </w:rPr>
        <w:t>ellbeing</w:t>
      </w:r>
      <w:r w:rsidRPr="00A81FD8">
        <w:rPr>
          <w:i/>
          <w:iCs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 Applications are </w:t>
      </w:r>
      <w:r w:rsidR="00D313DB">
        <w:rPr>
          <w:sz w:val="20"/>
          <w:szCs w:val="20"/>
          <w:lang w:val="en-US"/>
        </w:rPr>
        <w:t>encouraged that</w:t>
      </w:r>
      <w:r w:rsidRPr="00A81FD8">
        <w:rPr>
          <w:sz w:val="20"/>
          <w:szCs w:val="20"/>
          <w:lang w:val="en-US"/>
        </w:rPr>
        <w:t xml:space="preserve"> add</w:t>
      </w:r>
      <w:r>
        <w:rPr>
          <w:sz w:val="20"/>
          <w:szCs w:val="20"/>
          <w:lang w:val="en-US"/>
        </w:rPr>
        <w:t>ress topics</w:t>
      </w:r>
      <w:r w:rsidR="006C236D">
        <w:rPr>
          <w:sz w:val="20"/>
          <w:szCs w:val="20"/>
          <w:lang w:val="en-US"/>
        </w:rPr>
        <w:t xml:space="preserve"> which could include, but are by no means limited to:</w:t>
      </w:r>
    </w:p>
    <w:p w14:paraId="1427CD8F" w14:textId="77777777" w:rsidR="006C236D" w:rsidRDefault="006C236D" w:rsidP="0078298E">
      <w:pPr>
        <w:rPr>
          <w:sz w:val="20"/>
          <w:szCs w:val="20"/>
          <w:lang w:val="en-US"/>
        </w:rPr>
      </w:pPr>
    </w:p>
    <w:p w14:paraId="2F4D016B" w14:textId="7F3E15E5" w:rsidR="006C236D" w:rsidRDefault="006C236D" w:rsidP="006C236D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Design for wellbeing and active travel</w:t>
      </w:r>
    </w:p>
    <w:p w14:paraId="02EAA810" w14:textId="6A9789AC" w:rsidR="006C236D" w:rsidRDefault="006C236D" w:rsidP="006C236D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Health-oriented urban environments</w:t>
      </w:r>
    </w:p>
    <w:p w14:paraId="0BDAF938" w14:textId="7CE9C858" w:rsidR="006C236D" w:rsidRDefault="006C236D" w:rsidP="006C236D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Ageing-related research, particularly housing and care home design</w:t>
      </w:r>
    </w:p>
    <w:p w14:paraId="52896B64" w14:textId="2FB7E330" w:rsidR="006C236D" w:rsidRPr="006C236D" w:rsidRDefault="006C236D" w:rsidP="006C236D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Healthcare buildings</w:t>
      </w:r>
    </w:p>
    <w:p w14:paraId="560595B4" w14:textId="77777777" w:rsidR="006C236D" w:rsidRDefault="006C236D" w:rsidP="0078298E">
      <w:pPr>
        <w:rPr>
          <w:sz w:val="20"/>
          <w:szCs w:val="20"/>
          <w:lang w:val="en-US"/>
        </w:rPr>
      </w:pPr>
    </w:p>
    <w:p w14:paraId="6F338A00" w14:textId="79EC9FCA" w:rsidR="00A81FD8" w:rsidRPr="006C236D" w:rsidRDefault="006C236D" w:rsidP="0078298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Applicants might also</w:t>
      </w:r>
      <w:r w:rsidR="00E87DBC">
        <w:rPr>
          <w:sz w:val="20"/>
          <w:szCs w:val="20"/>
          <w:lang w:val="en-US"/>
        </w:rPr>
        <w:t xml:space="preserve"> particularly</w:t>
      </w:r>
      <w:r w:rsidR="00756713" w:rsidRPr="00756713">
        <w:rPr>
          <w:sz w:val="20"/>
          <w:szCs w:val="20"/>
          <w:lang w:val="en-US"/>
        </w:rPr>
        <w:t xml:space="preserve"> con</w:t>
      </w:r>
      <w:r w:rsidR="00E87DBC">
        <w:rPr>
          <w:sz w:val="20"/>
          <w:szCs w:val="20"/>
          <w:lang w:val="en-US"/>
        </w:rPr>
        <w:t>sider</w:t>
      </w:r>
      <w:r w:rsidR="00756713">
        <w:rPr>
          <w:sz w:val="20"/>
          <w:szCs w:val="20"/>
          <w:lang w:val="en-US"/>
        </w:rPr>
        <w:t xml:space="preserve"> creative partnerships with colleagues from across the</w:t>
      </w:r>
      <w:r w:rsidR="00756713" w:rsidRPr="00756713">
        <w:rPr>
          <w:sz w:val="20"/>
          <w:szCs w:val="20"/>
          <w:lang w:val="en-US"/>
        </w:rPr>
        <w:t xml:space="preserve"> Faculties</w:t>
      </w:r>
      <w:r w:rsidR="00A81FD8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In addition to applications aligned with this year’s priority theme, a</w:t>
      </w:r>
      <w:r w:rsidR="00A81FD8">
        <w:rPr>
          <w:sz w:val="20"/>
          <w:szCs w:val="20"/>
          <w:lang w:val="en-US"/>
        </w:rPr>
        <w:t>pplications fo</w:t>
      </w:r>
      <w:r w:rsidR="004B50DC">
        <w:rPr>
          <w:sz w:val="20"/>
          <w:szCs w:val="20"/>
          <w:lang w:val="en-US"/>
        </w:rPr>
        <w:t>r the open ca</w:t>
      </w:r>
      <w:r w:rsidR="00756713">
        <w:rPr>
          <w:sz w:val="20"/>
          <w:szCs w:val="20"/>
          <w:lang w:val="en-US"/>
        </w:rPr>
        <w:t xml:space="preserve">ll are also </w:t>
      </w:r>
      <w:r w:rsidR="00A81FD8">
        <w:rPr>
          <w:sz w:val="20"/>
          <w:szCs w:val="20"/>
          <w:lang w:val="en-US"/>
        </w:rPr>
        <w:t>welcomed.</w:t>
      </w:r>
    </w:p>
    <w:p w14:paraId="62DE0BB2" w14:textId="77777777" w:rsidR="00C12D3B" w:rsidRPr="004A501D" w:rsidRDefault="00C12D3B">
      <w:pPr>
        <w:rPr>
          <w:sz w:val="20"/>
          <w:szCs w:val="20"/>
        </w:rPr>
      </w:pPr>
    </w:p>
    <w:p w14:paraId="7B73A86B" w14:textId="77777777" w:rsidR="00A561BF" w:rsidRPr="004A501D" w:rsidRDefault="00A561BF">
      <w:pPr>
        <w:rPr>
          <w:b/>
          <w:sz w:val="20"/>
          <w:szCs w:val="20"/>
        </w:rPr>
      </w:pPr>
      <w:r w:rsidRPr="004A501D">
        <w:rPr>
          <w:b/>
          <w:sz w:val="20"/>
          <w:szCs w:val="20"/>
        </w:rPr>
        <w:t>Eligibility</w:t>
      </w:r>
    </w:p>
    <w:p w14:paraId="1F10FB46" w14:textId="1E331A9A" w:rsidR="003C66F6" w:rsidRPr="004A501D" w:rsidRDefault="00501574" w:rsidP="0078298E">
      <w:pPr>
        <w:spacing w:before="120"/>
        <w:rPr>
          <w:sz w:val="20"/>
          <w:szCs w:val="20"/>
        </w:rPr>
      </w:pPr>
      <w:r w:rsidRPr="004A501D">
        <w:rPr>
          <w:sz w:val="20"/>
          <w:szCs w:val="20"/>
        </w:rPr>
        <w:t>A</w:t>
      </w:r>
      <w:r w:rsidR="00AC79C7" w:rsidRPr="004A501D">
        <w:rPr>
          <w:sz w:val="20"/>
          <w:szCs w:val="20"/>
        </w:rPr>
        <w:t xml:space="preserve">pplications must </w:t>
      </w:r>
      <w:r w:rsidR="00A268D9" w:rsidRPr="004A501D">
        <w:rPr>
          <w:sz w:val="20"/>
          <w:szCs w:val="20"/>
        </w:rPr>
        <w:t xml:space="preserve">include at least two members of academic staff </w:t>
      </w:r>
      <w:r w:rsidR="006B4D0D" w:rsidRPr="004A501D">
        <w:rPr>
          <w:sz w:val="20"/>
          <w:szCs w:val="20"/>
        </w:rPr>
        <w:t xml:space="preserve">(including teaching fellows) </w:t>
      </w:r>
      <w:r w:rsidR="00A268D9" w:rsidRPr="004A501D">
        <w:rPr>
          <w:sz w:val="20"/>
          <w:szCs w:val="20"/>
        </w:rPr>
        <w:t xml:space="preserve">from </w:t>
      </w:r>
      <w:r w:rsidR="00417A60">
        <w:rPr>
          <w:sz w:val="20"/>
          <w:szCs w:val="20"/>
        </w:rPr>
        <w:t xml:space="preserve">two </w:t>
      </w:r>
      <w:r w:rsidR="00A268D9" w:rsidRPr="004A501D">
        <w:rPr>
          <w:sz w:val="20"/>
          <w:szCs w:val="20"/>
        </w:rPr>
        <w:t>different Bart</w:t>
      </w:r>
      <w:r w:rsidR="000B667B" w:rsidRPr="004A501D">
        <w:rPr>
          <w:sz w:val="20"/>
          <w:szCs w:val="20"/>
        </w:rPr>
        <w:t>lett schools/units as a minimum.  In addition, the collaboration can also include colleagues based in other UCL Faculties or HEIs, as well as international organisations.</w:t>
      </w:r>
    </w:p>
    <w:p w14:paraId="69845D35" w14:textId="77777777" w:rsidR="00333D8D" w:rsidRPr="004A501D" w:rsidRDefault="00333D8D">
      <w:pPr>
        <w:rPr>
          <w:sz w:val="20"/>
          <w:szCs w:val="20"/>
        </w:rPr>
      </w:pPr>
    </w:p>
    <w:p w14:paraId="15F89D9D" w14:textId="77777777" w:rsidR="000B667B" w:rsidRPr="004A501D" w:rsidRDefault="000B667B">
      <w:pPr>
        <w:rPr>
          <w:b/>
          <w:sz w:val="20"/>
          <w:szCs w:val="20"/>
        </w:rPr>
      </w:pPr>
      <w:r w:rsidRPr="004A501D">
        <w:rPr>
          <w:b/>
          <w:sz w:val="20"/>
          <w:szCs w:val="20"/>
        </w:rPr>
        <w:t>Selection criteria</w:t>
      </w:r>
    </w:p>
    <w:p w14:paraId="7DC33DF6" w14:textId="77777777" w:rsidR="000B667B" w:rsidRPr="004A501D" w:rsidRDefault="009362C2" w:rsidP="000B667B">
      <w:pPr>
        <w:spacing w:before="120"/>
        <w:rPr>
          <w:sz w:val="20"/>
          <w:szCs w:val="20"/>
        </w:rPr>
      </w:pPr>
      <w:r w:rsidRPr="004A501D">
        <w:rPr>
          <w:sz w:val="20"/>
          <w:szCs w:val="20"/>
        </w:rPr>
        <w:t>Applications will be considered on their specific merits, and in relation to:</w:t>
      </w:r>
    </w:p>
    <w:p w14:paraId="462D13D5" w14:textId="77777777" w:rsidR="000B667B" w:rsidRPr="004A501D" w:rsidRDefault="000B667B">
      <w:pPr>
        <w:rPr>
          <w:sz w:val="20"/>
          <w:szCs w:val="20"/>
        </w:rPr>
      </w:pPr>
    </w:p>
    <w:p w14:paraId="4A5EA9D2" w14:textId="77777777" w:rsidR="004A501D" w:rsidRPr="004A501D" w:rsidRDefault="004A501D" w:rsidP="004A50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501D">
        <w:rPr>
          <w:sz w:val="20"/>
          <w:szCs w:val="20"/>
        </w:rPr>
        <w:t>All applications for funding must clearly state how the proposed activity relates to, supports or develops research into the built environment.</w:t>
      </w:r>
    </w:p>
    <w:p w14:paraId="2CA5B628" w14:textId="77777777" w:rsidR="004A501D" w:rsidRPr="004A501D" w:rsidRDefault="004A501D" w:rsidP="004A50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501D">
        <w:rPr>
          <w:sz w:val="20"/>
          <w:szCs w:val="20"/>
        </w:rPr>
        <w:t xml:space="preserve">All applications must include a lead applicant and a main collaborator who are members of staff in the Bartlett Faculty (i.e. academic and research staff at any level, including teaching fellows, that are based in the different Bartlett schools/units). </w:t>
      </w:r>
    </w:p>
    <w:p w14:paraId="6C49E057" w14:textId="77777777" w:rsidR="004A501D" w:rsidRPr="004A501D" w:rsidRDefault="004A501D" w:rsidP="004A50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501D">
        <w:rPr>
          <w:sz w:val="20"/>
          <w:szCs w:val="20"/>
        </w:rPr>
        <w:t>Other UCL staff or external partners may be included as additional collaborators.</w:t>
      </w:r>
    </w:p>
    <w:p w14:paraId="69305234" w14:textId="77777777" w:rsidR="004A501D" w:rsidRPr="004A501D" w:rsidRDefault="004A501D" w:rsidP="004A50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501D">
        <w:rPr>
          <w:sz w:val="20"/>
          <w:szCs w:val="20"/>
        </w:rPr>
        <w:t>Priority will be given to collaborations between staff across Bartlett schools/units who have not worked together in the past.</w:t>
      </w:r>
    </w:p>
    <w:p w14:paraId="7DCE849B" w14:textId="77777777" w:rsidR="004A501D" w:rsidRPr="004A501D" w:rsidRDefault="004A501D" w:rsidP="004A50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501D">
        <w:rPr>
          <w:sz w:val="20"/>
          <w:szCs w:val="20"/>
        </w:rPr>
        <w:t>Funds may not be used to meet staff costs or salaries.</w:t>
      </w:r>
    </w:p>
    <w:p w14:paraId="76C227D7" w14:textId="77777777" w:rsidR="004A501D" w:rsidRPr="004A501D" w:rsidRDefault="004A501D" w:rsidP="004A50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501D">
        <w:rPr>
          <w:sz w:val="20"/>
          <w:szCs w:val="20"/>
        </w:rPr>
        <w:t>There is no absolute need to name research assistants in the application form if this information is not known at the point of application; however, if known, research assistants can be named within the description of planned activities. Please note that research assistants cannot be classified as either main collaborators or additional collaborators.</w:t>
      </w:r>
    </w:p>
    <w:p w14:paraId="117F54ED" w14:textId="77777777" w:rsidR="009362C2" w:rsidRPr="004A501D" w:rsidRDefault="004A501D" w:rsidP="004A50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501D">
        <w:rPr>
          <w:sz w:val="20"/>
          <w:szCs w:val="20"/>
        </w:rPr>
        <w:t>Projects need to be able to demonstrate that they have the potential to be completed within one calendar year of being approved.</w:t>
      </w:r>
    </w:p>
    <w:p w14:paraId="5CE9B846" w14:textId="5FEA831C" w:rsidR="00BD6FF2" w:rsidRDefault="00BD6F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4F4DC5" w14:textId="77777777" w:rsidR="00972B2D" w:rsidRPr="004A501D" w:rsidRDefault="005B7254">
      <w:pPr>
        <w:rPr>
          <w:b/>
          <w:sz w:val="20"/>
          <w:szCs w:val="20"/>
        </w:rPr>
      </w:pPr>
      <w:bookmarkStart w:id="0" w:name="_GoBack"/>
      <w:bookmarkEnd w:id="0"/>
      <w:r w:rsidRPr="004A501D">
        <w:rPr>
          <w:b/>
          <w:sz w:val="20"/>
          <w:szCs w:val="20"/>
        </w:rPr>
        <w:lastRenderedPageBreak/>
        <w:t>Funding</w:t>
      </w:r>
    </w:p>
    <w:p w14:paraId="3667271B" w14:textId="5835ACCD" w:rsidR="00333D8D" w:rsidRPr="004A501D" w:rsidRDefault="0078298E" w:rsidP="001F1797">
      <w:pPr>
        <w:spacing w:before="120"/>
        <w:rPr>
          <w:sz w:val="20"/>
          <w:szCs w:val="20"/>
        </w:rPr>
      </w:pPr>
      <w:r w:rsidRPr="004A501D">
        <w:rPr>
          <w:sz w:val="20"/>
          <w:szCs w:val="20"/>
        </w:rPr>
        <w:t xml:space="preserve">The </w:t>
      </w:r>
      <w:r w:rsidR="00147261">
        <w:rPr>
          <w:sz w:val="20"/>
          <w:szCs w:val="20"/>
        </w:rPr>
        <w:t xml:space="preserve">maximum budget available from the </w:t>
      </w:r>
      <w:r w:rsidRPr="004A501D">
        <w:rPr>
          <w:sz w:val="20"/>
          <w:szCs w:val="20"/>
        </w:rPr>
        <w:t xml:space="preserve">Faculty </w:t>
      </w:r>
      <w:r w:rsidR="00147261">
        <w:rPr>
          <w:sz w:val="20"/>
          <w:szCs w:val="20"/>
        </w:rPr>
        <w:t xml:space="preserve">is </w:t>
      </w:r>
      <w:r w:rsidRPr="004A501D">
        <w:rPr>
          <w:sz w:val="20"/>
          <w:szCs w:val="20"/>
        </w:rPr>
        <w:t>£</w:t>
      </w:r>
      <w:r w:rsidR="0029589E">
        <w:rPr>
          <w:sz w:val="20"/>
          <w:szCs w:val="20"/>
        </w:rPr>
        <w:t>3</w:t>
      </w:r>
      <w:r w:rsidRPr="004A501D">
        <w:rPr>
          <w:sz w:val="20"/>
          <w:szCs w:val="20"/>
        </w:rPr>
        <w:t>0,000</w:t>
      </w:r>
      <w:r w:rsidR="002642AA">
        <w:rPr>
          <w:sz w:val="20"/>
          <w:szCs w:val="20"/>
        </w:rPr>
        <w:t xml:space="preserve"> per annum</w:t>
      </w:r>
      <w:r w:rsidR="00147261">
        <w:rPr>
          <w:sz w:val="20"/>
          <w:szCs w:val="20"/>
        </w:rPr>
        <w:t>.  The fund</w:t>
      </w:r>
      <w:r w:rsidRPr="004A501D">
        <w:rPr>
          <w:sz w:val="20"/>
          <w:szCs w:val="20"/>
        </w:rPr>
        <w:t xml:space="preserve"> </w:t>
      </w:r>
      <w:r w:rsidR="00417A60">
        <w:rPr>
          <w:sz w:val="20"/>
          <w:szCs w:val="20"/>
        </w:rPr>
        <w:t>can support</w:t>
      </w:r>
      <w:r w:rsidR="00147261">
        <w:rPr>
          <w:sz w:val="20"/>
          <w:szCs w:val="20"/>
        </w:rPr>
        <w:t xml:space="preserve"> </w:t>
      </w:r>
      <w:r w:rsidR="00BD58F2">
        <w:rPr>
          <w:sz w:val="20"/>
          <w:szCs w:val="20"/>
        </w:rPr>
        <w:t>t</w:t>
      </w:r>
      <w:r w:rsidR="00417A60">
        <w:rPr>
          <w:sz w:val="20"/>
          <w:szCs w:val="20"/>
        </w:rPr>
        <w:t>hree</w:t>
      </w:r>
      <w:r w:rsidRPr="004A501D">
        <w:rPr>
          <w:sz w:val="20"/>
          <w:szCs w:val="20"/>
        </w:rPr>
        <w:t xml:space="preserve"> projects </w:t>
      </w:r>
      <w:r w:rsidR="00BD58F2">
        <w:rPr>
          <w:sz w:val="20"/>
          <w:szCs w:val="20"/>
        </w:rPr>
        <w:t>of up to £10</w:t>
      </w:r>
      <w:r w:rsidR="00147261">
        <w:rPr>
          <w:sz w:val="20"/>
          <w:szCs w:val="20"/>
        </w:rPr>
        <w:t xml:space="preserve">,000 </w:t>
      </w:r>
      <w:r w:rsidRPr="004A501D">
        <w:rPr>
          <w:sz w:val="20"/>
          <w:szCs w:val="20"/>
        </w:rPr>
        <w:t>each</w:t>
      </w:r>
      <w:r w:rsidR="002642AA">
        <w:rPr>
          <w:sz w:val="20"/>
          <w:szCs w:val="20"/>
        </w:rPr>
        <w:t>, or more projects at a lower sum</w:t>
      </w:r>
      <w:r w:rsidRPr="004A501D">
        <w:rPr>
          <w:sz w:val="20"/>
          <w:szCs w:val="20"/>
        </w:rPr>
        <w:t>.</w:t>
      </w:r>
    </w:p>
    <w:sectPr w:rsidR="00333D8D" w:rsidRPr="004A501D" w:rsidSect="005B7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FAF"/>
    <w:multiLevelType w:val="hybridMultilevel"/>
    <w:tmpl w:val="488A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6B00"/>
    <w:multiLevelType w:val="hybridMultilevel"/>
    <w:tmpl w:val="49B0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78FC"/>
    <w:multiLevelType w:val="hybridMultilevel"/>
    <w:tmpl w:val="6D26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D"/>
    <w:rsid w:val="00092929"/>
    <w:rsid w:val="000B667B"/>
    <w:rsid w:val="00147261"/>
    <w:rsid w:val="001A1F1B"/>
    <w:rsid w:val="001F1797"/>
    <w:rsid w:val="002243D0"/>
    <w:rsid w:val="002642AA"/>
    <w:rsid w:val="00274DB3"/>
    <w:rsid w:val="0029589E"/>
    <w:rsid w:val="00301D29"/>
    <w:rsid w:val="00303901"/>
    <w:rsid w:val="00333D8D"/>
    <w:rsid w:val="003C66F6"/>
    <w:rsid w:val="003E0853"/>
    <w:rsid w:val="00417A60"/>
    <w:rsid w:val="004A501D"/>
    <w:rsid w:val="004B50DC"/>
    <w:rsid w:val="004E340E"/>
    <w:rsid w:val="00501574"/>
    <w:rsid w:val="005972C6"/>
    <w:rsid w:val="005B7254"/>
    <w:rsid w:val="00607190"/>
    <w:rsid w:val="006B4D0D"/>
    <w:rsid w:val="006C236D"/>
    <w:rsid w:val="00756713"/>
    <w:rsid w:val="0078298E"/>
    <w:rsid w:val="007A573D"/>
    <w:rsid w:val="007A7BA2"/>
    <w:rsid w:val="007D3F2A"/>
    <w:rsid w:val="00806B78"/>
    <w:rsid w:val="008B7F1B"/>
    <w:rsid w:val="008D215D"/>
    <w:rsid w:val="008E3753"/>
    <w:rsid w:val="009362C2"/>
    <w:rsid w:val="0097087F"/>
    <w:rsid w:val="00972B2D"/>
    <w:rsid w:val="0097377A"/>
    <w:rsid w:val="009975FF"/>
    <w:rsid w:val="00A268D9"/>
    <w:rsid w:val="00A43125"/>
    <w:rsid w:val="00A561BF"/>
    <w:rsid w:val="00A81FD8"/>
    <w:rsid w:val="00AC79C7"/>
    <w:rsid w:val="00BD58F2"/>
    <w:rsid w:val="00BD6FF2"/>
    <w:rsid w:val="00C12D3B"/>
    <w:rsid w:val="00C328B8"/>
    <w:rsid w:val="00C82914"/>
    <w:rsid w:val="00C91B71"/>
    <w:rsid w:val="00D313DB"/>
    <w:rsid w:val="00D67C65"/>
    <w:rsid w:val="00DB606C"/>
    <w:rsid w:val="00E87DBC"/>
    <w:rsid w:val="00E92B05"/>
    <w:rsid w:val="00ED1CA1"/>
    <w:rsid w:val="00FA2CF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99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Campbell</dc:creator>
  <cp:lastModifiedBy>Kimberley Steed German</cp:lastModifiedBy>
  <cp:revision>9</cp:revision>
  <dcterms:created xsi:type="dcterms:W3CDTF">2017-05-22T12:08:00Z</dcterms:created>
  <dcterms:modified xsi:type="dcterms:W3CDTF">2017-05-23T11:42:00Z</dcterms:modified>
</cp:coreProperties>
</file>