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p w:rsidRPr="002573CF" w:rsidR="005D339D" w:rsidP="006704F9" w:rsidRDefault="0095503C" w14:paraId="15D3E04D" w14:textId="7E3F977F">
      <w:pPr>
        <w:ind w:left="-284"/>
        <w:rPr>
          <w:rFonts w:ascii="Arial" w:hAnsi="Arial" w:cs="Arial"/>
          <w:sz w:val="22"/>
          <w:szCs w:val="22"/>
        </w:rPr>
      </w:pPr>
      <w:bookmarkStart w:name="_MacBuGuideStaticData_560V" w:id="0"/>
      <w:bookmarkStart w:name="_MacBuGuideStaticData_11280V" w:id="1"/>
      <w:bookmarkStart w:name="_MacBuGuideStaticData_520H" w:id="2"/>
      <w:r w:rsidRPr="002573CF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 wp14:anchorId="49BC0F38" wp14:editId="791DB4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214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3CF" w:rsidR="004961E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DF017" wp14:editId="7BDFE9A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27676" w:rsidR="002573CF" w:rsidP="00E3153F" w:rsidRDefault="002573CF" w14:paraId="0D1FC678" w14:textId="7777777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276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127893">
              <v:shapetype id="_x0000_t202" coordsize="21600,21600" o:spt="202" path="m,l,21600r21600,l21600,xe" w14:anchorId="5C0DF017">
                <v:stroke joinstyle="miter"/>
                <v:path gradientshapeok="t" o:connecttype="rect"/>
              </v:shapetype>
              <v:shape id="Text Box 3" style="position:absolute;left:0;text-align:left;margin-left:28pt;margin-top:26.9pt;width:300.0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>
                <v:textbox>
                  <w:txbxContent>
                    <w:p w:rsidRPr="00D27676" w:rsidR="002573CF" w:rsidP="00E3153F" w:rsidRDefault="002573CF" w14:paraId="15831B94" w14:textId="77777777">
                      <w:pPr>
                        <w:ind w:left="-142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2767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573CF" w:rsidR="00DA4ABB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  <w:bookmarkEnd w:id="2"/>
    </w:p>
    <w:tbl>
      <w:tblPr>
        <w:tblStyle w:val="TableGrid"/>
        <w:tblpPr w:leftFromText="180" w:rightFromText="180" w:vertAnchor="page" w:horzAnchor="page" w:tblpX="539" w:tblpY="2672"/>
        <w:tblW w:w="10910" w:type="dxa"/>
        <w:tblLook w:val="04A0" w:firstRow="1" w:lastRow="0" w:firstColumn="1" w:lastColumn="0" w:noHBand="0" w:noVBand="1"/>
      </w:tblPr>
      <w:tblGrid>
        <w:gridCol w:w="1684"/>
        <w:gridCol w:w="9226"/>
      </w:tblGrid>
      <w:tr w:rsidRPr="00705C8C" w:rsidR="00412DC6" w:rsidTr="20D43DDC" w14:paraId="6C311A85" w14:textId="77777777">
        <w:tc>
          <w:tcPr>
            <w:tcW w:w="10910" w:type="dxa"/>
            <w:gridSpan w:val="2"/>
            <w:tcMar/>
          </w:tcPr>
          <w:p w:rsidRPr="0084047C" w:rsidR="00412DC6" w:rsidP="00B1382E" w:rsidRDefault="0089536A" w14:paraId="727ACDAB" w14:textId="7DAE795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 Alumni Groups:</w:t>
            </w:r>
            <w:r w:rsidR="00B1382E">
              <w:rPr>
                <w:rFonts w:ascii="Arial" w:hAnsi="Arial" w:cs="Arial"/>
                <w:b/>
              </w:rPr>
              <w:t xml:space="preserve"> Social Media &amp; Communications Lead</w:t>
            </w:r>
            <w:r w:rsidRPr="0084047C" w:rsidR="00412DC6">
              <w:rPr>
                <w:rFonts w:ascii="Arial" w:hAnsi="Arial" w:cs="Arial"/>
                <w:b/>
              </w:rPr>
              <w:br/>
            </w:r>
            <w:r w:rsidRPr="0084047C" w:rsidR="00412DC6">
              <w:rPr>
                <w:rFonts w:ascii="Arial" w:hAnsi="Arial" w:cs="Arial"/>
                <w:b/>
              </w:rPr>
              <w:t>Volunteer Role Description</w:t>
            </w:r>
            <w:r w:rsidRPr="0084047C" w:rsidR="00412DC6">
              <w:rPr>
                <w:rFonts w:ascii="Arial" w:hAnsi="Arial" w:cs="Arial"/>
                <w:b/>
              </w:rPr>
              <w:br/>
            </w:r>
          </w:p>
        </w:tc>
      </w:tr>
      <w:tr w:rsidRPr="00705C8C" w:rsidR="00412DC6" w:rsidTr="20D43DDC" w14:paraId="3562DF3A" w14:textId="77777777">
        <w:tc>
          <w:tcPr>
            <w:tcW w:w="1684" w:type="dxa"/>
            <w:tcMar/>
          </w:tcPr>
          <w:p w:rsidRPr="00705C8C" w:rsidR="00412DC6" w:rsidP="00412DC6" w:rsidRDefault="00412DC6" w14:paraId="32D354D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C">
              <w:rPr>
                <w:rFonts w:ascii="Arial" w:hAnsi="Arial" w:cs="Arial"/>
                <w:b/>
                <w:sz w:val="20"/>
                <w:szCs w:val="20"/>
              </w:rPr>
              <w:t>Role description</w:t>
            </w:r>
          </w:p>
        </w:tc>
        <w:tc>
          <w:tcPr>
            <w:tcW w:w="9226" w:type="dxa"/>
            <w:tcMar/>
          </w:tcPr>
          <w:p w:rsidRPr="007F78B4" w:rsidR="00B1382E" w:rsidP="00B1382E" w:rsidRDefault="00B1382E" w14:paraId="7E72B906" w14:textId="632D1E33">
            <w:pPr>
              <w:rPr>
                <w:rFonts w:ascii="Arial" w:hAnsi="Arial" w:cs="Arial"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 xml:space="preserve">Responsible for cultivating and growing an active alumni community through various media channels </w:t>
            </w:r>
            <w:r w:rsidRPr="009A7880">
              <w:rPr>
                <w:rFonts w:ascii="Arial" w:hAnsi="Arial" w:cs="Arial"/>
                <w:sz w:val="20"/>
              </w:rPr>
              <w:t xml:space="preserve">in </w:t>
            </w:r>
            <w:r w:rsidRPr="009A7880" w:rsidR="009A7880">
              <w:rPr>
                <w:rFonts w:ascii="Arial" w:hAnsi="Arial" w:cs="Arial"/>
                <w:sz w:val="20"/>
              </w:rPr>
              <w:t>group location</w:t>
            </w:r>
            <w:r w:rsidRPr="009A7880">
              <w:rPr>
                <w:rFonts w:ascii="Arial" w:hAnsi="Arial" w:cs="Arial"/>
                <w:sz w:val="20"/>
              </w:rPr>
              <w:t>. Responsible</w:t>
            </w:r>
            <w:r w:rsidRPr="007F78B4">
              <w:rPr>
                <w:rFonts w:ascii="Arial" w:hAnsi="Arial" w:cs="Arial"/>
                <w:sz w:val="20"/>
              </w:rPr>
              <w:t xml:space="preserve"> for showcasing the group’s activity to increase alumni engagement and increase the profile of UCL in the region.</w:t>
            </w:r>
          </w:p>
          <w:p w:rsidRPr="007F78B4" w:rsidR="00A95E39" w:rsidP="00A95E39" w:rsidRDefault="00A95E39" w14:paraId="706A343C" w14:textId="77ECF60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Pr="00705C8C" w:rsidR="00412DC6" w:rsidTr="20D43DDC" w14:paraId="75F22F96" w14:textId="77777777">
        <w:tc>
          <w:tcPr>
            <w:tcW w:w="1684" w:type="dxa"/>
            <w:tcMar/>
          </w:tcPr>
          <w:p w:rsidRPr="00705C8C" w:rsidR="00412DC6" w:rsidP="00412DC6" w:rsidRDefault="00412DC6" w14:paraId="2D1A909C" w14:textId="582D6C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C">
              <w:rPr>
                <w:rFonts w:ascii="Arial" w:hAnsi="Arial" w:cs="Arial"/>
                <w:b/>
                <w:sz w:val="20"/>
                <w:szCs w:val="20"/>
              </w:rPr>
              <w:t>Time commitment</w:t>
            </w:r>
            <w:r w:rsidR="00E03237">
              <w:rPr>
                <w:rFonts w:ascii="Arial" w:hAnsi="Arial" w:cs="Arial"/>
                <w:b/>
                <w:sz w:val="20"/>
                <w:szCs w:val="20"/>
              </w:rPr>
              <w:t xml:space="preserve"> &amp; Volunteer responsibilities</w:t>
            </w:r>
          </w:p>
        </w:tc>
        <w:tc>
          <w:tcPr>
            <w:tcW w:w="9226" w:type="dxa"/>
            <w:tcMar/>
          </w:tcPr>
          <w:p w:rsidRPr="007F78B4" w:rsidR="00B1382E" w:rsidP="00B1382E" w:rsidRDefault="00B1382E" w14:paraId="6C2AC942" w14:textId="3C07A6C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 xml:space="preserve">Cultivate and develop an active alumni community online via platforms including twitter, Instagram, Facebook, LinkedIn, WeChat, Line, Weibo and </w:t>
            </w:r>
            <w:r w:rsidRPr="007F78B4" w:rsidR="00E9030D">
              <w:rPr>
                <w:rFonts w:ascii="Arial" w:hAnsi="Arial" w:cs="Arial"/>
                <w:sz w:val="20"/>
              </w:rPr>
              <w:t xml:space="preserve">the UCL </w:t>
            </w:r>
            <w:r w:rsidRPr="007F78B4">
              <w:rPr>
                <w:rFonts w:ascii="Arial" w:hAnsi="Arial" w:cs="Arial"/>
                <w:sz w:val="20"/>
              </w:rPr>
              <w:t>Alumni Online Community.</w:t>
            </w:r>
          </w:p>
          <w:p w:rsidRPr="007F78B4" w:rsidR="00B1382E" w:rsidP="00B1382E" w:rsidRDefault="00B1382E" w14:paraId="4077E9B4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Attend group volunteer meetings</w:t>
            </w:r>
          </w:p>
          <w:p w:rsidRPr="007F78B4" w:rsidR="00B1382E" w:rsidP="00B1382E" w:rsidRDefault="00B1382E" w14:paraId="534D7AA0" w14:textId="70C2D20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Promote the group</w:t>
            </w:r>
            <w:r w:rsidRPr="007F78B4" w:rsidR="0037009E">
              <w:rPr>
                <w:rFonts w:ascii="Arial" w:hAnsi="Arial" w:cs="Arial"/>
                <w:sz w:val="20"/>
              </w:rPr>
              <w:t>’</w:t>
            </w:r>
            <w:r w:rsidRPr="007F78B4">
              <w:rPr>
                <w:rFonts w:ascii="Arial" w:hAnsi="Arial" w:cs="Arial"/>
                <w:sz w:val="20"/>
              </w:rPr>
              <w:t>s activity and events online</w:t>
            </w:r>
          </w:p>
          <w:p w:rsidRPr="007F78B4" w:rsidR="00B1382E" w:rsidP="00B1382E" w:rsidRDefault="00B1382E" w14:paraId="5E663CF7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Promote UCL’s activity online, sharing engaging and inclusive content with your networks</w:t>
            </w:r>
          </w:p>
          <w:p w:rsidRPr="007F78B4" w:rsidR="00412DC6" w:rsidP="00E03237" w:rsidRDefault="00412DC6" w14:paraId="193DE11F" w14:textId="53EA63E5">
            <w:pPr>
              <w:pStyle w:val="ListParagraph"/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Pr="00705C8C" w:rsidR="00412DC6" w:rsidTr="20D43DDC" w14:paraId="2EEC644E" w14:textId="77777777">
        <w:tc>
          <w:tcPr>
            <w:tcW w:w="1684" w:type="dxa"/>
            <w:tcMar/>
          </w:tcPr>
          <w:p w:rsidRPr="00705C8C" w:rsidR="00412DC6" w:rsidP="00412DC6" w:rsidRDefault="0089536A" w14:paraId="671878B6" w14:textId="0593D8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 criteria &amp; skills sought</w:t>
            </w:r>
          </w:p>
        </w:tc>
        <w:tc>
          <w:tcPr>
            <w:tcW w:w="9226" w:type="dxa"/>
            <w:tcMar/>
          </w:tcPr>
          <w:p w:rsidRPr="009A7880" w:rsidR="00B1382E" w:rsidP="00C14E0C" w:rsidRDefault="00B1382E" w14:paraId="2C54E310" w14:textId="39B1D91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</w:rPr>
            </w:pPr>
            <w:r w:rsidRPr="009A7880">
              <w:rPr>
                <w:rFonts w:ascii="Arial" w:hAnsi="Arial" w:cs="Arial"/>
                <w:b/>
                <w:sz w:val="20"/>
              </w:rPr>
              <w:t xml:space="preserve">Must be </w:t>
            </w:r>
            <w:r w:rsidRPr="009A7880" w:rsidR="00C14E0C">
              <w:rPr>
                <w:rFonts w:ascii="Arial" w:hAnsi="Arial" w:cs="Arial"/>
                <w:b/>
                <w:sz w:val="20"/>
              </w:rPr>
              <w:t xml:space="preserve">a UCL alumni </w:t>
            </w:r>
            <w:r w:rsidRPr="009A7880">
              <w:rPr>
                <w:rFonts w:ascii="Arial" w:hAnsi="Arial" w:cs="Arial"/>
                <w:b/>
                <w:sz w:val="20"/>
              </w:rPr>
              <w:t xml:space="preserve">based in </w:t>
            </w:r>
            <w:r w:rsidRPr="009A7880" w:rsidR="009A7880">
              <w:rPr>
                <w:rFonts w:ascii="Arial" w:hAnsi="Arial" w:cs="Arial"/>
                <w:b/>
                <w:sz w:val="20"/>
              </w:rPr>
              <w:t>group location</w:t>
            </w:r>
          </w:p>
          <w:p w:rsidRPr="007F78B4" w:rsidR="00B1382E" w:rsidP="00B1382E" w:rsidRDefault="00B1382E" w14:paraId="4F97A0B2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Passion and interest in social media and community building</w:t>
            </w:r>
          </w:p>
          <w:p w:rsidRPr="007F78B4" w:rsidR="00B1382E" w:rsidP="00B1382E" w:rsidRDefault="00B1382E" w14:paraId="06FCBC3C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Organised and proactive approach</w:t>
            </w:r>
          </w:p>
          <w:p w:rsidRPr="007F78B4" w:rsidR="00B1382E" w:rsidP="00B1382E" w:rsidRDefault="00B1382E" w14:paraId="28CE0F08" w14:textId="6A6D380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Ability to sup</w:t>
            </w:r>
            <w:bookmarkStart w:name="_GoBack" w:id="3"/>
            <w:bookmarkEnd w:id="3"/>
            <w:r w:rsidRPr="007F78B4">
              <w:rPr>
                <w:rFonts w:ascii="Arial" w:hAnsi="Arial" w:cs="Arial"/>
                <w:sz w:val="20"/>
              </w:rPr>
              <w:t xml:space="preserve">port other </w:t>
            </w:r>
            <w:r w:rsidRPr="007F78B4" w:rsidR="00E9030D">
              <w:rPr>
                <w:rFonts w:ascii="Arial" w:hAnsi="Arial" w:cs="Arial"/>
                <w:sz w:val="20"/>
              </w:rPr>
              <w:t>group volunteers</w:t>
            </w:r>
            <w:r w:rsidRPr="007F78B4">
              <w:rPr>
                <w:rFonts w:ascii="Arial" w:hAnsi="Arial" w:cs="Arial"/>
                <w:sz w:val="20"/>
              </w:rPr>
              <w:t xml:space="preserve"> to succeed in their roles and responsibilities</w:t>
            </w:r>
          </w:p>
          <w:p w:rsidRPr="007F78B4" w:rsidR="00B1382E" w:rsidP="00B1382E" w:rsidRDefault="00B1382E" w14:paraId="04237975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Creative, investigative and full of new ideas</w:t>
            </w:r>
          </w:p>
          <w:p w:rsidRPr="007F78B4" w:rsidR="00B1382E" w:rsidP="00B1382E" w:rsidRDefault="00B1382E" w14:paraId="5FF71EEC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Works collaboratively with others</w:t>
            </w:r>
          </w:p>
          <w:p w:rsidRPr="007F78B4" w:rsidR="00A95E39" w:rsidP="00A95E39" w:rsidRDefault="00A95E39" w14:paraId="2F035BFA" w14:textId="34E91916">
            <w:pPr>
              <w:pStyle w:val="ListParagraph"/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Pr="00705C8C" w:rsidR="00412DC6" w:rsidTr="20D43DDC" w14:paraId="7C781931" w14:textId="77777777">
        <w:tc>
          <w:tcPr>
            <w:tcW w:w="1684" w:type="dxa"/>
            <w:tcMar/>
          </w:tcPr>
          <w:p w:rsidRPr="00705C8C" w:rsidR="00412DC6" w:rsidP="00412DC6" w:rsidRDefault="00412DC6" w14:paraId="3DD0E00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C">
              <w:rPr>
                <w:rFonts w:ascii="Arial" w:hAnsi="Arial" w:cs="Arial"/>
                <w:b/>
                <w:sz w:val="20"/>
                <w:szCs w:val="20"/>
              </w:rPr>
              <w:t>Benefits of being involved</w:t>
            </w:r>
          </w:p>
          <w:p w:rsidRPr="00705C8C" w:rsidR="00412DC6" w:rsidP="00412DC6" w:rsidRDefault="00412DC6" w14:paraId="113012C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6" w:type="dxa"/>
            <w:tcMar/>
          </w:tcPr>
          <w:p w:rsidRPr="007F78B4" w:rsidR="00B1382E" w:rsidP="00B1382E" w:rsidRDefault="00B1382E" w14:paraId="56A30514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Give back to the UCL alumni community</w:t>
            </w:r>
          </w:p>
          <w:p w:rsidRPr="007F78B4" w:rsidR="00B1382E" w:rsidP="00B1382E" w:rsidRDefault="00B1382E" w14:paraId="4706A888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Develop communication skills</w:t>
            </w:r>
          </w:p>
          <w:p w:rsidRPr="007F78B4" w:rsidR="00B1382E" w:rsidP="00B1382E" w:rsidRDefault="00B1382E" w14:paraId="657C4232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Develop organisational skills</w:t>
            </w:r>
          </w:p>
          <w:p w:rsidRPr="007F78B4" w:rsidR="00B1382E" w:rsidP="00B1382E" w:rsidRDefault="00B1382E" w14:paraId="6B045B5E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>Build your network, both personally and professionally</w:t>
            </w:r>
          </w:p>
          <w:p w:rsidRPr="007F78B4" w:rsidR="00B1382E" w:rsidP="00B1382E" w:rsidRDefault="00B1382E" w14:paraId="213211DF" w14:textId="417C21C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7F78B4">
              <w:rPr>
                <w:rFonts w:ascii="Arial" w:hAnsi="Arial" w:cs="Arial"/>
                <w:sz w:val="20"/>
              </w:rPr>
              <w:t xml:space="preserve">Re-connect with UCL and UCL’s community </w:t>
            </w:r>
            <w:r w:rsidRPr="007F78B4" w:rsidR="00E9030D">
              <w:rPr>
                <w:rFonts w:ascii="Arial" w:hAnsi="Arial" w:cs="Arial"/>
                <w:sz w:val="20"/>
              </w:rPr>
              <w:t>globally</w:t>
            </w:r>
          </w:p>
          <w:p w:rsidRPr="007F78B4" w:rsidR="00A804DE" w:rsidP="00B1382E" w:rsidRDefault="00A804DE" w14:paraId="5B12D4BC" w14:textId="66207551">
            <w:pPr>
              <w:rPr>
                <w:rFonts w:ascii="Arial" w:hAnsi="Arial" w:cs="Arial"/>
                <w:sz w:val="20"/>
              </w:rPr>
            </w:pPr>
          </w:p>
        </w:tc>
      </w:tr>
      <w:tr w:rsidRPr="00705C8C" w:rsidR="00412DC6" w:rsidTr="20D43DDC" w14:paraId="44F75418" w14:textId="77777777">
        <w:trPr>
          <w:trHeight w:val="4940"/>
        </w:trPr>
        <w:tc>
          <w:tcPr>
            <w:tcW w:w="1684" w:type="dxa"/>
            <w:tcMar/>
          </w:tcPr>
          <w:p w:rsidRPr="00705C8C" w:rsidR="00412DC6" w:rsidP="00412DC6" w:rsidRDefault="00412DC6" w14:paraId="2DE32C1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C">
              <w:rPr>
                <w:rFonts w:ascii="Arial" w:hAnsi="Arial" w:cs="Arial"/>
                <w:b/>
                <w:sz w:val="20"/>
                <w:szCs w:val="20"/>
              </w:rPr>
              <w:t>How we will support you</w:t>
            </w:r>
          </w:p>
        </w:tc>
        <w:tc>
          <w:tcPr>
            <w:tcW w:w="9226" w:type="dxa"/>
            <w:tcMar/>
          </w:tcPr>
          <w:p w:rsidRPr="007F78B4" w:rsidR="00E00C80" w:rsidP="004D27C0" w:rsidRDefault="00E00C80" w14:paraId="35A7D07F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7F78B4">
              <w:rPr>
                <w:rFonts w:ascii="Arial" w:hAnsi="Arial" w:cs="Arial"/>
                <w:color w:val="000000" w:themeColor="text1"/>
                <w:sz w:val="20"/>
              </w:rPr>
              <w:t>Briefing and training from your Alumni Relations contact</w:t>
            </w:r>
          </w:p>
          <w:p w:rsidRPr="007F78B4" w:rsidR="00E00C80" w:rsidP="004D27C0" w:rsidRDefault="00E00C80" w14:paraId="01F668EA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</w:rPr>
            </w:pPr>
            <w:r w:rsidRPr="007F78B4"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  <w:t>Responding to requests within three working days</w:t>
            </w:r>
            <w:r w:rsidRPr="007F78B4">
              <w:rPr>
                <w:rStyle w:val="eop"/>
                <w:rFonts w:ascii="Arial" w:hAnsi="Arial" w:cs="Arial"/>
                <w:color w:val="000000" w:themeColor="text1"/>
                <w:sz w:val="20"/>
              </w:rPr>
              <w:t> </w:t>
            </w:r>
          </w:p>
          <w:p w:rsidRPr="007F78B4" w:rsidR="00E00C80" w:rsidP="004D27C0" w:rsidRDefault="00E00C80" w14:paraId="65238523" w14:textId="2325832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</w:rPr>
            </w:pPr>
            <w:r w:rsidRPr="007F78B4"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  <w:t xml:space="preserve">Helping to promote events through posting on the UCL alumni website, and where appropriate sending invitations </w:t>
            </w:r>
            <w:r w:rsidRPr="007F78B4" w:rsidR="00E9030D"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  <w:t>through UCL’s up-to-date alumni database</w:t>
            </w:r>
            <w:r w:rsidRPr="007F78B4"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  <w:t xml:space="preserve"> and promoting on official UCL </w:t>
            </w:r>
            <w:r w:rsidRPr="007F78B4" w:rsidR="00E9030D"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  <w:t>channels (including social media)</w:t>
            </w:r>
            <w:r w:rsidRPr="007F78B4">
              <w:rPr>
                <w:rStyle w:val="eop"/>
                <w:rFonts w:ascii="Arial" w:hAnsi="Arial" w:cs="Arial"/>
                <w:color w:val="000000" w:themeColor="text1"/>
                <w:sz w:val="20"/>
              </w:rPr>
              <w:t> </w:t>
            </w:r>
          </w:p>
          <w:p w:rsidRPr="007F78B4" w:rsidR="00E00C80" w:rsidP="004D27C0" w:rsidRDefault="00E00C80" w14:paraId="1EB78F66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</w:rPr>
            </w:pPr>
            <w:r w:rsidRPr="007F78B4"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  <w:t>Connecting new volunteers to groups leadership and assisting with seeking new volunteers as necessary</w:t>
            </w:r>
            <w:r w:rsidRPr="007F78B4">
              <w:rPr>
                <w:rStyle w:val="eop"/>
                <w:rFonts w:ascii="Arial" w:hAnsi="Arial" w:cs="Arial"/>
                <w:color w:val="000000" w:themeColor="text1"/>
                <w:sz w:val="20"/>
              </w:rPr>
              <w:t> </w:t>
            </w:r>
          </w:p>
          <w:p w:rsidRPr="007F78B4" w:rsidR="00E00C80" w:rsidP="004D27C0" w:rsidRDefault="00E00C80" w14:paraId="0304F3F5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</w:rPr>
            </w:pPr>
            <w:r w:rsidRPr="007F78B4"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  <w:t>Connecting alumni groups to relevant contacts within the university as appropriate</w:t>
            </w:r>
            <w:r w:rsidRPr="007F78B4">
              <w:rPr>
                <w:rStyle w:val="eop"/>
                <w:rFonts w:ascii="Arial" w:hAnsi="Arial" w:cs="Arial"/>
                <w:color w:val="000000" w:themeColor="text1"/>
                <w:sz w:val="20"/>
              </w:rPr>
              <w:t> </w:t>
            </w:r>
          </w:p>
          <w:p w:rsidRPr="007F78B4" w:rsidR="00E00C80" w:rsidP="004D27C0" w:rsidRDefault="00E00C80" w14:paraId="700F9E72" w14:textId="233392B2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</w:rPr>
            </w:pPr>
            <w:r w:rsidRPr="007F78B4"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  <w:t xml:space="preserve">Providing an opportunity to bid for funding to support alumni activities through the </w:t>
            </w:r>
            <w:r w:rsidRPr="007F78B4" w:rsidR="00E9030D"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  <w:t>Annual Review</w:t>
            </w:r>
            <w:r w:rsidRPr="007F78B4">
              <w:rPr>
                <w:rStyle w:val="eop"/>
                <w:rFonts w:ascii="Arial" w:hAnsi="Arial" w:cs="Arial"/>
                <w:color w:val="000000" w:themeColor="text1"/>
                <w:sz w:val="20"/>
              </w:rPr>
              <w:t> </w:t>
            </w:r>
          </w:p>
          <w:p w:rsidRPr="007F78B4" w:rsidR="00E00C80" w:rsidP="004D27C0" w:rsidRDefault="00E00C80" w14:paraId="6E33475E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</w:rPr>
            </w:pPr>
            <w:r w:rsidRPr="007F78B4"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  <w:t>Supporting and thanking our volunteers </w:t>
            </w:r>
            <w:r w:rsidRPr="007F78B4">
              <w:rPr>
                <w:rStyle w:val="eop"/>
                <w:rFonts w:ascii="Arial" w:hAnsi="Arial" w:cs="Arial"/>
                <w:color w:val="000000" w:themeColor="text1"/>
                <w:sz w:val="20"/>
              </w:rPr>
              <w:t> </w:t>
            </w:r>
          </w:p>
          <w:p w:rsidRPr="007F78B4" w:rsidR="004D27C0" w:rsidP="004D27C0" w:rsidRDefault="004D27C0" w14:paraId="7AC8FA86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7F78B4">
              <w:rPr>
                <w:rFonts w:ascii="Arial" w:hAnsi="Arial" w:cs="Arial"/>
                <w:color w:val="000000" w:themeColor="text1"/>
                <w:sz w:val="20"/>
              </w:rPr>
              <w:t>Providing UCL brand guidance and materials as necessary</w:t>
            </w:r>
          </w:p>
          <w:p w:rsidRPr="007F78B4" w:rsidR="00FE7F7D" w:rsidP="00FE7F7D" w:rsidRDefault="00FE7F7D" w14:paraId="1F11D9BE" w14:textId="77777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7F78B4" w:rsidR="006704F9" w:rsidP="20D43DDC" w:rsidRDefault="00FE7F7D" w14:paraId="52732789" w14:textId="77777777">
            <w:pPr>
              <w:spacing w:line="276" w:lineRule="auto"/>
              <w:rPr>
                <w:rFonts w:ascii="Arial" w:hAnsi="Arial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20D43DDC" w:rsidR="00FE7F7D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Please note: UCL may cease its formal affiliation and support of an alumni volunteer and remove them from their leadership role if they do not adhere to the terms of the </w:t>
            </w:r>
            <w:hyperlink r:id="R8bbfef50dded4432">
              <w:r w:rsidRPr="20D43DDC" w:rsidR="00FE7F7D">
                <w:rPr>
                  <w:rStyle w:val="Hyperlink"/>
                  <w:rFonts w:ascii="Arial" w:hAnsi="Arial" w:cs="Arial"/>
                  <w:i w:val="1"/>
                  <w:iCs w:val="1"/>
                  <w:color w:val="000000" w:themeColor="text1" w:themeTint="FF" w:themeShade="FF"/>
                  <w:sz w:val="20"/>
                  <w:szCs w:val="20"/>
                </w:rPr>
                <w:t>volunteer agreement</w:t>
              </w:r>
            </w:hyperlink>
            <w:r w:rsidRPr="20D43DDC" w:rsidR="00FE7F7D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and </w:t>
            </w:r>
            <w:r w:rsidRPr="20D43DDC" w:rsidR="00FE7F7D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UCL’s </w:t>
            </w:r>
            <w:hyperlink r:id="R719221365c314ce5">
              <w:r w:rsidRPr="20D43DDC" w:rsidR="00FE7F7D">
                <w:rPr>
                  <w:rStyle w:val="Hyperlink"/>
                  <w:rFonts w:ascii="Arial" w:hAnsi="Arial" w:cs="Arial"/>
                  <w:i w:val="1"/>
                  <w:iCs w:val="1"/>
                  <w:color w:val="000000" w:themeColor="text1" w:themeTint="FF" w:themeShade="FF"/>
                  <w:sz w:val="20"/>
                  <w:szCs w:val="20"/>
                </w:rPr>
                <w:t>official guidance for alumni groups</w:t>
              </w:r>
            </w:hyperlink>
            <w:r w:rsidRPr="20D43DDC" w:rsidR="00FE7F7D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F78B4" w:rsidR="00E00C80" w:rsidP="00FE7F7D" w:rsidRDefault="00E00C80" w14:paraId="02244853" w14:textId="4045D7C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Pr="002573CF" w:rsidR="0055515A" w:rsidP="005F5CC5" w:rsidRDefault="0055515A" w14:paraId="6FB34267" w14:textId="69066ED9">
      <w:pPr>
        <w:rPr>
          <w:rFonts w:ascii="Arial" w:hAnsi="Arial" w:cs="Arial"/>
          <w:sz w:val="22"/>
          <w:szCs w:val="22"/>
        </w:rPr>
      </w:pPr>
    </w:p>
    <w:sectPr w:rsidRPr="002573CF" w:rsidR="0055515A" w:rsidSect="00E00C80">
      <w:headerReference w:type="default" r:id="rId14"/>
      <w:pgSz w:w="11900" w:h="16840" w:orient="portrait"/>
      <w:pgMar w:top="720" w:right="720" w:bottom="720" w:left="720" w:header="680" w:footer="709" w:gutter="0"/>
      <w:cols w:space="708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CF" w:rsidP="00DA4ABB" w:rsidRDefault="002573CF" w14:paraId="4AAE2FF5" w14:textId="77777777">
      <w:r>
        <w:separator/>
      </w:r>
    </w:p>
  </w:endnote>
  <w:endnote w:type="continuationSeparator" w:id="0">
    <w:p w:rsidR="002573CF" w:rsidP="00DA4ABB" w:rsidRDefault="002573CF" w14:paraId="2429C5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CF" w:rsidP="00DA4ABB" w:rsidRDefault="002573CF" w14:paraId="5CA44807" w14:textId="77777777">
      <w:r>
        <w:separator/>
      </w:r>
    </w:p>
  </w:footnote>
  <w:footnote w:type="continuationSeparator" w:id="0">
    <w:p w:rsidR="002573CF" w:rsidP="00DA4ABB" w:rsidRDefault="002573CF" w14:paraId="41AC46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CF" w:rsidRDefault="002573CF" w14:paraId="067D56F8" w14:textId="005BB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1C3"/>
    <w:multiLevelType w:val="hybridMultilevel"/>
    <w:tmpl w:val="DBE0AC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C5747"/>
    <w:multiLevelType w:val="hybridMultilevel"/>
    <w:tmpl w:val="048CAD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270DE0"/>
    <w:multiLevelType w:val="hybridMultilevel"/>
    <w:tmpl w:val="D6F405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2C273E"/>
    <w:multiLevelType w:val="hybridMultilevel"/>
    <w:tmpl w:val="3B105892"/>
    <w:lvl w:ilvl="0" w:tplc="6FF445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47B3C"/>
    <w:multiLevelType w:val="hybridMultilevel"/>
    <w:tmpl w:val="00C6F3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E54EC8"/>
    <w:multiLevelType w:val="hybridMultilevel"/>
    <w:tmpl w:val="0BCACA5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40B739D"/>
    <w:multiLevelType w:val="hybridMultilevel"/>
    <w:tmpl w:val="F3A6C446"/>
    <w:lvl w:ilvl="0" w:tplc="4FD2C53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C2149B"/>
    <w:multiLevelType w:val="hybridMultilevel"/>
    <w:tmpl w:val="9078C5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772B58"/>
    <w:multiLevelType w:val="hybridMultilevel"/>
    <w:tmpl w:val="F99C7BC0"/>
    <w:lvl w:ilvl="0" w:tplc="6FF445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871CD7"/>
    <w:multiLevelType w:val="hybridMultilevel"/>
    <w:tmpl w:val="0A0CEDA8"/>
    <w:lvl w:ilvl="0" w:tplc="1190273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FD2E76"/>
    <w:multiLevelType w:val="hybridMultilevel"/>
    <w:tmpl w:val="56C2D8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F1409A"/>
    <w:multiLevelType w:val="hybridMultilevel"/>
    <w:tmpl w:val="06F09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7D7988"/>
    <w:multiLevelType w:val="hybridMultilevel"/>
    <w:tmpl w:val="159EB6A4"/>
    <w:lvl w:ilvl="0" w:tplc="315264F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D700C6"/>
    <w:multiLevelType w:val="hybridMultilevel"/>
    <w:tmpl w:val="D72A1F0A"/>
    <w:lvl w:ilvl="0" w:tplc="70BC67F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92271C"/>
    <w:multiLevelType w:val="hybridMultilevel"/>
    <w:tmpl w:val="89A292D2"/>
    <w:lvl w:ilvl="0" w:tplc="CB400A6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B24D12"/>
    <w:multiLevelType w:val="hybridMultilevel"/>
    <w:tmpl w:val="31F264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EF51AB"/>
    <w:multiLevelType w:val="hybridMultilevel"/>
    <w:tmpl w:val="D3AC2792"/>
    <w:lvl w:ilvl="0" w:tplc="70BC67F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7F1D18"/>
    <w:multiLevelType w:val="hybridMultilevel"/>
    <w:tmpl w:val="D520A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DEB1F9B"/>
    <w:multiLevelType w:val="hybridMultilevel"/>
    <w:tmpl w:val="59C2C3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2D3D1F"/>
    <w:multiLevelType w:val="hybridMultilevel"/>
    <w:tmpl w:val="97C02F06"/>
    <w:lvl w:ilvl="0" w:tplc="1C4A9B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3B3B54"/>
    <w:multiLevelType w:val="hybridMultilevel"/>
    <w:tmpl w:val="B0960682"/>
    <w:lvl w:ilvl="0" w:tplc="1A28C5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096C1F"/>
    <w:multiLevelType w:val="hybridMultilevel"/>
    <w:tmpl w:val="98DCD890"/>
    <w:lvl w:ilvl="0" w:tplc="805CE8D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5"/>
  </w:num>
  <w:num w:numId="5">
    <w:abstractNumId w:val="9"/>
  </w:num>
  <w:num w:numId="6">
    <w:abstractNumId w:val="21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0"/>
  </w:num>
  <w:num w:numId="20">
    <w:abstractNumId w:val="20"/>
  </w:num>
  <w:num w:numId="21">
    <w:abstractNumId w:val="17"/>
  </w:num>
  <w:num w:numId="22">
    <w:abstractNumId w:val="10"/>
  </w:num>
  <w:num w:numId="23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C4F1A"/>
    <w:rsid w:val="001148C9"/>
    <w:rsid w:val="001456FA"/>
    <w:rsid w:val="00146228"/>
    <w:rsid w:val="00146C6D"/>
    <w:rsid w:val="00177655"/>
    <w:rsid w:val="00197F34"/>
    <w:rsid w:val="001A44E0"/>
    <w:rsid w:val="001E0AC1"/>
    <w:rsid w:val="00210B94"/>
    <w:rsid w:val="00254AA1"/>
    <w:rsid w:val="002573CF"/>
    <w:rsid w:val="00264505"/>
    <w:rsid w:val="0027653E"/>
    <w:rsid w:val="00287AA3"/>
    <w:rsid w:val="002C5008"/>
    <w:rsid w:val="002D6CFA"/>
    <w:rsid w:val="003229C1"/>
    <w:rsid w:val="003328C2"/>
    <w:rsid w:val="0037009E"/>
    <w:rsid w:val="003711FE"/>
    <w:rsid w:val="003A1406"/>
    <w:rsid w:val="003C49C3"/>
    <w:rsid w:val="003D74DC"/>
    <w:rsid w:val="003F6851"/>
    <w:rsid w:val="00412DC6"/>
    <w:rsid w:val="0042072C"/>
    <w:rsid w:val="00453A20"/>
    <w:rsid w:val="004961EE"/>
    <w:rsid w:val="004C49A2"/>
    <w:rsid w:val="004D27C0"/>
    <w:rsid w:val="00503CCD"/>
    <w:rsid w:val="0053233C"/>
    <w:rsid w:val="0055515A"/>
    <w:rsid w:val="005B43E3"/>
    <w:rsid w:val="005D339D"/>
    <w:rsid w:val="005F5CC5"/>
    <w:rsid w:val="0061251F"/>
    <w:rsid w:val="006704F9"/>
    <w:rsid w:val="00680DB2"/>
    <w:rsid w:val="00681306"/>
    <w:rsid w:val="006868F4"/>
    <w:rsid w:val="006A1644"/>
    <w:rsid w:val="006E77CA"/>
    <w:rsid w:val="0072651B"/>
    <w:rsid w:val="007467BA"/>
    <w:rsid w:val="007A42FD"/>
    <w:rsid w:val="007D29DA"/>
    <w:rsid w:val="007F78B4"/>
    <w:rsid w:val="0084047C"/>
    <w:rsid w:val="00847090"/>
    <w:rsid w:val="00852852"/>
    <w:rsid w:val="00874F0D"/>
    <w:rsid w:val="00876E1E"/>
    <w:rsid w:val="00895320"/>
    <w:rsid w:val="0089536A"/>
    <w:rsid w:val="008A31F1"/>
    <w:rsid w:val="008A7907"/>
    <w:rsid w:val="008D4C12"/>
    <w:rsid w:val="008E480F"/>
    <w:rsid w:val="008E6F57"/>
    <w:rsid w:val="009213D2"/>
    <w:rsid w:val="0095503C"/>
    <w:rsid w:val="00962EA4"/>
    <w:rsid w:val="00990E9E"/>
    <w:rsid w:val="009A7880"/>
    <w:rsid w:val="009B206C"/>
    <w:rsid w:val="00A804DE"/>
    <w:rsid w:val="00A95E39"/>
    <w:rsid w:val="00AE02E5"/>
    <w:rsid w:val="00AF036D"/>
    <w:rsid w:val="00AF1492"/>
    <w:rsid w:val="00AF5ED2"/>
    <w:rsid w:val="00B1382E"/>
    <w:rsid w:val="00B251ED"/>
    <w:rsid w:val="00B37311"/>
    <w:rsid w:val="00C14E0C"/>
    <w:rsid w:val="00C348FD"/>
    <w:rsid w:val="00C64BA3"/>
    <w:rsid w:val="00D266B5"/>
    <w:rsid w:val="00D27676"/>
    <w:rsid w:val="00D36EA1"/>
    <w:rsid w:val="00D7486A"/>
    <w:rsid w:val="00D8397F"/>
    <w:rsid w:val="00D92ADD"/>
    <w:rsid w:val="00DA4ABB"/>
    <w:rsid w:val="00E00C80"/>
    <w:rsid w:val="00E03237"/>
    <w:rsid w:val="00E3153F"/>
    <w:rsid w:val="00E9030D"/>
    <w:rsid w:val="00E9350C"/>
    <w:rsid w:val="00F31F90"/>
    <w:rsid w:val="00F46EC6"/>
    <w:rsid w:val="00F74946"/>
    <w:rsid w:val="00F961B1"/>
    <w:rsid w:val="00FC36C1"/>
    <w:rsid w:val="00FE7F7D"/>
    <w:rsid w:val="20D43DDC"/>
    <w:rsid w:val="5F7BD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64A1E62D-8C46-4CA2-A92D-51FF1AED1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Helvetica Neue" w:hAnsi="Helvetica Neue" w:cs="Times New Roman" w:eastAsiaTheme="minorEastAsia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hAnsi="Arial" w:eastAsia="Times New Roman"/>
      <w:sz w:val="16"/>
      <w:lang w:eastAsia="en-GB"/>
    </w:rPr>
  </w:style>
  <w:style w:type="character" w:styleId="FooterChar" w:customStyle="1">
    <w:name w:val="Footer Char"/>
    <w:basedOn w:val="DefaultParagraphFont"/>
    <w:link w:val="Footer"/>
    <w:rsid w:val="00DA4ABB"/>
    <w:rPr>
      <w:rFonts w:ascii="Arial" w:hAnsi="Arial" w:eastAsia="Times New Roman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basedOn w:val="Normal"/>
    <w:uiPriority w:val="34"/>
    <w:qFormat/>
    <w:rsid w:val="005D339D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D339D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C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D6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C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6CFA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FE7F7D"/>
  </w:style>
  <w:style w:type="character" w:styleId="eop" w:customStyle="1">
    <w:name w:val="eop"/>
    <w:basedOn w:val="DefaultParagraphFont"/>
    <w:rsid w:val="00FE7F7D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16/09/relationships/commentsIds" Target="/word/commentsIds.xml" Id="R50f2d797310c405d" /><Relationship Type="http://schemas.openxmlformats.org/officeDocument/2006/relationships/hyperlink" Target="https://aoc.ucl.ac.uk/alumni/alumni-relations/professional-development/alumni-volunteer-agreement-" TargetMode="External" Id="R8bbfef50dded4432" /><Relationship Type="http://schemas.openxmlformats.org/officeDocument/2006/relationships/hyperlink" Target="https://www.ucl.ac.uk/alumni/clubs-and-networks/guidance-global-alumni-groups" TargetMode="External" Id="R719221365c314c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D6CDD1F998642B9AFFAAC8DB0C03A" ma:contentTypeVersion="11" ma:contentTypeDescription="Create a new document." ma:contentTypeScope="" ma:versionID="0654152a78d62ef4fb4ead3bc15cf7e0">
  <xsd:schema xmlns:xsd="http://www.w3.org/2001/XMLSchema" xmlns:xs="http://www.w3.org/2001/XMLSchema" xmlns:p="http://schemas.microsoft.com/office/2006/metadata/properties" xmlns:ns2="d47beede-3d9a-4ac8-b31e-0065543c0a44" xmlns:ns3="1c627d0c-ec99-4dce-8728-5a82bdc345e5" targetNamespace="http://schemas.microsoft.com/office/2006/metadata/properties" ma:root="true" ma:fieldsID="37adc9d880cf286b2aa345d615bf80d3" ns2:_="" ns3:_="">
    <xsd:import namespace="d47beede-3d9a-4ac8-b31e-0065543c0a44"/>
    <xsd:import namespace="1c627d0c-ec99-4dce-8728-5a82bdc3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eede-3d9a-4ac8-b31e-0065543c0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7d0c-ec99-4dce-8728-5a82bdc3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A9DDF-8CEB-49D8-A623-9385C837D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eede-3d9a-4ac8-b31e-0065543c0a44"/>
    <ds:schemaRef ds:uri="1c627d0c-ec99-4dce-8728-5a82bdc3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11397-1E61-4F24-9D16-743FC02F5BC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1c627d0c-ec99-4dce-8728-5a82bdc345e5"/>
    <ds:schemaRef ds:uri="http://purl.org/dc/terms/"/>
    <ds:schemaRef ds:uri="d47beede-3d9a-4ac8-b31e-0065543c0a4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F7F408-E9F0-46C3-BB51-EE7BD3CFC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C2ED0-8E0A-4D9F-AEB9-3801C91585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davidson</dc:creator>
  <keywords/>
  <dc:description/>
  <lastModifiedBy>Hallett, Emma</lastModifiedBy>
  <revision>7</revision>
  <lastPrinted>2019-02-22T15:05:00.0000000Z</lastPrinted>
  <dcterms:created xsi:type="dcterms:W3CDTF">2020-07-02T14:20:00.0000000Z</dcterms:created>
  <dcterms:modified xsi:type="dcterms:W3CDTF">2020-08-19T08:53:43.7332750Z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0x010100176D6CDD1F998642B9AFFAAC8DB0C03A</vt:lpwstr>
  </property>
</Properties>
</file>