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237"/>
      </w:tblGrid>
      <w:tr w:rsidR="00551E79" w:rsidRPr="00DA1581" w14:paraId="4561E0D7" w14:textId="77777777" w:rsidTr="00A61A1A">
        <w:trPr>
          <w:trHeight w:val="983"/>
        </w:trPr>
        <w:tc>
          <w:tcPr>
            <w:tcW w:w="10910" w:type="dxa"/>
            <w:gridSpan w:val="2"/>
            <w:shd w:val="clear" w:color="auto" w:fill="F2F2F2"/>
            <w:vAlign w:val="center"/>
          </w:tcPr>
          <w:p w14:paraId="513B1553" w14:textId="2E92978A" w:rsidR="00551E79" w:rsidRPr="00A61A1A" w:rsidRDefault="00573863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i w:val="0"/>
                <w:sz w:val="20"/>
              </w:rPr>
            </w:pPr>
            <w:bookmarkStart w:id="0" w:name="_Toc420412703"/>
            <w:bookmarkStart w:id="1" w:name="_Hlk107415253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D58C3D2" wp14:editId="59B9E299">
                  <wp:simplePos x="0" y="0"/>
                  <wp:positionH relativeFrom="column">
                    <wp:posOffset>5612765</wp:posOffset>
                  </wp:positionH>
                  <wp:positionV relativeFrom="paragraph">
                    <wp:posOffset>61595</wp:posOffset>
                  </wp:positionV>
                  <wp:extent cx="1191895" cy="335915"/>
                  <wp:effectExtent l="0" t="0" r="0" b="0"/>
                  <wp:wrapNone/>
                  <wp:docPr id="3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 wp14:anchorId="315D345E" wp14:editId="19D7E986">
                  <wp:simplePos x="0" y="0"/>
                  <wp:positionH relativeFrom="column">
                    <wp:posOffset>8140700</wp:posOffset>
                  </wp:positionH>
                  <wp:positionV relativeFrom="paragraph">
                    <wp:posOffset>59055</wp:posOffset>
                  </wp:positionV>
                  <wp:extent cx="1557655" cy="43942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E79" w:rsidRPr="00A61A1A">
              <w:rPr>
                <w:rFonts w:eastAsia="Calibri"/>
                <w:i w:val="0"/>
                <w:sz w:val="20"/>
              </w:rPr>
              <w:t>UCL QU</w:t>
            </w:r>
            <w:r w:rsidR="00E254DD">
              <w:rPr>
                <w:rFonts w:eastAsia="Calibri"/>
                <w:i w:val="0"/>
                <w:sz w:val="20"/>
              </w:rPr>
              <w:t>ALITY REVIEW FRAMEWORK</w:t>
            </w:r>
            <w:bookmarkEnd w:id="0"/>
          </w:p>
          <w:p w14:paraId="62ADECCA" w14:textId="48CC43E0" w:rsidR="00551E79" w:rsidRPr="00A61A1A" w:rsidRDefault="003A68B0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sz w:val="24"/>
              </w:rPr>
            </w:pPr>
            <w:r>
              <w:rPr>
                <w:rFonts w:eastAsia="Calibri"/>
                <w:i w:val="0"/>
                <w:sz w:val="24"/>
              </w:rPr>
              <w:t xml:space="preserve">CONTINUOUS </w:t>
            </w:r>
            <w:r w:rsidR="00C26D6D">
              <w:rPr>
                <w:rFonts w:eastAsia="Calibri"/>
                <w:i w:val="0"/>
                <w:sz w:val="24"/>
              </w:rPr>
              <w:t>MODULE</w:t>
            </w:r>
            <w:r w:rsidR="00C26D6D" w:rsidRPr="00A61A1A">
              <w:rPr>
                <w:rFonts w:eastAsia="Calibri"/>
                <w:i w:val="0"/>
                <w:sz w:val="24"/>
              </w:rPr>
              <w:t xml:space="preserve"> </w:t>
            </w:r>
            <w:r w:rsidR="00770764">
              <w:rPr>
                <w:rFonts w:eastAsia="Calibri"/>
                <w:i w:val="0"/>
                <w:sz w:val="24"/>
              </w:rPr>
              <w:t xml:space="preserve">DIALOGUE </w:t>
            </w:r>
            <w:r w:rsidR="00551E79" w:rsidRPr="00A61A1A">
              <w:rPr>
                <w:rFonts w:eastAsia="Calibri"/>
                <w:i w:val="0"/>
                <w:sz w:val="24"/>
              </w:rPr>
              <w:t>DEPARTMENTAL SUMMARY</w:t>
            </w:r>
          </w:p>
        </w:tc>
      </w:tr>
      <w:tr w:rsidR="00551E79" w:rsidRPr="00DA1581" w14:paraId="77B18AEB" w14:textId="77777777" w:rsidTr="00A61A1A">
        <w:trPr>
          <w:trHeight w:val="751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6FB81AE" w14:textId="77777777" w:rsidR="006674F5" w:rsidRPr="00A61A1A" w:rsidRDefault="006674F5" w:rsidP="00A61A1A">
            <w:pPr>
              <w:pStyle w:val="Heading2"/>
              <w:spacing w:before="120" w:after="120"/>
              <w:jc w:val="left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A61A1A">
              <w:rPr>
                <w:rFonts w:eastAsia="Calibri"/>
                <w:i w:val="0"/>
                <w:sz w:val="20"/>
              </w:rPr>
              <w:t>HEAD OF DEPARTMENT/CHAIR OF DEPARTMENTAL TEACHING COMMITTEE PROFORMA</w:t>
            </w: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</w:p>
          <w:p w14:paraId="09AAC76E" w14:textId="56A35879" w:rsidR="00551E79" w:rsidRPr="00A61A1A" w:rsidRDefault="00551E79" w:rsidP="00A61A1A">
            <w:pPr>
              <w:pStyle w:val="Heading2"/>
              <w:spacing w:before="120" w:after="120"/>
              <w:jc w:val="left"/>
              <w:rPr>
                <w:rFonts w:eastAsia="Calibri"/>
                <w:i w:val="0"/>
                <w:noProof/>
                <w:lang w:val="en-GB"/>
              </w:rPr>
            </w:pP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For submission to the first meetings of the Departmental </w:t>
            </w:r>
            <w:r w:rsidR="007C7F63">
              <w:rPr>
                <w:rFonts w:eastAsia="Calibri"/>
                <w:b w:val="0"/>
                <w:bCs w:val="0"/>
                <w:sz w:val="20"/>
                <w:szCs w:val="20"/>
              </w:rPr>
              <w:t>Education</w:t>
            </w: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Committee, Staff Student Consultative Committee and the Faculty </w:t>
            </w:r>
            <w:r w:rsidR="007C7F63">
              <w:rPr>
                <w:rFonts w:eastAsia="Calibri"/>
                <w:b w:val="0"/>
                <w:bCs w:val="0"/>
                <w:sz w:val="20"/>
                <w:szCs w:val="20"/>
              </w:rPr>
              <w:t>Education</w:t>
            </w:r>
            <w:r w:rsidRPr="00A61A1A">
              <w:rPr>
                <w:rFonts w:eastAsia="Calibri"/>
                <w:b w:val="0"/>
                <w:bCs w:val="0"/>
                <w:sz w:val="20"/>
                <w:szCs w:val="20"/>
              </w:rPr>
              <w:t xml:space="preserve"> Committee</w:t>
            </w:r>
            <w:r w:rsidR="00645020" w:rsidRPr="00A61A1A">
              <w:rPr>
                <w:rFonts w:eastAsia="Calibr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51E79" w:rsidRPr="00A20E28" w14:paraId="5436CC36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712B4FE8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Academic Session: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A55EE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42361E1B" w14:textId="77777777" w:rsidTr="00A61A1A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14:paraId="55451CF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Department: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75186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69616FF4" w14:textId="77777777" w:rsidTr="00A61A1A">
        <w:trPr>
          <w:trHeight w:val="695"/>
        </w:trPr>
        <w:tc>
          <w:tcPr>
            <w:tcW w:w="4673" w:type="dxa"/>
            <w:shd w:val="clear" w:color="auto" w:fill="auto"/>
            <w:vAlign w:val="center"/>
          </w:tcPr>
          <w:p w14:paraId="312DC0DC" w14:textId="72BB6551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 xml:space="preserve">Head of Department/ Chair of Departmental </w:t>
            </w:r>
            <w:r w:rsidR="007C7F63">
              <w:rPr>
                <w:rFonts w:ascii="Arial" w:eastAsia="Calibri" w:hAnsi="Arial" w:cs="Arial"/>
                <w:b/>
              </w:rPr>
              <w:t>Education</w:t>
            </w:r>
            <w:r w:rsidRPr="00A61A1A">
              <w:rPr>
                <w:rFonts w:ascii="Arial" w:eastAsia="Calibri" w:hAnsi="Arial" w:cs="Arial"/>
                <w:b/>
              </w:rPr>
              <w:t xml:space="preserve"> Committee: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4C8399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5D9DC328" w14:textId="77777777" w:rsidTr="00A61A1A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14:paraId="5A10C8A5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  <w:b/>
              </w:rPr>
            </w:pPr>
            <w:r w:rsidRPr="00A61A1A">
              <w:rPr>
                <w:rFonts w:ascii="Arial" w:eastAsia="Calibri" w:hAnsi="Arial" w:cs="Arial"/>
                <w:b/>
              </w:rPr>
              <w:t>Date Completed: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EE3616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A20E28" w14:paraId="34B8D71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54B538" w14:textId="55E4B894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</w:rPr>
            </w:pPr>
            <w:r w:rsidRPr="00A61A1A">
              <w:rPr>
                <w:rFonts w:ascii="Arial" w:eastAsia="Calibri" w:hAnsi="Arial" w:cs="Arial"/>
                <w:bCs/>
              </w:rPr>
              <w:t>A.</w:t>
            </w:r>
            <w:r w:rsidR="006674F5" w:rsidRPr="00A61A1A">
              <w:rPr>
                <w:rFonts w:ascii="Arial" w:eastAsia="Calibri" w:hAnsi="Arial" w:cs="Arial"/>
                <w:bCs/>
              </w:rPr>
              <w:t xml:space="preserve"> </w:t>
            </w:r>
            <w:r w:rsidR="00BA3429">
              <w:rPr>
                <w:rFonts w:ascii="Arial" w:eastAsia="Calibri" w:hAnsi="Arial" w:cs="Arial"/>
                <w:bCs/>
              </w:rPr>
              <w:t>Confirmation that modules</w:t>
            </w:r>
            <w:r w:rsidR="00970CEA">
              <w:rPr>
                <w:rFonts w:ascii="Arial" w:eastAsia="Calibri" w:hAnsi="Arial" w:cs="Arial"/>
                <w:bCs/>
              </w:rPr>
              <w:t xml:space="preserve"> have</w:t>
            </w:r>
            <w:r w:rsidR="00BA3429">
              <w:rPr>
                <w:rFonts w:ascii="Arial" w:eastAsia="Calibri" w:hAnsi="Arial" w:cs="Arial"/>
                <w:bCs/>
              </w:rPr>
              <w:t xml:space="preserve"> engaged in a module dialogue process</w:t>
            </w:r>
          </w:p>
        </w:tc>
      </w:tr>
      <w:tr w:rsidR="00551E79" w:rsidRPr="00A20E28" w14:paraId="29645046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CC8AF11" w14:textId="4D68580A" w:rsidR="00970CEA" w:rsidRDefault="00970CEA" w:rsidP="00A61A1A">
            <w:pPr>
              <w:jc w:val="left"/>
              <w:rPr>
                <w:rFonts w:ascii="Arial" w:eastAsia="Calibri" w:hAnsi="Arial" w:cs="Arial"/>
              </w:rPr>
            </w:pPr>
          </w:p>
          <w:p w14:paraId="3220A4F0" w14:textId="42C6363D" w:rsidR="00E24700" w:rsidRPr="00E24700" w:rsidRDefault="00F71B5F" w:rsidP="00A61A1A">
            <w:pPr>
              <w:jc w:val="left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 xml:space="preserve">Response rate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(%) from Module Leaders across the department to </w:t>
            </w:r>
            <w:r>
              <w:rPr>
                <w:rFonts w:ascii="Arial" w:eastAsia="Calibri" w:hAnsi="Arial" w:cs="Arial"/>
                <w:i/>
                <w:iCs/>
              </w:rPr>
              <w:t xml:space="preserve">continuous </w:t>
            </w:r>
            <w:r w:rsidR="00970CEA" w:rsidRPr="00E24700">
              <w:rPr>
                <w:rFonts w:ascii="Arial" w:eastAsia="Calibri" w:hAnsi="Arial" w:cs="Arial"/>
                <w:i/>
                <w:iCs/>
              </w:rPr>
              <w:t xml:space="preserve">module dialogue </w:t>
            </w:r>
            <w:r>
              <w:rPr>
                <w:rFonts w:ascii="Arial" w:eastAsia="Calibri" w:hAnsi="Arial" w:cs="Arial"/>
                <w:i/>
                <w:iCs/>
              </w:rPr>
              <w:t>capture</w:t>
            </w:r>
            <w:r w:rsidR="00E24700">
              <w:rPr>
                <w:rFonts w:ascii="Arial" w:eastAsia="Calibri" w:hAnsi="Arial" w:cs="Arial"/>
                <w:i/>
                <w:iCs/>
              </w:rPr>
              <w:t xml:space="preserve"> survey</w:t>
            </w:r>
          </w:p>
        </w:tc>
      </w:tr>
      <w:tr w:rsidR="00551E79" w:rsidRPr="00551E79" w14:paraId="254676A8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868530B" w14:textId="3430A4D8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B. </w:t>
            </w:r>
            <w:r w:rsidR="005A3EEC">
              <w:rPr>
                <w:rFonts w:ascii="Arial" w:eastAsia="Calibri" w:hAnsi="Arial" w:cs="Arial"/>
                <w:bCs/>
              </w:rPr>
              <w:t xml:space="preserve">Which </w:t>
            </w:r>
            <w:r w:rsidR="003A68B0">
              <w:rPr>
                <w:rFonts w:ascii="Arial" w:eastAsia="Calibri" w:hAnsi="Arial" w:cs="Arial"/>
                <w:bCs/>
              </w:rPr>
              <w:t xml:space="preserve">parts of the dialogue process worked well, and which </w:t>
            </w:r>
            <w:r w:rsidR="005A3EEC">
              <w:rPr>
                <w:rFonts w:ascii="Arial" w:eastAsia="Calibri" w:hAnsi="Arial" w:cs="Arial"/>
                <w:bCs/>
              </w:rPr>
              <w:t>changes/improvements</w:t>
            </w:r>
            <w:r w:rsidR="00970CEA">
              <w:rPr>
                <w:rFonts w:ascii="Arial" w:eastAsia="Calibri" w:hAnsi="Arial" w:cs="Arial"/>
                <w:bCs/>
              </w:rPr>
              <w:t xml:space="preserve"> </w:t>
            </w:r>
            <w:r w:rsidR="003A68B0">
              <w:rPr>
                <w:rFonts w:ascii="Arial" w:eastAsia="Calibri" w:hAnsi="Arial" w:cs="Arial"/>
                <w:bCs/>
              </w:rPr>
              <w:t xml:space="preserve">made as a result </w:t>
            </w:r>
            <w:r w:rsidR="005A3EEC">
              <w:rPr>
                <w:rFonts w:ascii="Arial" w:eastAsia="Calibri" w:hAnsi="Arial" w:cs="Arial"/>
                <w:bCs/>
              </w:rPr>
              <w:t>were particularly effective?</w:t>
            </w:r>
          </w:p>
        </w:tc>
      </w:tr>
      <w:tr w:rsidR="00551E79" w:rsidRPr="00A20E28" w14:paraId="70479133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1B42E493" w14:textId="4249BE11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2BE5AB39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49A3B68" w14:textId="7DD0ADEA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 xml:space="preserve">C. </w:t>
            </w:r>
            <w:r w:rsidR="003A68B0">
              <w:rPr>
                <w:rFonts w:ascii="Arial" w:eastAsia="Calibri" w:hAnsi="Arial" w:cs="Arial"/>
                <w:bCs/>
              </w:rPr>
              <w:t>Can you identify specific impacts on students as a result of engaging in continuous module dialogue? (Examples might include fewer individual assessment queries or better engagement with resources)</w:t>
            </w:r>
            <w:r w:rsidR="00FC551B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551E79" w:rsidRPr="00A20E28" w14:paraId="359CF9B8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24E66427" w14:textId="77777777" w:rsidR="00551E79" w:rsidRPr="00A61A1A" w:rsidRDefault="00551E79" w:rsidP="00A61A1A">
            <w:pPr>
              <w:autoSpaceDE/>
              <w:autoSpaceDN/>
              <w:jc w:val="left"/>
              <w:rPr>
                <w:rFonts w:ascii="Arial" w:eastAsia="Calibri" w:hAnsi="Arial" w:cs="Arial"/>
              </w:rPr>
            </w:pPr>
          </w:p>
        </w:tc>
      </w:tr>
      <w:tr w:rsidR="00551E79" w:rsidRPr="00551E79" w14:paraId="116FE58F" w14:textId="77777777" w:rsidTr="00A61A1A">
        <w:trPr>
          <w:trHeight w:val="567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AC34D0E" w14:textId="0DDD0368" w:rsidR="00551E79" w:rsidRPr="00A61A1A" w:rsidRDefault="00551E79" w:rsidP="00A61A1A">
            <w:pPr>
              <w:autoSpaceDE/>
              <w:autoSpaceDN/>
              <w:spacing w:before="120" w:after="120"/>
              <w:jc w:val="left"/>
              <w:rPr>
                <w:rFonts w:ascii="Arial" w:eastAsia="Calibri" w:hAnsi="Arial" w:cs="Arial"/>
                <w:bCs/>
              </w:rPr>
            </w:pPr>
            <w:r w:rsidRPr="00A61A1A">
              <w:rPr>
                <w:rFonts w:ascii="Arial" w:eastAsia="Calibri" w:hAnsi="Arial" w:cs="Arial"/>
                <w:bCs/>
              </w:rPr>
              <w:t>F. Confirmation</w:t>
            </w:r>
            <w:r w:rsidR="003A68B0">
              <w:rPr>
                <w:rFonts w:ascii="Arial" w:eastAsia="Calibri" w:hAnsi="Arial" w:cs="Arial"/>
                <w:bCs/>
              </w:rPr>
              <w:t xml:space="preserve"> </w:t>
            </w:r>
            <w:r w:rsidRPr="00A61A1A">
              <w:rPr>
                <w:rFonts w:ascii="Arial" w:eastAsia="Calibri" w:hAnsi="Arial" w:cs="Arial"/>
                <w:bCs/>
              </w:rPr>
              <w:t xml:space="preserve">of the dates of the meetings of (i) Departmental </w:t>
            </w:r>
            <w:r w:rsidR="007C7F63">
              <w:rPr>
                <w:rFonts w:ascii="Arial" w:eastAsia="Calibri" w:hAnsi="Arial" w:cs="Arial"/>
                <w:bCs/>
              </w:rPr>
              <w:t>Education</w:t>
            </w:r>
            <w:r w:rsidRPr="00A61A1A">
              <w:rPr>
                <w:rFonts w:ascii="Arial" w:eastAsia="Calibri" w:hAnsi="Arial" w:cs="Arial"/>
                <w:bCs/>
              </w:rPr>
              <w:t xml:space="preserve"> Committee (or equivalent) and (ii) Staff Student Consultative Committee and (iii) Faculty </w:t>
            </w:r>
            <w:r w:rsidR="007C7F63">
              <w:rPr>
                <w:rFonts w:ascii="Arial" w:eastAsia="Calibri" w:hAnsi="Arial" w:cs="Arial"/>
                <w:bCs/>
              </w:rPr>
              <w:t>Education</w:t>
            </w:r>
            <w:r w:rsidRPr="00A61A1A">
              <w:rPr>
                <w:rFonts w:ascii="Arial" w:eastAsia="Calibri" w:hAnsi="Arial" w:cs="Arial"/>
                <w:bCs/>
              </w:rPr>
              <w:t xml:space="preserve"> Committee </w:t>
            </w:r>
            <w:r w:rsidR="003A68B0">
              <w:rPr>
                <w:rFonts w:ascii="Arial" w:eastAsia="Calibri" w:hAnsi="Arial" w:cs="Arial"/>
                <w:bCs/>
              </w:rPr>
              <w:t xml:space="preserve">where the outcomes of the </w:t>
            </w:r>
            <w:r w:rsidR="00EA17AD">
              <w:rPr>
                <w:rFonts w:ascii="Arial" w:eastAsia="Calibri" w:hAnsi="Arial" w:cs="Arial"/>
                <w:bCs/>
              </w:rPr>
              <w:t xml:space="preserve">Continuous </w:t>
            </w:r>
            <w:r w:rsidR="003A68B0">
              <w:rPr>
                <w:rFonts w:ascii="Arial" w:eastAsia="Calibri" w:hAnsi="Arial" w:cs="Arial"/>
                <w:bCs/>
              </w:rPr>
              <w:t>Module Dialogue process were discussed and any key points arising.</w:t>
            </w:r>
          </w:p>
        </w:tc>
      </w:tr>
      <w:tr w:rsidR="00551E79" w:rsidRPr="00A20E28" w14:paraId="31549A40" w14:textId="77777777" w:rsidTr="00A61A1A">
        <w:trPr>
          <w:trHeight w:val="102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0CC65FC4" w14:textId="77777777" w:rsidR="00551E79" w:rsidRPr="00A61A1A" w:rsidRDefault="00551E79" w:rsidP="00A61A1A">
            <w:pPr>
              <w:jc w:val="left"/>
              <w:rPr>
                <w:rFonts w:ascii="Arial" w:eastAsia="Calibri" w:hAnsi="Arial" w:cs="Arial"/>
              </w:rPr>
            </w:pPr>
          </w:p>
        </w:tc>
      </w:tr>
      <w:bookmarkEnd w:id="1"/>
    </w:tbl>
    <w:p w14:paraId="15AE5DFF" w14:textId="77777777" w:rsidR="00FE5DF9" w:rsidRDefault="00FE5DF9" w:rsidP="00551E79"/>
    <w:sectPr w:rsidR="00FE5DF9" w:rsidSect="00FC43CC">
      <w:type w:val="continuous"/>
      <w:pgSz w:w="11907" w:h="16840"/>
      <w:pgMar w:top="567" w:right="567" w:bottom="567" w:left="567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DB"/>
    <w:multiLevelType w:val="multilevel"/>
    <w:tmpl w:val="99363E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9570F1B"/>
    <w:multiLevelType w:val="hybridMultilevel"/>
    <w:tmpl w:val="3D7653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6D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300867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EDA"/>
    <w:multiLevelType w:val="multilevel"/>
    <w:tmpl w:val="98CC51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701788"/>
    <w:multiLevelType w:val="hybridMultilevel"/>
    <w:tmpl w:val="D73A858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6021B85"/>
    <w:multiLevelType w:val="hybridMultilevel"/>
    <w:tmpl w:val="9FBA44D4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3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82F2744"/>
    <w:multiLevelType w:val="hybridMultilevel"/>
    <w:tmpl w:val="DAB4B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651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5BC"/>
    <w:multiLevelType w:val="hybridMultilevel"/>
    <w:tmpl w:val="E4F05736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8" w15:restartNumberingAfterBreak="0">
    <w:nsid w:val="4C395C77"/>
    <w:multiLevelType w:val="hybridMultilevel"/>
    <w:tmpl w:val="A7ACFDB6"/>
    <w:lvl w:ilvl="0" w:tplc="92B4746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90C5DBE"/>
    <w:multiLevelType w:val="hybridMultilevel"/>
    <w:tmpl w:val="5CCEADB2"/>
    <w:lvl w:ilvl="0" w:tplc="080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3" w:tplc="0100D2A2">
      <w:numFmt w:val="bullet"/>
      <w:lvlText w:val="-"/>
      <w:lvlJc w:val="left"/>
      <w:pPr>
        <w:tabs>
          <w:tab w:val="num" w:pos="3513"/>
        </w:tabs>
        <w:ind w:left="3513" w:hanging="36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3CB364E"/>
    <w:multiLevelType w:val="hybridMultilevel"/>
    <w:tmpl w:val="7EBC5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6DB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1D96"/>
    <w:multiLevelType w:val="multilevel"/>
    <w:tmpl w:val="9818728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3B4F17"/>
    <w:multiLevelType w:val="multilevel"/>
    <w:tmpl w:val="EA0C60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9F2F96"/>
    <w:multiLevelType w:val="multilevel"/>
    <w:tmpl w:val="E4F05736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87F21"/>
    <w:multiLevelType w:val="multilevel"/>
    <w:tmpl w:val="C2B084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782114579">
    <w:abstractNumId w:val="8"/>
  </w:num>
  <w:num w:numId="2" w16cid:durableId="146435087">
    <w:abstractNumId w:val="7"/>
  </w:num>
  <w:num w:numId="3" w16cid:durableId="1330019094">
    <w:abstractNumId w:val="5"/>
  </w:num>
  <w:num w:numId="4" w16cid:durableId="633564173">
    <w:abstractNumId w:val="9"/>
  </w:num>
  <w:num w:numId="5" w16cid:durableId="1602225437">
    <w:abstractNumId w:val="0"/>
  </w:num>
  <w:num w:numId="6" w16cid:durableId="589393105">
    <w:abstractNumId w:val="3"/>
  </w:num>
  <w:num w:numId="7" w16cid:durableId="500044517">
    <w:abstractNumId w:val="1"/>
  </w:num>
  <w:num w:numId="8" w16cid:durableId="163016336">
    <w:abstractNumId w:val="10"/>
  </w:num>
  <w:num w:numId="9" w16cid:durableId="252904263">
    <w:abstractNumId w:val="14"/>
  </w:num>
  <w:num w:numId="10" w16cid:durableId="663975000">
    <w:abstractNumId w:val="4"/>
  </w:num>
  <w:num w:numId="11" w16cid:durableId="1711612743">
    <w:abstractNumId w:val="12"/>
  </w:num>
  <w:num w:numId="12" w16cid:durableId="1870678413">
    <w:abstractNumId w:val="2"/>
  </w:num>
  <w:num w:numId="13" w16cid:durableId="1931351735">
    <w:abstractNumId w:val="11"/>
  </w:num>
  <w:num w:numId="14" w16cid:durableId="395708611">
    <w:abstractNumId w:val="6"/>
  </w:num>
  <w:num w:numId="15" w16cid:durableId="147914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20"/>
    <w:rsid w:val="000212DA"/>
    <w:rsid w:val="00055FC4"/>
    <w:rsid w:val="00132D7A"/>
    <w:rsid w:val="00133CB8"/>
    <w:rsid w:val="00145C64"/>
    <w:rsid w:val="001470E1"/>
    <w:rsid w:val="0015115C"/>
    <w:rsid w:val="00167F61"/>
    <w:rsid w:val="00182CDB"/>
    <w:rsid w:val="001A24D7"/>
    <w:rsid w:val="001B5B26"/>
    <w:rsid w:val="001D479A"/>
    <w:rsid w:val="002116D4"/>
    <w:rsid w:val="0022074F"/>
    <w:rsid w:val="00247559"/>
    <w:rsid w:val="00283373"/>
    <w:rsid w:val="002A60DF"/>
    <w:rsid w:val="002C54B1"/>
    <w:rsid w:val="00302F8C"/>
    <w:rsid w:val="003351BF"/>
    <w:rsid w:val="00352C31"/>
    <w:rsid w:val="0037515F"/>
    <w:rsid w:val="003846ED"/>
    <w:rsid w:val="00390520"/>
    <w:rsid w:val="003A68B0"/>
    <w:rsid w:val="003C6AC2"/>
    <w:rsid w:val="00411169"/>
    <w:rsid w:val="00420985"/>
    <w:rsid w:val="00431EA2"/>
    <w:rsid w:val="00444330"/>
    <w:rsid w:val="00444CC0"/>
    <w:rsid w:val="00473EA1"/>
    <w:rsid w:val="0049476D"/>
    <w:rsid w:val="004C0563"/>
    <w:rsid w:val="004D0318"/>
    <w:rsid w:val="004E6057"/>
    <w:rsid w:val="004F1CDA"/>
    <w:rsid w:val="00512BFC"/>
    <w:rsid w:val="0055036D"/>
    <w:rsid w:val="00551E79"/>
    <w:rsid w:val="00557A0E"/>
    <w:rsid w:val="00573863"/>
    <w:rsid w:val="00573FA7"/>
    <w:rsid w:val="005A3EEC"/>
    <w:rsid w:val="005C13C6"/>
    <w:rsid w:val="005C384D"/>
    <w:rsid w:val="005C5C88"/>
    <w:rsid w:val="005C6D44"/>
    <w:rsid w:val="0061098A"/>
    <w:rsid w:val="00645020"/>
    <w:rsid w:val="00660244"/>
    <w:rsid w:val="006674F5"/>
    <w:rsid w:val="0067140F"/>
    <w:rsid w:val="00676330"/>
    <w:rsid w:val="00690B14"/>
    <w:rsid w:val="006B6D05"/>
    <w:rsid w:val="006C13B2"/>
    <w:rsid w:val="006D6D09"/>
    <w:rsid w:val="00701603"/>
    <w:rsid w:val="007051D5"/>
    <w:rsid w:val="00764D40"/>
    <w:rsid w:val="00765321"/>
    <w:rsid w:val="00770764"/>
    <w:rsid w:val="007927FB"/>
    <w:rsid w:val="007A7343"/>
    <w:rsid w:val="007B75A7"/>
    <w:rsid w:val="007C4844"/>
    <w:rsid w:val="007C7F63"/>
    <w:rsid w:val="007D2621"/>
    <w:rsid w:val="007E2647"/>
    <w:rsid w:val="00815792"/>
    <w:rsid w:val="0082011A"/>
    <w:rsid w:val="0082135D"/>
    <w:rsid w:val="00831DC7"/>
    <w:rsid w:val="00832A0C"/>
    <w:rsid w:val="0084395A"/>
    <w:rsid w:val="00846D3F"/>
    <w:rsid w:val="00857953"/>
    <w:rsid w:val="008606A3"/>
    <w:rsid w:val="00860A45"/>
    <w:rsid w:val="00865641"/>
    <w:rsid w:val="008762EB"/>
    <w:rsid w:val="00877413"/>
    <w:rsid w:val="008879DD"/>
    <w:rsid w:val="008A3982"/>
    <w:rsid w:val="008A5CD4"/>
    <w:rsid w:val="008B21BE"/>
    <w:rsid w:val="008F0EB4"/>
    <w:rsid w:val="00957C49"/>
    <w:rsid w:val="00970CEA"/>
    <w:rsid w:val="0097658E"/>
    <w:rsid w:val="009B0207"/>
    <w:rsid w:val="009E6597"/>
    <w:rsid w:val="009F28C6"/>
    <w:rsid w:val="009F4D79"/>
    <w:rsid w:val="00A20230"/>
    <w:rsid w:val="00A5407F"/>
    <w:rsid w:val="00A61A1A"/>
    <w:rsid w:val="00AC50BF"/>
    <w:rsid w:val="00B11F10"/>
    <w:rsid w:val="00B12932"/>
    <w:rsid w:val="00B17B7A"/>
    <w:rsid w:val="00B266DD"/>
    <w:rsid w:val="00B37E2D"/>
    <w:rsid w:val="00B438C4"/>
    <w:rsid w:val="00B6669D"/>
    <w:rsid w:val="00B83B4C"/>
    <w:rsid w:val="00BA3429"/>
    <w:rsid w:val="00BA47DA"/>
    <w:rsid w:val="00BB1EEB"/>
    <w:rsid w:val="00BF7DE8"/>
    <w:rsid w:val="00C02BFE"/>
    <w:rsid w:val="00C12E6C"/>
    <w:rsid w:val="00C14EAF"/>
    <w:rsid w:val="00C23A67"/>
    <w:rsid w:val="00C268E2"/>
    <w:rsid w:val="00C26D6D"/>
    <w:rsid w:val="00C32682"/>
    <w:rsid w:val="00C46087"/>
    <w:rsid w:val="00C75CF3"/>
    <w:rsid w:val="00C93FBA"/>
    <w:rsid w:val="00CA1882"/>
    <w:rsid w:val="00CD0D61"/>
    <w:rsid w:val="00CD4D00"/>
    <w:rsid w:val="00CE7029"/>
    <w:rsid w:val="00D25428"/>
    <w:rsid w:val="00D26931"/>
    <w:rsid w:val="00D27ABC"/>
    <w:rsid w:val="00D27E21"/>
    <w:rsid w:val="00DB24DA"/>
    <w:rsid w:val="00DD12C4"/>
    <w:rsid w:val="00DE4385"/>
    <w:rsid w:val="00DF4101"/>
    <w:rsid w:val="00E21751"/>
    <w:rsid w:val="00E24700"/>
    <w:rsid w:val="00E254DD"/>
    <w:rsid w:val="00E276C9"/>
    <w:rsid w:val="00E34163"/>
    <w:rsid w:val="00E57B37"/>
    <w:rsid w:val="00E82C41"/>
    <w:rsid w:val="00E97DEA"/>
    <w:rsid w:val="00EA17AD"/>
    <w:rsid w:val="00EA2699"/>
    <w:rsid w:val="00EC7BAB"/>
    <w:rsid w:val="00ED01D4"/>
    <w:rsid w:val="00ED14BE"/>
    <w:rsid w:val="00ED52E8"/>
    <w:rsid w:val="00EE3BE9"/>
    <w:rsid w:val="00F05767"/>
    <w:rsid w:val="00F46D6E"/>
    <w:rsid w:val="00F50EF3"/>
    <w:rsid w:val="00F63BB0"/>
    <w:rsid w:val="00F71B5F"/>
    <w:rsid w:val="00F812E2"/>
    <w:rsid w:val="00FA4190"/>
    <w:rsid w:val="00FB3DF6"/>
    <w:rsid w:val="00FB4964"/>
    <w:rsid w:val="00FC43CC"/>
    <w:rsid w:val="00FC551B"/>
    <w:rsid w:val="00FE5DF9"/>
    <w:rsid w:val="00FF0D96"/>
    <w:rsid w:val="00FF375F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4062"/>
  <w15:chartTrackingRefBased/>
  <w15:docId w15:val="{EE778D38-4A3E-4589-8634-F43F3AF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Helvetica" w:hAnsi="Helvetica" w:cs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D27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133CB8"/>
    <w:pPr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EC7BAB"/>
    <w:pPr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EC7BAB"/>
    <w:rPr>
      <w:color w:val="0000FF"/>
      <w:u w:val="single"/>
    </w:rPr>
  </w:style>
  <w:style w:type="paragraph" w:styleId="BalloonText">
    <w:name w:val="Balloon Text"/>
    <w:basedOn w:val="Normal"/>
    <w:semiHidden/>
    <w:rsid w:val="004E60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F7DE8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51E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D09"/>
    <w:pPr>
      <w:ind w:left="720"/>
      <w:contextualSpacing/>
    </w:pPr>
  </w:style>
  <w:style w:type="character" w:styleId="CommentReference">
    <w:name w:val="annotation reference"/>
    <w:basedOn w:val="DefaultParagraphFont"/>
    <w:rsid w:val="00970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C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CEA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CEA"/>
    <w:rPr>
      <w:rFonts w:ascii="Helvetica" w:hAnsi="Helvetica" w:cs="Helvetica"/>
      <w:b/>
      <w:bCs/>
      <w:lang w:val="en-US" w:eastAsia="en-US"/>
    </w:rPr>
  </w:style>
  <w:style w:type="paragraph" w:styleId="Revision">
    <w:name w:val="Revision"/>
    <w:hidden/>
    <w:uiPriority w:val="99"/>
    <w:semiHidden/>
    <w:rsid w:val="001B5B26"/>
    <w:rPr>
      <w:rFonts w:ascii="Helvetica" w:hAnsi="Helvetica" w:cs="Helvetic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BIOCHEMISTRY &amp; MOLECULAR BIOLOGY_Course Unit Report Form</vt:lpstr>
    </vt:vector>
  </TitlesOfParts>
  <Company>University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BIOCHEMISTRY &amp; MOLECULAR BIOLOGY_Course Unit Report Form</dc:title>
  <dc:subject/>
  <dc:creator>Biochemistry Department</dc:creator>
  <cp:keywords/>
  <dc:description/>
  <cp:lastModifiedBy>Ashley Doolan</cp:lastModifiedBy>
  <cp:revision>6</cp:revision>
  <cp:lastPrinted>2010-06-28T13:45:00Z</cp:lastPrinted>
  <dcterms:created xsi:type="dcterms:W3CDTF">2022-06-29T13:19:00Z</dcterms:created>
  <dcterms:modified xsi:type="dcterms:W3CDTF">2023-07-12T12:49:00Z</dcterms:modified>
</cp:coreProperties>
</file>