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774D5" w14:textId="0DF41290" w:rsidR="00855BEF" w:rsidRDefault="008D4A3C" w:rsidP="00855BEF">
      <w:pPr>
        <w:spacing w:before="120" w:after="120"/>
        <w:rPr>
          <w:rFonts w:ascii="Arial" w:hAnsi="Arial" w:cs="Arial"/>
          <w:b/>
          <w:color w:val="000000" w:themeColor="text1"/>
          <w:sz w:val="24"/>
          <w:szCs w:val="24"/>
          <w:u w:val="single"/>
        </w:rPr>
      </w:pPr>
      <w:bookmarkStart w:id="0" w:name="_Toc447873379"/>
      <w:r w:rsidRPr="00632374">
        <w:rPr>
          <w:noProof/>
          <w:color w:val="000000" w:themeColor="text1"/>
          <w:lang w:eastAsia="zh-CN"/>
        </w:rPr>
        <w:drawing>
          <wp:anchor distT="0" distB="0" distL="114300" distR="114300" simplePos="0" relativeHeight="251659264" behindDoc="1" locked="0" layoutInCell="1" allowOverlap="1" wp14:anchorId="1DE72FE4" wp14:editId="4A767ABE">
            <wp:simplePos x="0" y="0"/>
            <wp:positionH relativeFrom="page">
              <wp:posOffset>0</wp:posOffset>
            </wp:positionH>
            <wp:positionV relativeFrom="paragraph">
              <wp:posOffset>352425</wp:posOffset>
            </wp:positionV>
            <wp:extent cx="7595870" cy="988695"/>
            <wp:effectExtent l="0" t="0" r="5080" b="1905"/>
            <wp:wrapNone/>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3E003" w14:textId="2733300F" w:rsidR="00564FF5" w:rsidRPr="00632374" w:rsidRDefault="008D4A3C" w:rsidP="00855BEF">
      <w:pPr>
        <w:spacing w:before="120" w:after="120"/>
        <w:ind w:left="360"/>
        <w:rPr>
          <w:rFonts w:ascii="Arial" w:hAnsi="Arial" w:cs="Arial"/>
          <w:b/>
          <w:color w:val="000000" w:themeColor="text1"/>
          <w:sz w:val="24"/>
          <w:szCs w:val="24"/>
          <w:u w:val="single"/>
        </w:rPr>
      </w:pPr>
      <w:r w:rsidRPr="00632374">
        <w:rPr>
          <w:rFonts w:ascii="Arial" w:hAnsi="Arial" w:cs="Arial"/>
          <w:b/>
          <w:color w:val="000000" w:themeColor="text1"/>
          <w:sz w:val="24"/>
          <w:szCs w:val="24"/>
          <w:u w:val="single"/>
        </w:rPr>
        <w:t xml:space="preserve"> </w:t>
      </w:r>
    </w:p>
    <w:p w14:paraId="17758EA9" w14:textId="77777777" w:rsidR="00564FF5" w:rsidRPr="00632374" w:rsidRDefault="00564FF5" w:rsidP="00564FF5">
      <w:pPr>
        <w:spacing w:before="120" w:after="120"/>
        <w:ind w:left="360"/>
        <w:rPr>
          <w:rFonts w:ascii="Arial" w:hAnsi="Arial" w:cs="Arial"/>
          <w:b/>
          <w:color w:val="000000" w:themeColor="text1"/>
          <w:sz w:val="24"/>
          <w:szCs w:val="24"/>
          <w:u w:val="single"/>
        </w:rPr>
      </w:pPr>
    </w:p>
    <w:p w14:paraId="13EEAC62" w14:textId="77777777" w:rsidR="00564FF5" w:rsidRPr="00632374" w:rsidRDefault="00564FF5" w:rsidP="00564FF5">
      <w:pPr>
        <w:spacing w:before="120" w:after="120"/>
        <w:ind w:left="360"/>
        <w:rPr>
          <w:rFonts w:ascii="Arial" w:hAnsi="Arial" w:cs="Arial"/>
          <w:b/>
          <w:color w:val="000000" w:themeColor="text1"/>
          <w:sz w:val="24"/>
          <w:szCs w:val="24"/>
          <w:u w:val="single"/>
        </w:rPr>
      </w:pPr>
    </w:p>
    <w:p w14:paraId="4657EDEA" w14:textId="77777777" w:rsidR="00564FF5" w:rsidRPr="00632374" w:rsidRDefault="00564FF5" w:rsidP="00564FF5">
      <w:pPr>
        <w:spacing w:before="120" w:after="120"/>
        <w:ind w:left="360"/>
        <w:rPr>
          <w:rFonts w:ascii="Arial" w:hAnsi="Arial" w:cs="Arial"/>
          <w:color w:val="000000" w:themeColor="text1"/>
          <w:sz w:val="36"/>
          <w:szCs w:val="36"/>
        </w:rPr>
      </w:pPr>
    </w:p>
    <w:p w14:paraId="364EFA55" w14:textId="5AB35A7D" w:rsidR="00564FF5" w:rsidRPr="00632374" w:rsidRDefault="00564FF5" w:rsidP="00564FF5">
      <w:pPr>
        <w:spacing w:before="120" w:after="120"/>
        <w:ind w:left="360"/>
        <w:rPr>
          <w:rFonts w:ascii="Arial" w:hAnsi="Arial" w:cs="Arial"/>
          <w:color w:val="000000" w:themeColor="text1"/>
          <w:sz w:val="28"/>
          <w:szCs w:val="36"/>
        </w:rPr>
      </w:pPr>
      <w:r w:rsidRPr="00632374">
        <w:rPr>
          <w:rFonts w:ascii="Arial" w:hAnsi="Arial" w:cs="Arial"/>
          <w:color w:val="000000" w:themeColor="text1"/>
          <w:sz w:val="28"/>
          <w:szCs w:val="36"/>
        </w:rPr>
        <w:t>UCL Academic Manual</w:t>
      </w:r>
      <w:r w:rsidR="00230EC8" w:rsidRPr="00632374">
        <w:rPr>
          <w:rFonts w:ascii="Arial" w:hAnsi="Arial" w:cs="Arial"/>
          <w:color w:val="000000" w:themeColor="text1"/>
          <w:sz w:val="28"/>
          <w:szCs w:val="36"/>
        </w:rPr>
        <w:t xml:space="preserve"> 201</w:t>
      </w:r>
      <w:r w:rsidR="00BC73AF">
        <w:rPr>
          <w:rFonts w:ascii="Arial" w:hAnsi="Arial" w:cs="Arial"/>
          <w:color w:val="000000" w:themeColor="text1"/>
          <w:sz w:val="28"/>
          <w:szCs w:val="36"/>
        </w:rPr>
        <w:t>9</w:t>
      </w:r>
      <w:r w:rsidR="00230EC8" w:rsidRPr="00632374">
        <w:rPr>
          <w:rFonts w:ascii="Arial" w:hAnsi="Arial" w:cs="Arial"/>
          <w:color w:val="000000" w:themeColor="text1"/>
          <w:sz w:val="28"/>
          <w:szCs w:val="36"/>
        </w:rPr>
        <w:t>-</w:t>
      </w:r>
      <w:r w:rsidR="00BC73AF">
        <w:rPr>
          <w:rFonts w:ascii="Arial" w:hAnsi="Arial" w:cs="Arial"/>
          <w:color w:val="000000" w:themeColor="text1"/>
          <w:sz w:val="28"/>
          <w:szCs w:val="36"/>
        </w:rPr>
        <w:t>20</w:t>
      </w:r>
    </w:p>
    <w:p w14:paraId="0EE65DEE" w14:textId="0590D2A9" w:rsidR="00564FF5" w:rsidRPr="00632374" w:rsidRDefault="00564FF5" w:rsidP="00564FF5">
      <w:pPr>
        <w:spacing w:before="120" w:after="120"/>
        <w:ind w:left="360"/>
        <w:rPr>
          <w:rFonts w:ascii="Arial" w:hAnsi="Arial" w:cs="Arial"/>
          <w:color w:val="000000" w:themeColor="text1"/>
          <w:sz w:val="28"/>
          <w:szCs w:val="36"/>
        </w:rPr>
      </w:pPr>
      <w:r w:rsidRPr="00632374">
        <w:rPr>
          <w:rFonts w:ascii="Arial" w:hAnsi="Arial" w:cs="Arial"/>
          <w:color w:val="000000" w:themeColor="text1"/>
          <w:sz w:val="28"/>
          <w:szCs w:val="36"/>
        </w:rPr>
        <w:t xml:space="preserve">Chapter </w:t>
      </w:r>
      <w:r w:rsidR="00230EC8" w:rsidRPr="00632374">
        <w:rPr>
          <w:rFonts w:ascii="Arial" w:hAnsi="Arial" w:cs="Arial"/>
          <w:color w:val="000000" w:themeColor="text1"/>
          <w:sz w:val="28"/>
          <w:szCs w:val="36"/>
        </w:rPr>
        <w:t>6</w:t>
      </w:r>
      <w:r w:rsidRPr="00632374">
        <w:rPr>
          <w:rFonts w:ascii="Arial" w:hAnsi="Arial" w:cs="Arial"/>
          <w:color w:val="000000" w:themeColor="text1"/>
          <w:sz w:val="28"/>
          <w:szCs w:val="36"/>
        </w:rPr>
        <w:t xml:space="preserve">: </w:t>
      </w:r>
      <w:r w:rsidR="00230EC8" w:rsidRPr="00632374">
        <w:rPr>
          <w:rFonts w:ascii="Arial" w:hAnsi="Arial" w:cs="Arial"/>
          <w:color w:val="000000" w:themeColor="text1"/>
          <w:sz w:val="28"/>
          <w:szCs w:val="36"/>
        </w:rPr>
        <w:t>Student Casework Framework</w:t>
      </w:r>
    </w:p>
    <w:p w14:paraId="55B90D16" w14:textId="2DA36645" w:rsidR="00564FF5" w:rsidRPr="00632374" w:rsidRDefault="00564FF5" w:rsidP="002B10C3">
      <w:pPr>
        <w:spacing w:before="120" w:after="120"/>
        <w:ind w:left="360"/>
        <w:rPr>
          <w:rFonts w:ascii="Arial" w:hAnsi="Arial" w:cs="Arial"/>
          <w:color w:val="000000" w:themeColor="text1"/>
          <w:sz w:val="24"/>
          <w:szCs w:val="24"/>
        </w:rPr>
      </w:pPr>
      <w:r w:rsidRPr="00855BEF">
        <w:rPr>
          <w:rFonts w:ascii="Arial" w:hAnsi="Arial" w:cs="Arial"/>
          <w:color w:val="000000" w:themeColor="text1"/>
          <w:sz w:val="28"/>
          <w:szCs w:val="36"/>
        </w:rPr>
        <w:t xml:space="preserve">Annex </w:t>
      </w:r>
      <w:r w:rsidR="00230EC8" w:rsidRPr="00855BEF">
        <w:rPr>
          <w:rFonts w:ascii="Arial" w:hAnsi="Arial" w:cs="Arial"/>
          <w:color w:val="000000" w:themeColor="text1"/>
          <w:sz w:val="28"/>
          <w:szCs w:val="36"/>
        </w:rPr>
        <w:t>6.</w:t>
      </w:r>
      <w:r w:rsidR="00BC73AF">
        <w:rPr>
          <w:rFonts w:ascii="Arial" w:hAnsi="Arial" w:cs="Arial"/>
          <w:color w:val="000000" w:themeColor="text1"/>
          <w:sz w:val="28"/>
          <w:szCs w:val="36"/>
        </w:rPr>
        <w:t>2</w:t>
      </w:r>
      <w:r w:rsidR="002B10C3" w:rsidRPr="00632374">
        <w:rPr>
          <w:rFonts w:ascii="Arial" w:hAnsi="Arial" w:cs="Arial"/>
          <w:color w:val="000000" w:themeColor="text1"/>
          <w:sz w:val="24"/>
          <w:szCs w:val="24"/>
        </w:rPr>
        <w:br/>
      </w:r>
    </w:p>
    <w:p w14:paraId="43D1E86F" w14:textId="554ADD15" w:rsidR="00FE6734" w:rsidRPr="00632374" w:rsidRDefault="00230EC8" w:rsidP="00F877D7">
      <w:pPr>
        <w:spacing w:before="120" w:after="120"/>
        <w:ind w:left="360"/>
        <w:rPr>
          <w:rFonts w:ascii="Arial" w:eastAsia="Times New Roman" w:hAnsi="Arial" w:cs="Arial"/>
          <w:bCs/>
          <w:color w:val="000000" w:themeColor="text1"/>
          <w:sz w:val="36"/>
          <w:szCs w:val="36"/>
        </w:rPr>
      </w:pPr>
      <w:r w:rsidRPr="00632374">
        <w:rPr>
          <w:rFonts w:ascii="Arial" w:eastAsia="Times New Roman" w:hAnsi="Arial" w:cs="Arial"/>
          <w:bCs/>
          <w:color w:val="000000" w:themeColor="text1"/>
          <w:sz w:val="48"/>
          <w:szCs w:val="36"/>
        </w:rPr>
        <w:t>Managing the impact of industrial action on assessment, progression</w:t>
      </w:r>
      <w:r w:rsidR="00B079C7" w:rsidRPr="00632374">
        <w:rPr>
          <w:rFonts w:ascii="Arial" w:eastAsia="Times New Roman" w:hAnsi="Arial" w:cs="Arial"/>
          <w:bCs/>
          <w:color w:val="000000" w:themeColor="text1"/>
          <w:sz w:val="48"/>
          <w:szCs w:val="36"/>
        </w:rPr>
        <w:t>,</w:t>
      </w:r>
      <w:r w:rsidRPr="00632374">
        <w:rPr>
          <w:rFonts w:ascii="Arial" w:eastAsia="Times New Roman" w:hAnsi="Arial" w:cs="Arial"/>
          <w:bCs/>
          <w:color w:val="000000" w:themeColor="text1"/>
          <w:sz w:val="48"/>
          <w:szCs w:val="36"/>
        </w:rPr>
        <w:t xml:space="preserve"> and award</w:t>
      </w:r>
      <w:r w:rsidR="002B10C3" w:rsidRPr="00632374">
        <w:rPr>
          <w:rFonts w:ascii="Arial" w:eastAsia="Times New Roman" w:hAnsi="Arial" w:cs="Arial"/>
          <w:bCs/>
          <w:color w:val="000000" w:themeColor="text1"/>
          <w:sz w:val="36"/>
          <w:szCs w:val="36"/>
        </w:rPr>
        <w:br/>
      </w:r>
      <w:r w:rsidR="00842752" w:rsidRPr="00632374">
        <w:rPr>
          <w:rFonts w:ascii="Arial" w:eastAsia="Times New Roman" w:hAnsi="Arial" w:cs="Arial"/>
          <w:bCs/>
          <w:color w:val="000000" w:themeColor="text1"/>
          <w:sz w:val="36"/>
          <w:szCs w:val="36"/>
        </w:rPr>
        <w:tab/>
      </w:r>
    </w:p>
    <w:p w14:paraId="7718AFC7" w14:textId="77777777" w:rsidR="00564FF5" w:rsidRPr="00632374" w:rsidRDefault="00564FF5" w:rsidP="00564FF5">
      <w:pPr>
        <w:pBdr>
          <w:bottom w:val="single" w:sz="4" w:space="1" w:color="auto"/>
        </w:pBdr>
        <w:shd w:val="clear" w:color="auto" w:fill="FFFFFF"/>
        <w:spacing w:before="120" w:after="120"/>
        <w:ind w:left="360"/>
        <w:rPr>
          <w:rFonts w:ascii="Arial" w:eastAsia="Times New Roman" w:hAnsi="Arial" w:cs="Arial"/>
          <w:b/>
          <w:iCs/>
          <w:color w:val="000000" w:themeColor="text1"/>
          <w:sz w:val="24"/>
          <w:szCs w:val="24"/>
        </w:rPr>
      </w:pPr>
      <w:r w:rsidRPr="00632374">
        <w:rPr>
          <w:rFonts w:ascii="Arial" w:eastAsia="Times New Roman" w:hAnsi="Arial" w:cs="Arial"/>
          <w:b/>
          <w:iCs/>
          <w:color w:val="000000" w:themeColor="text1"/>
          <w:sz w:val="24"/>
          <w:szCs w:val="24"/>
        </w:rPr>
        <w:t>Guidance</w:t>
      </w:r>
    </w:p>
    <w:p w14:paraId="091C64D3" w14:textId="77777777" w:rsidR="00564FF5" w:rsidRPr="00632374" w:rsidRDefault="00564FF5" w:rsidP="00564FF5">
      <w:pPr>
        <w:pBdr>
          <w:bottom w:val="single" w:sz="4" w:space="1" w:color="auto"/>
        </w:pBdr>
        <w:shd w:val="clear" w:color="auto" w:fill="FFFFFF"/>
        <w:spacing w:before="120" w:after="120"/>
        <w:ind w:left="360"/>
        <w:rPr>
          <w:rFonts w:ascii="Arial" w:eastAsia="Times New Roman" w:hAnsi="Arial" w:cs="Arial"/>
          <w:color w:val="000000" w:themeColor="text1"/>
          <w:sz w:val="24"/>
          <w:szCs w:val="24"/>
        </w:rPr>
      </w:pPr>
    </w:p>
    <w:bookmarkEnd w:id="0"/>
    <w:p w14:paraId="485C0750" w14:textId="77777777" w:rsidR="00564FF5" w:rsidRPr="00632374" w:rsidRDefault="00564FF5" w:rsidP="00F877D7">
      <w:pPr>
        <w:spacing w:after="0"/>
        <w:rPr>
          <w:rFonts w:ascii="Arial" w:hAnsi="Arial" w:cs="Arial"/>
          <w:b/>
          <w:color w:val="000000" w:themeColor="text1"/>
        </w:rPr>
      </w:pPr>
    </w:p>
    <w:tbl>
      <w:tblPr>
        <w:tblW w:w="10495" w:type="dxa"/>
        <w:tblInd w:w="-5" w:type="dxa"/>
        <w:tblLayout w:type="fixed"/>
        <w:tblLook w:val="04A0" w:firstRow="1" w:lastRow="0" w:firstColumn="1" w:lastColumn="0" w:noHBand="0" w:noVBand="1"/>
      </w:tblPr>
      <w:tblGrid>
        <w:gridCol w:w="10495"/>
      </w:tblGrid>
      <w:tr w:rsidR="00632374" w:rsidRPr="00632374" w14:paraId="038C06F7" w14:textId="77777777" w:rsidTr="00285B0B">
        <w:tc>
          <w:tcPr>
            <w:tcW w:w="10495" w:type="dxa"/>
            <w:shd w:val="clear" w:color="auto" w:fill="auto"/>
          </w:tcPr>
          <w:p w14:paraId="45B31DD3" w14:textId="147D81DB" w:rsidR="007674D8" w:rsidRPr="00632374" w:rsidRDefault="007674D8" w:rsidP="00F838DB">
            <w:pPr>
              <w:spacing w:after="0" w:line="276" w:lineRule="auto"/>
              <w:ind w:left="885"/>
              <w:rPr>
                <w:rFonts w:ascii="Arial" w:hAnsi="Arial" w:cs="Arial"/>
                <w:color w:val="000000" w:themeColor="text1"/>
              </w:rPr>
            </w:pPr>
            <w:r w:rsidRPr="00632374">
              <w:rPr>
                <w:rFonts w:ascii="Arial" w:hAnsi="Arial" w:cs="Arial"/>
                <w:color w:val="000000" w:themeColor="text1"/>
              </w:rPr>
              <w:t xml:space="preserve">This </w:t>
            </w:r>
            <w:r w:rsidR="00736989" w:rsidRPr="00632374">
              <w:rPr>
                <w:rFonts w:ascii="Arial" w:hAnsi="Arial" w:cs="Arial"/>
                <w:color w:val="000000" w:themeColor="text1"/>
              </w:rPr>
              <w:t>annex</w:t>
            </w:r>
            <w:r w:rsidRPr="00632374">
              <w:rPr>
                <w:rFonts w:ascii="Arial" w:hAnsi="Arial" w:cs="Arial"/>
                <w:color w:val="000000" w:themeColor="text1"/>
              </w:rPr>
              <w:t xml:space="preserve"> has been prepared for Faculty Tutors and Heads of Department to provide guidance on managing the impact of industrial action on assessment, progression</w:t>
            </w:r>
            <w:r w:rsidR="00842752" w:rsidRPr="00632374">
              <w:rPr>
                <w:rFonts w:ascii="Arial" w:hAnsi="Arial" w:cs="Arial"/>
                <w:color w:val="000000" w:themeColor="text1"/>
              </w:rPr>
              <w:t>,</w:t>
            </w:r>
            <w:r w:rsidRPr="00632374">
              <w:rPr>
                <w:rFonts w:ascii="Arial" w:hAnsi="Arial" w:cs="Arial"/>
                <w:color w:val="000000" w:themeColor="text1"/>
              </w:rPr>
              <w:t xml:space="preserve"> and award.</w:t>
            </w:r>
            <w:r w:rsidR="00F838DB" w:rsidRPr="00632374">
              <w:rPr>
                <w:rFonts w:ascii="Arial" w:hAnsi="Arial" w:cs="Arial"/>
                <w:color w:val="000000" w:themeColor="text1"/>
              </w:rPr>
              <w:t xml:space="preserve"> </w:t>
            </w:r>
            <w:r w:rsidRPr="00632374">
              <w:rPr>
                <w:rFonts w:ascii="Arial" w:hAnsi="Arial" w:cs="Arial"/>
                <w:color w:val="000000" w:themeColor="text1"/>
              </w:rPr>
              <w:t xml:space="preserve">The impact of industrial action varies across </w:t>
            </w:r>
            <w:r w:rsidR="00CE57D8" w:rsidRPr="00632374">
              <w:rPr>
                <w:rFonts w:ascii="Arial" w:hAnsi="Arial" w:cs="Arial"/>
                <w:color w:val="000000" w:themeColor="text1"/>
              </w:rPr>
              <w:t>UCL;</w:t>
            </w:r>
            <w:r w:rsidRPr="00632374">
              <w:rPr>
                <w:rFonts w:ascii="Arial" w:hAnsi="Arial" w:cs="Arial"/>
                <w:color w:val="000000" w:themeColor="text1"/>
              </w:rPr>
              <w:t xml:space="preserve"> therefore, each situation will need to be considered on its individual merits in line with the regulations set out in the UCL Academic Manual. The key principles that inform the approach are: fairness to students and mai</w:t>
            </w:r>
            <w:r w:rsidR="004C731B" w:rsidRPr="00632374">
              <w:rPr>
                <w:rFonts w:ascii="Arial" w:hAnsi="Arial" w:cs="Arial"/>
                <w:color w:val="000000" w:themeColor="text1"/>
              </w:rPr>
              <w:t>ntenance of academic standards.</w:t>
            </w:r>
            <w:bookmarkStart w:id="1" w:name="_GoBack"/>
            <w:bookmarkEnd w:id="1"/>
          </w:p>
        </w:tc>
      </w:tr>
      <w:tr w:rsidR="00632374" w:rsidRPr="00632374" w14:paraId="37B6AA57" w14:textId="77777777" w:rsidTr="00F41D0C">
        <w:tc>
          <w:tcPr>
            <w:tcW w:w="10495" w:type="dxa"/>
          </w:tcPr>
          <w:p w14:paraId="0D1A63D7" w14:textId="77777777" w:rsidR="004C731B" w:rsidRPr="00632374" w:rsidRDefault="004C731B" w:rsidP="00F41D0C">
            <w:pPr>
              <w:spacing w:after="0" w:line="276" w:lineRule="auto"/>
              <w:rPr>
                <w:rFonts w:ascii="Arial" w:hAnsi="Arial" w:cs="Arial"/>
                <w:b/>
                <w:color w:val="000000" w:themeColor="text1"/>
              </w:rPr>
            </w:pPr>
          </w:p>
          <w:p w14:paraId="4874F204" w14:textId="77777777" w:rsidR="004C731B" w:rsidRPr="00632374" w:rsidRDefault="004C731B" w:rsidP="00F41D0C">
            <w:pPr>
              <w:spacing w:after="0" w:line="276" w:lineRule="auto"/>
              <w:rPr>
                <w:rFonts w:ascii="Arial" w:hAnsi="Arial" w:cs="Arial"/>
                <w:b/>
                <w:color w:val="000000" w:themeColor="text1"/>
              </w:rPr>
            </w:pPr>
            <w:r w:rsidRPr="00632374">
              <w:rPr>
                <w:rFonts w:ascii="Arial" w:hAnsi="Arial" w:cs="Arial"/>
                <w:b/>
                <w:color w:val="000000" w:themeColor="text1"/>
              </w:rPr>
              <w:t>Education Committee Task Group</w:t>
            </w:r>
          </w:p>
          <w:p w14:paraId="49756529" w14:textId="77777777" w:rsidR="004C731B" w:rsidRPr="00632374" w:rsidRDefault="004C731B" w:rsidP="00F41D0C">
            <w:pPr>
              <w:spacing w:after="0" w:line="276" w:lineRule="auto"/>
              <w:rPr>
                <w:rFonts w:ascii="Arial" w:hAnsi="Arial" w:cs="Arial"/>
                <w:b/>
                <w:color w:val="000000" w:themeColor="text1"/>
              </w:rPr>
            </w:pPr>
          </w:p>
        </w:tc>
      </w:tr>
      <w:tr w:rsidR="00632374" w:rsidRPr="00632374" w14:paraId="5F130E7F" w14:textId="77777777" w:rsidTr="00F41D0C">
        <w:tc>
          <w:tcPr>
            <w:tcW w:w="10495" w:type="dxa"/>
          </w:tcPr>
          <w:p w14:paraId="3574B87C" w14:textId="07BC6B32" w:rsidR="004C731B" w:rsidRPr="00632374" w:rsidRDefault="004C731B" w:rsidP="002B10C3">
            <w:pPr>
              <w:spacing w:after="0" w:line="276" w:lineRule="auto"/>
              <w:ind w:left="885"/>
              <w:rPr>
                <w:rFonts w:ascii="Arial" w:hAnsi="Arial" w:cs="Arial"/>
                <w:color w:val="000000" w:themeColor="text1"/>
              </w:rPr>
            </w:pPr>
            <w:r w:rsidRPr="00632374">
              <w:rPr>
                <w:rFonts w:ascii="Arial" w:hAnsi="Arial" w:cs="Arial"/>
                <w:color w:val="000000" w:themeColor="text1"/>
              </w:rPr>
              <w:t>On the 28</w:t>
            </w:r>
            <w:r w:rsidRPr="00632374">
              <w:rPr>
                <w:rFonts w:ascii="Arial" w:hAnsi="Arial" w:cs="Arial"/>
                <w:color w:val="000000" w:themeColor="text1"/>
                <w:vertAlign w:val="superscript"/>
              </w:rPr>
              <w:t>th</w:t>
            </w:r>
            <w:r w:rsidRPr="00632374">
              <w:rPr>
                <w:rFonts w:ascii="Arial" w:hAnsi="Arial" w:cs="Arial"/>
                <w:color w:val="000000" w:themeColor="text1"/>
              </w:rPr>
              <w:t xml:space="preserve"> February 2018 Education Committee established a Task Group to consider issues arising from the impact of </w:t>
            </w:r>
            <w:r w:rsidR="002B10C3" w:rsidRPr="00632374">
              <w:rPr>
                <w:rFonts w:ascii="Arial" w:hAnsi="Arial" w:cs="Arial"/>
                <w:color w:val="000000" w:themeColor="text1"/>
              </w:rPr>
              <w:t xml:space="preserve">the University and College Union (UCU) </w:t>
            </w:r>
            <w:r w:rsidRPr="00632374">
              <w:rPr>
                <w:rFonts w:ascii="Arial" w:hAnsi="Arial" w:cs="Arial"/>
                <w:color w:val="000000" w:themeColor="text1"/>
              </w:rPr>
              <w:t>industrial action to ensure consistency of treatment for students and the maintenance of academic standards.</w:t>
            </w:r>
            <w:r w:rsidR="002B10C3" w:rsidRPr="00632374">
              <w:rPr>
                <w:rFonts w:ascii="Arial" w:hAnsi="Arial" w:cs="Arial"/>
                <w:color w:val="000000" w:themeColor="text1"/>
              </w:rPr>
              <w:t xml:space="preserve"> In the event of future industrial action that impacts assessment, progression, and award, Education Committee should establish a Task Group with the following Terms of Reference:</w:t>
            </w:r>
            <w:r w:rsidR="002B10C3" w:rsidRPr="00632374">
              <w:rPr>
                <w:rFonts w:ascii="Arial" w:hAnsi="Arial" w:cs="Arial"/>
                <w:color w:val="000000" w:themeColor="text1"/>
              </w:rPr>
              <w:br/>
            </w:r>
          </w:p>
          <w:p w14:paraId="59D64EAD" w14:textId="35E9118E" w:rsidR="004C731B" w:rsidRPr="00632374" w:rsidRDefault="004C731B" w:rsidP="00F41D0C">
            <w:pPr>
              <w:pStyle w:val="ListParagraph"/>
              <w:numPr>
                <w:ilvl w:val="0"/>
                <w:numId w:val="3"/>
              </w:numPr>
              <w:spacing w:after="0" w:line="276" w:lineRule="auto"/>
              <w:rPr>
                <w:rFonts w:ascii="Arial" w:hAnsi="Arial" w:cs="Arial"/>
                <w:color w:val="000000" w:themeColor="text1"/>
              </w:rPr>
            </w:pPr>
            <w:r w:rsidRPr="00632374">
              <w:rPr>
                <w:rFonts w:ascii="Arial" w:hAnsi="Arial" w:cs="Arial"/>
                <w:color w:val="000000" w:themeColor="text1"/>
              </w:rPr>
              <w:t xml:space="preserve">To consider requests from Faculty Boards of Examiners for advice and mitigation arising from the </w:t>
            </w:r>
            <w:r w:rsidR="002B10C3" w:rsidRPr="00632374">
              <w:rPr>
                <w:rFonts w:ascii="Arial" w:hAnsi="Arial" w:cs="Arial"/>
                <w:color w:val="000000" w:themeColor="text1"/>
              </w:rPr>
              <w:t xml:space="preserve">industrial </w:t>
            </w:r>
            <w:r w:rsidRPr="00632374">
              <w:rPr>
                <w:rFonts w:ascii="Arial" w:hAnsi="Arial" w:cs="Arial"/>
                <w:color w:val="000000" w:themeColor="text1"/>
              </w:rPr>
              <w:t>action and to agree on guidance and suspensions of regulations as appropriate to ensure that:</w:t>
            </w:r>
          </w:p>
          <w:p w14:paraId="2D6515ED" w14:textId="77777777" w:rsidR="004C731B" w:rsidRPr="00632374" w:rsidRDefault="004C731B" w:rsidP="004C731B">
            <w:pPr>
              <w:pStyle w:val="ListParagraph"/>
              <w:spacing w:after="0" w:line="276" w:lineRule="auto"/>
              <w:ind w:left="1245"/>
              <w:rPr>
                <w:rFonts w:ascii="Arial" w:hAnsi="Arial" w:cs="Arial"/>
                <w:color w:val="000000" w:themeColor="text1"/>
              </w:rPr>
            </w:pPr>
          </w:p>
          <w:p w14:paraId="0D9536B1" w14:textId="77777777" w:rsidR="004C731B" w:rsidRPr="00632374" w:rsidRDefault="004C731B" w:rsidP="00F41D0C">
            <w:pPr>
              <w:spacing w:after="0" w:line="276" w:lineRule="auto"/>
              <w:ind w:left="1315"/>
              <w:rPr>
                <w:rFonts w:ascii="Arial" w:hAnsi="Arial" w:cs="Arial"/>
                <w:color w:val="000000" w:themeColor="text1"/>
              </w:rPr>
            </w:pPr>
            <w:r w:rsidRPr="00632374">
              <w:rPr>
                <w:rFonts w:ascii="Arial" w:hAnsi="Arial" w:cs="Arial"/>
                <w:color w:val="000000" w:themeColor="text1"/>
              </w:rPr>
              <w:t xml:space="preserve">a. Students are not unfairly disadvantaged in assessment </w:t>
            </w:r>
          </w:p>
          <w:p w14:paraId="305FD0BC" w14:textId="77777777" w:rsidR="004C731B" w:rsidRPr="00632374" w:rsidRDefault="004C731B" w:rsidP="00F41D0C">
            <w:pPr>
              <w:spacing w:after="0" w:line="276" w:lineRule="auto"/>
              <w:ind w:left="1315"/>
              <w:rPr>
                <w:rFonts w:ascii="Arial" w:hAnsi="Arial" w:cs="Arial"/>
                <w:color w:val="000000" w:themeColor="text1"/>
              </w:rPr>
            </w:pPr>
            <w:r w:rsidRPr="00632374">
              <w:rPr>
                <w:rFonts w:ascii="Arial" w:hAnsi="Arial" w:cs="Arial"/>
                <w:color w:val="000000" w:themeColor="text1"/>
              </w:rPr>
              <w:t>b. Academic standards are maintained.</w:t>
            </w:r>
          </w:p>
          <w:p w14:paraId="66D78B1F" w14:textId="77777777" w:rsidR="004C731B" w:rsidRPr="00632374" w:rsidRDefault="004C731B" w:rsidP="00F41D0C">
            <w:pPr>
              <w:spacing w:after="0" w:line="276" w:lineRule="auto"/>
              <w:ind w:left="1315"/>
              <w:rPr>
                <w:rFonts w:ascii="Arial" w:hAnsi="Arial" w:cs="Arial"/>
                <w:color w:val="000000" w:themeColor="text1"/>
              </w:rPr>
            </w:pPr>
          </w:p>
          <w:p w14:paraId="151C60A7" w14:textId="423A3797" w:rsidR="004C731B" w:rsidRPr="00632374" w:rsidRDefault="004C731B" w:rsidP="00BC74B7">
            <w:pPr>
              <w:pStyle w:val="ListParagraph"/>
              <w:numPr>
                <w:ilvl w:val="0"/>
                <w:numId w:val="3"/>
              </w:numPr>
              <w:spacing w:after="0" w:line="276" w:lineRule="auto"/>
              <w:rPr>
                <w:rFonts w:ascii="Arial" w:hAnsi="Arial" w:cs="Arial"/>
                <w:color w:val="000000" w:themeColor="text1"/>
              </w:rPr>
            </w:pPr>
            <w:r w:rsidRPr="00632374">
              <w:rPr>
                <w:rFonts w:ascii="Arial" w:hAnsi="Arial" w:cs="Arial"/>
                <w:color w:val="000000" w:themeColor="text1"/>
              </w:rPr>
              <w:t>To report to Education Committee on mitigating actions agreed.</w:t>
            </w:r>
          </w:p>
          <w:p w14:paraId="4E7360B7" w14:textId="77777777" w:rsidR="00BC74B7" w:rsidRPr="00632374" w:rsidRDefault="00BC74B7" w:rsidP="00BC74B7">
            <w:pPr>
              <w:pStyle w:val="ListParagraph"/>
              <w:spacing w:after="0" w:line="276" w:lineRule="auto"/>
              <w:ind w:left="1245"/>
              <w:rPr>
                <w:rFonts w:ascii="Arial" w:hAnsi="Arial" w:cs="Arial"/>
                <w:color w:val="000000" w:themeColor="text1"/>
              </w:rPr>
            </w:pPr>
          </w:p>
          <w:p w14:paraId="6C0415E0" w14:textId="11B4CD3B" w:rsidR="004C731B" w:rsidRPr="00632374" w:rsidRDefault="002B10C3" w:rsidP="00A03861">
            <w:pPr>
              <w:spacing w:after="0" w:line="276" w:lineRule="auto"/>
              <w:ind w:left="885"/>
              <w:rPr>
                <w:color w:val="000000" w:themeColor="text1"/>
              </w:rPr>
            </w:pPr>
            <w:r w:rsidRPr="00632374">
              <w:rPr>
                <w:rFonts w:ascii="Arial" w:hAnsi="Arial" w:cs="Arial"/>
                <w:color w:val="000000" w:themeColor="text1"/>
              </w:rPr>
              <w:t xml:space="preserve">The Task Group should be co-chaired by the Chairs of the </w:t>
            </w:r>
            <w:r w:rsidRPr="00632374">
              <w:rPr>
                <w:rFonts w:ascii="Arial" w:hAnsi="Arial" w:cs="Arial"/>
                <w:color w:val="000000" w:themeColor="text1"/>
                <w:shd w:val="clear" w:color="auto" w:fill="FFFFFF"/>
              </w:rPr>
              <w:t>Academic Regulations and Quality Assurance Sub-Committee</w:t>
            </w:r>
            <w:r w:rsidRPr="00632374">
              <w:rPr>
                <w:rFonts w:ascii="Arial" w:hAnsi="Arial" w:cs="Arial"/>
                <w:color w:val="000000" w:themeColor="text1"/>
              </w:rPr>
              <w:t xml:space="preserve"> and the Quality Review Sub-Committee. Membership should include the Director of Academic Services and at least two other members of Education Committee.</w:t>
            </w:r>
            <w:r w:rsidRPr="00632374">
              <w:rPr>
                <w:rFonts w:ascii="Arial" w:hAnsi="Arial" w:cs="Arial"/>
                <w:color w:val="000000" w:themeColor="text1"/>
              </w:rPr>
              <w:br/>
            </w:r>
          </w:p>
          <w:p w14:paraId="73C81D25" w14:textId="226FA686" w:rsidR="004C731B" w:rsidRPr="00632374" w:rsidRDefault="004C731B" w:rsidP="00F97BAA">
            <w:pPr>
              <w:spacing w:after="0" w:line="276" w:lineRule="auto"/>
              <w:rPr>
                <w:rFonts w:ascii="Arial" w:hAnsi="Arial" w:cs="Arial"/>
                <w:color w:val="000000" w:themeColor="text1"/>
              </w:rPr>
            </w:pPr>
            <w:r w:rsidRPr="00632374">
              <w:rPr>
                <w:rFonts w:ascii="Arial" w:hAnsi="Arial" w:cs="Arial"/>
                <w:color w:val="000000" w:themeColor="text1"/>
              </w:rPr>
              <w:t xml:space="preserve">The Task Group </w:t>
            </w:r>
            <w:r w:rsidR="00E1270B" w:rsidRPr="00632374">
              <w:rPr>
                <w:rFonts w:ascii="Arial" w:hAnsi="Arial" w:cs="Arial"/>
                <w:color w:val="000000" w:themeColor="text1"/>
              </w:rPr>
              <w:t>set up for</w:t>
            </w:r>
            <w:r w:rsidRPr="00632374">
              <w:rPr>
                <w:rFonts w:ascii="Arial" w:hAnsi="Arial" w:cs="Arial"/>
                <w:color w:val="000000" w:themeColor="text1"/>
              </w:rPr>
              <w:t xml:space="preserve"> the 2018 UCU </w:t>
            </w:r>
            <w:r w:rsidR="00B079C7" w:rsidRPr="00632374">
              <w:rPr>
                <w:rFonts w:ascii="Arial" w:hAnsi="Arial" w:cs="Arial"/>
                <w:color w:val="000000" w:themeColor="text1"/>
              </w:rPr>
              <w:t>industrial action</w:t>
            </w:r>
            <w:r w:rsidRPr="00632374">
              <w:rPr>
                <w:rFonts w:ascii="Arial" w:hAnsi="Arial" w:cs="Arial"/>
                <w:color w:val="000000" w:themeColor="text1"/>
              </w:rPr>
              <w:t xml:space="preserve"> </w:t>
            </w:r>
            <w:r w:rsidR="00F97BAA" w:rsidRPr="00632374">
              <w:rPr>
                <w:rFonts w:ascii="Arial" w:hAnsi="Arial" w:cs="Arial"/>
                <w:color w:val="000000" w:themeColor="text1"/>
              </w:rPr>
              <w:t>developed</w:t>
            </w:r>
            <w:r w:rsidRPr="00632374">
              <w:rPr>
                <w:rFonts w:ascii="Arial" w:hAnsi="Arial" w:cs="Arial"/>
                <w:color w:val="000000" w:themeColor="text1"/>
              </w:rPr>
              <w:t xml:space="preserve"> the following guidance </w:t>
            </w:r>
            <w:r w:rsidR="00F97BAA" w:rsidRPr="00632374">
              <w:rPr>
                <w:rFonts w:ascii="Arial" w:hAnsi="Arial" w:cs="Arial"/>
                <w:color w:val="000000" w:themeColor="text1"/>
              </w:rPr>
              <w:t>for use in the event</w:t>
            </w:r>
            <w:r w:rsidRPr="00632374">
              <w:rPr>
                <w:rFonts w:ascii="Arial" w:hAnsi="Arial" w:cs="Arial"/>
                <w:color w:val="000000" w:themeColor="text1"/>
              </w:rPr>
              <w:t xml:space="preserve"> of any future </w:t>
            </w:r>
            <w:r w:rsidR="00B079C7" w:rsidRPr="00632374">
              <w:rPr>
                <w:rFonts w:ascii="Arial" w:hAnsi="Arial" w:cs="Arial"/>
                <w:color w:val="000000" w:themeColor="text1"/>
              </w:rPr>
              <w:t>industrial action</w:t>
            </w:r>
            <w:r w:rsidR="00566DE7" w:rsidRPr="00632374">
              <w:rPr>
                <w:rFonts w:ascii="Arial" w:hAnsi="Arial" w:cs="Arial"/>
                <w:color w:val="000000" w:themeColor="text1"/>
              </w:rPr>
              <w:t>.</w:t>
            </w:r>
          </w:p>
        </w:tc>
      </w:tr>
      <w:tr w:rsidR="00632374" w:rsidRPr="00632374" w14:paraId="7CD8A280" w14:textId="77777777" w:rsidTr="00285B0B">
        <w:tc>
          <w:tcPr>
            <w:tcW w:w="10495" w:type="dxa"/>
          </w:tcPr>
          <w:p w14:paraId="2DF3E702" w14:textId="77777777" w:rsidR="00564FF5" w:rsidRPr="00632374" w:rsidRDefault="00564FF5" w:rsidP="00FE522D">
            <w:pPr>
              <w:keepNext/>
              <w:keepLines/>
              <w:tabs>
                <w:tab w:val="left" w:pos="1735"/>
              </w:tabs>
              <w:spacing w:after="0" w:line="276" w:lineRule="auto"/>
              <w:outlineLvl w:val="4"/>
              <w:rPr>
                <w:rFonts w:ascii="Arial" w:eastAsiaTheme="majorEastAsia" w:hAnsi="Arial" w:cs="Arial"/>
                <w:b/>
                <w:color w:val="000000" w:themeColor="text1"/>
              </w:rPr>
            </w:pPr>
          </w:p>
          <w:p w14:paraId="086CF5C7" w14:textId="25F1C466" w:rsidR="00E328C1" w:rsidRPr="00632374" w:rsidRDefault="007674D8" w:rsidP="00E328C1">
            <w:pPr>
              <w:pStyle w:val="Heading1"/>
              <w:rPr>
                <w:color w:val="000000" w:themeColor="text1"/>
              </w:rPr>
            </w:pPr>
            <w:r w:rsidRPr="00632374">
              <w:rPr>
                <w:color w:val="000000" w:themeColor="text1"/>
              </w:rPr>
              <w:t xml:space="preserve">General </w:t>
            </w:r>
            <w:r w:rsidR="008C3913" w:rsidRPr="00632374">
              <w:rPr>
                <w:color w:val="000000" w:themeColor="text1"/>
              </w:rPr>
              <w:t>Principles</w:t>
            </w:r>
          </w:p>
          <w:p w14:paraId="5CB091DD" w14:textId="77777777" w:rsidR="00564FF5" w:rsidRPr="00632374" w:rsidRDefault="00564FF5" w:rsidP="008C3913">
            <w:pPr>
              <w:pStyle w:val="Heading2"/>
              <w:numPr>
                <w:ilvl w:val="0"/>
                <w:numId w:val="0"/>
              </w:numPr>
              <w:rPr>
                <w:rFonts w:eastAsiaTheme="majorEastAsia"/>
                <w:b w:val="0"/>
                <w:color w:val="000000" w:themeColor="text1"/>
                <w:lang w:val="en-US"/>
              </w:rPr>
            </w:pPr>
          </w:p>
        </w:tc>
      </w:tr>
      <w:tr w:rsidR="00632374" w:rsidRPr="00632374" w14:paraId="6EECCC6D" w14:textId="77777777" w:rsidTr="00285B0B">
        <w:tc>
          <w:tcPr>
            <w:tcW w:w="10495" w:type="dxa"/>
          </w:tcPr>
          <w:p w14:paraId="1DDEFE4A" w14:textId="33117D87" w:rsidR="007674D8" w:rsidRPr="00632374" w:rsidRDefault="007674D8" w:rsidP="00736989">
            <w:pPr>
              <w:pStyle w:val="ListParagraph"/>
              <w:numPr>
                <w:ilvl w:val="0"/>
                <w:numId w:val="2"/>
              </w:numPr>
              <w:spacing w:after="0" w:line="276" w:lineRule="auto"/>
              <w:rPr>
                <w:rFonts w:ascii="Arial" w:hAnsi="Arial" w:cs="Arial"/>
                <w:color w:val="000000" w:themeColor="text1"/>
              </w:rPr>
            </w:pPr>
            <w:r w:rsidRPr="00632374">
              <w:rPr>
                <w:rFonts w:ascii="Arial" w:hAnsi="Arial" w:cs="Arial"/>
                <w:color w:val="000000" w:themeColor="text1"/>
              </w:rPr>
              <w:t>Examinations should go ahead as planned.</w:t>
            </w:r>
          </w:p>
          <w:p w14:paraId="0ECE250B" w14:textId="230DC899" w:rsidR="007674D8" w:rsidRPr="00632374" w:rsidRDefault="00F97BAA" w:rsidP="007674D8">
            <w:pPr>
              <w:pStyle w:val="ListParagraph"/>
              <w:numPr>
                <w:ilvl w:val="0"/>
                <w:numId w:val="2"/>
              </w:numPr>
              <w:spacing w:after="0" w:line="276" w:lineRule="auto"/>
              <w:rPr>
                <w:rFonts w:ascii="Arial" w:hAnsi="Arial" w:cs="Arial"/>
                <w:color w:val="000000" w:themeColor="text1"/>
              </w:rPr>
            </w:pPr>
            <w:r w:rsidRPr="00632374">
              <w:rPr>
                <w:rFonts w:ascii="Arial" w:hAnsi="Arial" w:cs="Arial"/>
                <w:color w:val="000000" w:themeColor="text1"/>
              </w:rPr>
              <w:t xml:space="preserve">UCL </w:t>
            </w:r>
            <w:r w:rsidR="007674D8" w:rsidRPr="00632374">
              <w:rPr>
                <w:rFonts w:ascii="Arial" w:hAnsi="Arial" w:cs="Arial"/>
                <w:color w:val="000000" w:themeColor="text1"/>
              </w:rPr>
              <w:t>should not take actions that undermine our academic standards.</w:t>
            </w:r>
          </w:p>
          <w:p w14:paraId="156FC767" w14:textId="694D7DF3" w:rsidR="007674D8" w:rsidRPr="00632374" w:rsidRDefault="007674D8" w:rsidP="004F7D26">
            <w:pPr>
              <w:pStyle w:val="ListParagraph"/>
              <w:numPr>
                <w:ilvl w:val="0"/>
                <w:numId w:val="2"/>
              </w:numPr>
              <w:spacing w:after="0" w:line="276" w:lineRule="auto"/>
              <w:rPr>
                <w:rFonts w:ascii="Arial" w:hAnsi="Arial" w:cs="Arial"/>
                <w:color w:val="000000" w:themeColor="text1"/>
              </w:rPr>
            </w:pPr>
            <w:r w:rsidRPr="00632374">
              <w:rPr>
                <w:rFonts w:ascii="Arial" w:hAnsi="Arial" w:cs="Arial"/>
                <w:color w:val="000000" w:themeColor="text1"/>
              </w:rPr>
              <w:t xml:space="preserve">UCL </w:t>
            </w:r>
            <w:r w:rsidR="00F97BAA" w:rsidRPr="00632374">
              <w:rPr>
                <w:rFonts w:ascii="Arial" w:hAnsi="Arial" w:cs="Arial"/>
                <w:color w:val="000000" w:themeColor="text1"/>
              </w:rPr>
              <w:t xml:space="preserve">should </w:t>
            </w:r>
            <w:r w:rsidR="00BE5EB1" w:rsidRPr="00632374">
              <w:rPr>
                <w:rFonts w:ascii="Arial" w:hAnsi="Arial" w:cs="Arial"/>
                <w:color w:val="000000" w:themeColor="text1"/>
              </w:rPr>
              <w:t>send clear</w:t>
            </w:r>
            <w:r w:rsidRPr="00632374">
              <w:rPr>
                <w:rFonts w:ascii="Arial" w:hAnsi="Arial" w:cs="Arial"/>
                <w:color w:val="000000" w:themeColor="text1"/>
              </w:rPr>
              <w:t xml:space="preserve"> messages to students to let them know that </w:t>
            </w:r>
            <w:r w:rsidR="00F97BAA" w:rsidRPr="00632374">
              <w:rPr>
                <w:rFonts w:ascii="Arial" w:hAnsi="Arial" w:cs="Arial"/>
                <w:color w:val="000000" w:themeColor="text1"/>
              </w:rPr>
              <w:t xml:space="preserve">UCL </w:t>
            </w:r>
            <w:r w:rsidRPr="00632374">
              <w:rPr>
                <w:rFonts w:ascii="Arial" w:hAnsi="Arial" w:cs="Arial"/>
                <w:color w:val="000000" w:themeColor="text1"/>
              </w:rPr>
              <w:t>will ensure that students are not disadvantaged in assessment</w:t>
            </w:r>
            <w:r w:rsidR="00842752" w:rsidRPr="00632374">
              <w:rPr>
                <w:rFonts w:ascii="Arial" w:hAnsi="Arial" w:cs="Arial"/>
                <w:color w:val="000000" w:themeColor="text1"/>
              </w:rPr>
              <w:t>s</w:t>
            </w:r>
            <w:r w:rsidRPr="00632374">
              <w:rPr>
                <w:rFonts w:ascii="Arial" w:hAnsi="Arial" w:cs="Arial"/>
                <w:color w:val="000000" w:themeColor="text1"/>
              </w:rPr>
              <w:t xml:space="preserve"> and exam</w:t>
            </w:r>
            <w:r w:rsidR="004F7D26" w:rsidRPr="00632374">
              <w:rPr>
                <w:rFonts w:ascii="Arial" w:hAnsi="Arial" w:cs="Arial"/>
                <w:color w:val="000000" w:themeColor="text1"/>
              </w:rPr>
              <w:t xml:space="preserve">inations by </w:t>
            </w:r>
            <w:r w:rsidR="00842752" w:rsidRPr="00632374">
              <w:rPr>
                <w:rFonts w:ascii="Arial" w:hAnsi="Arial" w:cs="Arial"/>
                <w:color w:val="000000" w:themeColor="text1"/>
              </w:rPr>
              <w:t>industrial</w:t>
            </w:r>
            <w:r w:rsidR="004F7D26" w:rsidRPr="00632374">
              <w:rPr>
                <w:rFonts w:ascii="Arial" w:hAnsi="Arial" w:cs="Arial"/>
                <w:color w:val="000000" w:themeColor="text1"/>
              </w:rPr>
              <w:t xml:space="preserve"> action. </w:t>
            </w:r>
            <w:r w:rsidR="00521C7E" w:rsidRPr="00632374">
              <w:rPr>
                <w:rFonts w:ascii="Arial" w:hAnsi="Arial" w:cs="Arial"/>
                <w:color w:val="000000" w:themeColor="text1"/>
              </w:rPr>
              <w:t>F</w:t>
            </w:r>
            <w:r w:rsidRPr="00632374">
              <w:rPr>
                <w:rFonts w:ascii="Arial" w:hAnsi="Arial" w:cs="Arial"/>
                <w:color w:val="000000" w:themeColor="text1"/>
              </w:rPr>
              <w:t xml:space="preserve">requently asked questions that </w:t>
            </w:r>
            <w:r w:rsidR="00521C7E" w:rsidRPr="00632374">
              <w:rPr>
                <w:rFonts w:ascii="Arial" w:hAnsi="Arial" w:cs="Arial"/>
                <w:color w:val="000000" w:themeColor="text1"/>
              </w:rPr>
              <w:t>should be sent to students are provided below.</w:t>
            </w:r>
          </w:p>
          <w:p w14:paraId="7C417AEE" w14:textId="1D12CA66" w:rsidR="007674D8" w:rsidRPr="00632374" w:rsidRDefault="007674D8" w:rsidP="002B10C3">
            <w:pPr>
              <w:pStyle w:val="ListParagraph"/>
              <w:numPr>
                <w:ilvl w:val="0"/>
                <w:numId w:val="2"/>
              </w:numPr>
              <w:spacing w:after="0" w:line="276" w:lineRule="auto"/>
              <w:rPr>
                <w:rFonts w:ascii="Arial" w:hAnsi="Arial" w:cs="Arial"/>
                <w:color w:val="000000" w:themeColor="text1"/>
              </w:rPr>
            </w:pPr>
            <w:r w:rsidRPr="00632374">
              <w:rPr>
                <w:rFonts w:ascii="Arial" w:hAnsi="Arial" w:cs="Arial"/>
                <w:color w:val="000000" w:themeColor="text1"/>
              </w:rPr>
              <w:t>Student</w:t>
            </w:r>
            <w:r w:rsidR="004F7D26" w:rsidRPr="00632374">
              <w:rPr>
                <w:rFonts w:ascii="Arial" w:hAnsi="Arial" w:cs="Arial"/>
                <w:color w:val="000000" w:themeColor="text1"/>
              </w:rPr>
              <w:t xml:space="preserve">s wishing to complain about </w:t>
            </w:r>
            <w:r w:rsidRPr="00632374">
              <w:rPr>
                <w:rFonts w:ascii="Arial" w:hAnsi="Arial" w:cs="Arial"/>
                <w:color w:val="000000" w:themeColor="text1"/>
              </w:rPr>
              <w:t xml:space="preserve">industrial action </w:t>
            </w:r>
            <w:r w:rsidR="002B10C3" w:rsidRPr="00632374">
              <w:rPr>
                <w:rFonts w:ascii="Arial" w:hAnsi="Arial" w:cs="Arial"/>
                <w:color w:val="000000" w:themeColor="text1"/>
              </w:rPr>
              <w:t>should refer to Chapter 6, Section 10: Student Complaints Procedure.</w:t>
            </w:r>
            <w:r w:rsidR="00725DD2" w:rsidRPr="00632374">
              <w:rPr>
                <w:rFonts w:ascii="Arial" w:hAnsi="Arial" w:cs="Arial"/>
                <w:color w:val="000000" w:themeColor="text1"/>
              </w:rPr>
              <w:t xml:space="preserve"> </w:t>
            </w:r>
            <w:r w:rsidRPr="00632374">
              <w:rPr>
                <w:rFonts w:ascii="Arial" w:hAnsi="Arial" w:cs="Arial"/>
                <w:color w:val="000000" w:themeColor="text1"/>
              </w:rPr>
              <w:t xml:space="preserve"> </w:t>
            </w:r>
          </w:p>
          <w:p w14:paraId="1E0CDFA7" w14:textId="72A0718D" w:rsidR="00BE5EB1" w:rsidRPr="00632374" w:rsidRDefault="004F7D26" w:rsidP="00A03861">
            <w:pPr>
              <w:pStyle w:val="ListParagraph"/>
              <w:numPr>
                <w:ilvl w:val="0"/>
                <w:numId w:val="2"/>
              </w:numPr>
              <w:spacing w:after="0" w:line="276" w:lineRule="auto"/>
              <w:rPr>
                <w:rFonts w:ascii="Arial" w:hAnsi="Arial" w:cs="Arial"/>
                <w:color w:val="000000" w:themeColor="text1"/>
              </w:rPr>
            </w:pPr>
            <w:r w:rsidRPr="00632374">
              <w:rPr>
                <w:rFonts w:ascii="Arial" w:hAnsi="Arial" w:cs="Arial"/>
                <w:color w:val="000000" w:themeColor="text1"/>
              </w:rPr>
              <w:t>The</w:t>
            </w:r>
            <w:r w:rsidR="007674D8" w:rsidRPr="00632374">
              <w:rPr>
                <w:rFonts w:ascii="Arial" w:hAnsi="Arial" w:cs="Arial"/>
                <w:color w:val="000000" w:themeColor="text1"/>
              </w:rPr>
              <w:t xml:space="preserve"> Material Irregularities </w:t>
            </w:r>
            <w:r w:rsidRPr="00632374">
              <w:rPr>
                <w:rFonts w:ascii="Arial" w:hAnsi="Arial" w:cs="Arial"/>
                <w:color w:val="000000" w:themeColor="text1"/>
              </w:rPr>
              <w:t>procedure will be used</w:t>
            </w:r>
            <w:r w:rsidR="007674D8" w:rsidRPr="00632374">
              <w:rPr>
                <w:rFonts w:ascii="Arial" w:hAnsi="Arial" w:cs="Arial"/>
                <w:color w:val="000000" w:themeColor="text1"/>
              </w:rPr>
              <w:t xml:space="preserve"> </w:t>
            </w:r>
            <w:r w:rsidR="00FB0FA0" w:rsidRPr="00632374">
              <w:rPr>
                <w:rFonts w:ascii="Arial" w:hAnsi="Arial" w:cs="Arial"/>
                <w:color w:val="000000" w:themeColor="text1"/>
              </w:rPr>
              <w:t xml:space="preserve">(Chapter 6, Section </w:t>
            </w:r>
            <w:r w:rsidR="009A4C5F" w:rsidRPr="00632374">
              <w:rPr>
                <w:rFonts w:ascii="Arial" w:hAnsi="Arial" w:cs="Arial"/>
                <w:color w:val="000000" w:themeColor="text1"/>
              </w:rPr>
              <w:t>6</w:t>
            </w:r>
            <w:r w:rsidR="00FB0FA0" w:rsidRPr="00632374">
              <w:rPr>
                <w:rFonts w:ascii="Arial" w:hAnsi="Arial" w:cs="Arial"/>
                <w:color w:val="000000" w:themeColor="text1"/>
              </w:rPr>
              <w:t xml:space="preserve">) </w:t>
            </w:r>
            <w:r w:rsidR="007674D8" w:rsidRPr="00632374">
              <w:rPr>
                <w:rFonts w:ascii="Arial" w:hAnsi="Arial" w:cs="Arial"/>
                <w:color w:val="000000" w:themeColor="text1"/>
              </w:rPr>
              <w:t>to deal with any impact on assessment</w:t>
            </w:r>
            <w:r w:rsidR="007674D8" w:rsidRPr="00632374">
              <w:rPr>
                <w:rFonts w:ascii="Arial" w:hAnsi="Arial" w:cs="Arial"/>
                <w:b/>
                <w:color w:val="000000" w:themeColor="text1"/>
              </w:rPr>
              <w:t>; students should not be asked to submit ext</w:t>
            </w:r>
            <w:r w:rsidR="004C731B" w:rsidRPr="00632374">
              <w:rPr>
                <w:rFonts w:ascii="Arial" w:hAnsi="Arial" w:cs="Arial"/>
                <w:b/>
                <w:color w:val="000000" w:themeColor="text1"/>
              </w:rPr>
              <w:t>enuating circumstances requests.</w:t>
            </w:r>
          </w:p>
        </w:tc>
      </w:tr>
      <w:tr w:rsidR="00632374" w:rsidRPr="00632374" w14:paraId="193032E4" w14:textId="77777777" w:rsidTr="00285B0B">
        <w:tc>
          <w:tcPr>
            <w:tcW w:w="10495" w:type="dxa"/>
          </w:tcPr>
          <w:p w14:paraId="41B1099B" w14:textId="77777777" w:rsidR="00D12DE9" w:rsidRPr="00632374" w:rsidRDefault="00D12DE9" w:rsidP="00D12DE9">
            <w:pPr>
              <w:spacing w:after="0" w:line="276" w:lineRule="auto"/>
              <w:ind w:left="2302" w:hanging="425"/>
              <w:rPr>
                <w:rFonts w:ascii="Arial" w:hAnsi="Arial" w:cs="Arial"/>
                <w:color w:val="000000" w:themeColor="text1"/>
              </w:rPr>
            </w:pPr>
          </w:p>
          <w:p w14:paraId="2FCDD012" w14:textId="0CFC5AC1" w:rsidR="00D12DE9" w:rsidRPr="00632374" w:rsidRDefault="008C3913" w:rsidP="00C67F4B">
            <w:pPr>
              <w:pStyle w:val="Heading1"/>
              <w:rPr>
                <w:color w:val="000000" w:themeColor="text1"/>
              </w:rPr>
            </w:pPr>
            <w:r w:rsidRPr="00632374">
              <w:rPr>
                <w:color w:val="000000" w:themeColor="text1"/>
              </w:rPr>
              <w:t>C</w:t>
            </w:r>
            <w:r w:rsidR="00D12DE9" w:rsidRPr="00632374">
              <w:rPr>
                <w:color w:val="000000" w:themeColor="text1"/>
              </w:rPr>
              <w:t>ancelled classes</w:t>
            </w:r>
            <w:r w:rsidR="00736989" w:rsidRPr="00632374">
              <w:rPr>
                <w:color w:val="000000" w:themeColor="text1"/>
              </w:rPr>
              <w:t xml:space="preserve"> and </w:t>
            </w:r>
            <w:r w:rsidR="00053E57" w:rsidRPr="00632374">
              <w:rPr>
                <w:color w:val="000000" w:themeColor="text1"/>
              </w:rPr>
              <w:t>s</w:t>
            </w:r>
            <w:r w:rsidR="00736989" w:rsidRPr="00632374">
              <w:rPr>
                <w:color w:val="000000" w:themeColor="text1"/>
              </w:rPr>
              <w:t>tudent attendance requirements</w:t>
            </w:r>
            <w:r w:rsidR="00216291" w:rsidRPr="00632374">
              <w:rPr>
                <w:color w:val="000000" w:themeColor="text1"/>
              </w:rPr>
              <w:br/>
            </w:r>
          </w:p>
          <w:p w14:paraId="15AFED52" w14:textId="2547BF47" w:rsidR="00FE522D" w:rsidRPr="00632374" w:rsidRDefault="00216291" w:rsidP="00216291">
            <w:pPr>
              <w:pStyle w:val="Heading2"/>
              <w:rPr>
                <w:color w:val="000000" w:themeColor="text1"/>
              </w:rPr>
            </w:pPr>
            <w:r w:rsidRPr="00632374">
              <w:rPr>
                <w:color w:val="000000" w:themeColor="text1"/>
              </w:rPr>
              <w:t>All students</w:t>
            </w:r>
            <w:r w:rsidRPr="00632374">
              <w:rPr>
                <w:color w:val="000000" w:themeColor="text1"/>
              </w:rPr>
              <w:br/>
            </w:r>
            <w:r w:rsidRPr="00632374">
              <w:rPr>
                <w:color w:val="000000" w:themeColor="text1"/>
              </w:rPr>
              <w:t> </w:t>
            </w:r>
            <w:r w:rsidR="00D12DE9" w:rsidRPr="00632374">
              <w:rPr>
                <w:color w:val="000000" w:themeColor="text1"/>
              </w:rPr>
              <w:t> </w:t>
            </w:r>
          </w:p>
        </w:tc>
      </w:tr>
      <w:tr w:rsidR="00632374" w:rsidRPr="00632374" w14:paraId="1AD43E80" w14:textId="77777777" w:rsidTr="00B83F1B">
        <w:trPr>
          <w:trHeight w:val="873"/>
        </w:trPr>
        <w:tc>
          <w:tcPr>
            <w:tcW w:w="10495" w:type="dxa"/>
          </w:tcPr>
          <w:p w14:paraId="2B237945" w14:textId="41CAD6F3" w:rsidR="008C3913" w:rsidRPr="00632374" w:rsidRDefault="00BA5AA0" w:rsidP="00594F75">
            <w:pPr>
              <w:pStyle w:val="ListParagraph"/>
              <w:numPr>
                <w:ilvl w:val="0"/>
                <w:numId w:val="28"/>
              </w:numPr>
              <w:spacing w:after="0" w:line="276" w:lineRule="auto"/>
              <w:rPr>
                <w:rFonts w:ascii="Arial" w:hAnsi="Arial" w:cs="Arial"/>
                <w:color w:val="000000" w:themeColor="text1"/>
              </w:rPr>
            </w:pPr>
            <w:r w:rsidRPr="00632374">
              <w:rPr>
                <w:rFonts w:ascii="Arial" w:hAnsi="Arial" w:cs="Arial"/>
                <w:color w:val="000000" w:themeColor="text1"/>
              </w:rPr>
              <w:t>Programme Administrators</w:t>
            </w:r>
            <w:r w:rsidR="008C3913" w:rsidRPr="00632374">
              <w:rPr>
                <w:rFonts w:ascii="Arial" w:hAnsi="Arial" w:cs="Arial"/>
                <w:color w:val="000000" w:themeColor="text1"/>
              </w:rPr>
              <w:t xml:space="preserve"> are expected to keep clear records</w:t>
            </w:r>
            <w:r w:rsidR="00373BEA" w:rsidRPr="00632374">
              <w:rPr>
                <w:rFonts w:ascii="Arial" w:hAnsi="Arial" w:cs="Arial"/>
                <w:color w:val="000000" w:themeColor="text1"/>
              </w:rPr>
              <w:t xml:space="preserve"> of classes that are cancelled.</w:t>
            </w:r>
          </w:p>
          <w:p w14:paraId="5F48754A" w14:textId="34A2856B" w:rsidR="00373BEA" w:rsidRPr="00632374" w:rsidRDefault="00373BEA" w:rsidP="00594F75">
            <w:pPr>
              <w:pStyle w:val="ListParagraph"/>
              <w:numPr>
                <w:ilvl w:val="0"/>
                <w:numId w:val="28"/>
              </w:numPr>
              <w:spacing w:after="0" w:line="276" w:lineRule="auto"/>
              <w:rPr>
                <w:rFonts w:ascii="Arial" w:hAnsi="Arial" w:cs="Arial"/>
                <w:color w:val="000000" w:themeColor="text1"/>
              </w:rPr>
            </w:pPr>
            <w:r w:rsidRPr="00632374">
              <w:rPr>
                <w:rFonts w:ascii="Arial" w:hAnsi="Arial" w:cs="Arial"/>
                <w:color w:val="000000" w:themeColor="text1"/>
              </w:rPr>
              <w:t>The 70% student attendance requirement</w:t>
            </w:r>
            <w:r w:rsidR="00BA5AA0" w:rsidRPr="00632374">
              <w:rPr>
                <w:rFonts w:ascii="Arial" w:hAnsi="Arial" w:cs="Arial"/>
                <w:color w:val="000000" w:themeColor="text1"/>
              </w:rPr>
              <w:t xml:space="preserve"> </w:t>
            </w:r>
            <w:r w:rsidRPr="00632374">
              <w:rPr>
                <w:rFonts w:ascii="Arial" w:hAnsi="Arial" w:cs="Arial"/>
                <w:color w:val="000000" w:themeColor="text1"/>
              </w:rPr>
              <w:t>do</w:t>
            </w:r>
            <w:r w:rsidR="00C95799" w:rsidRPr="00632374">
              <w:rPr>
                <w:rFonts w:ascii="Arial" w:hAnsi="Arial" w:cs="Arial"/>
                <w:color w:val="000000" w:themeColor="text1"/>
              </w:rPr>
              <w:t>es</w:t>
            </w:r>
            <w:r w:rsidRPr="00632374">
              <w:rPr>
                <w:rFonts w:ascii="Arial" w:hAnsi="Arial" w:cs="Arial"/>
                <w:color w:val="000000" w:themeColor="text1"/>
              </w:rPr>
              <w:t xml:space="preserve"> not apply to cancelled teaching events as students cannot be penalised</w:t>
            </w:r>
            <w:r w:rsidR="00C95799" w:rsidRPr="00632374">
              <w:rPr>
                <w:rFonts w:ascii="Arial" w:hAnsi="Arial" w:cs="Arial"/>
                <w:color w:val="000000" w:themeColor="text1"/>
              </w:rPr>
              <w:t xml:space="preserve"> for not attending classes that</w:t>
            </w:r>
            <w:r w:rsidR="00F97BAA" w:rsidRPr="00632374">
              <w:rPr>
                <w:rFonts w:ascii="Arial" w:hAnsi="Arial" w:cs="Arial"/>
                <w:color w:val="000000" w:themeColor="text1"/>
              </w:rPr>
              <w:t xml:space="preserve"> </w:t>
            </w:r>
            <w:r w:rsidRPr="00632374">
              <w:rPr>
                <w:rFonts w:ascii="Arial" w:hAnsi="Arial" w:cs="Arial"/>
                <w:color w:val="000000" w:themeColor="text1"/>
              </w:rPr>
              <w:t>did not take place.</w:t>
            </w:r>
          </w:p>
          <w:p w14:paraId="691D0EF8" w14:textId="6041E0D4" w:rsidR="00594F75" w:rsidRPr="00632374" w:rsidRDefault="00594F75" w:rsidP="00594F75">
            <w:pPr>
              <w:pStyle w:val="ListParagraph"/>
              <w:numPr>
                <w:ilvl w:val="0"/>
                <w:numId w:val="28"/>
              </w:numPr>
              <w:spacing w:after="0" w:line="276" w:lineRule="auto"/>
              <w:rPr>
                <w:rFonts w:ascii="Arial" w:hAnsi="Arial" w:cs="Arial"/>
                <w:color w:val="000000" w:themeColor="text1"/>
              </w:rPr>
            </w:pPr>
            <w:r w:rsidRPr="00632374">
              <w:rPr>
                <w:rFonts w:ascii="Arial" w:hAnsi="Arial" w:cs="Arial"/>
                <w:color w:val="000000" w:themeColor="text1"/>
              </w:rPr>
              <w:t>Where teaching has not been affected by industrial action, it expected that students will attend. If students have chosen not to attend teaching events, then they are not entitled to any mitigation for assessment.</w:t>
            </w:r>
          </w:p>
        </w:tc>
      </w:tr>
      <w:tr w:rsidR="00632374" w:rsidRPr="00632374" w14:paraId="6833E07E" w14:textId="77777777" w:rsidTr="00F41D0C">
        <w:tc>
          <w:tcPr>
            <w:tcW w:w="10495" w:type="dxa"/>
          </w:tcPr>
          <w:p w14:paraId="68AEAB1B" w14:textId="77777777" w:rsidR="00D12DE9" w:rsidRPr="00632374" w:rsidRDefault="00D12DE9" w:rsidP="00F41D0C">
            <w:pPr>
              <w:spacing w:after="0" w:line="276" w:lineRule="auto"/>
              <w:ind w:left="2302" w:hanging="425"/>
              <w:rPr>
                <w:rFonts w:ascii="Arial" w:hAnsi="Arial" w:cs="Arial"/>
                <w:color w:val="000000" w:themeColor="text1"/>
              </w:rPr>
            </w:pPr>
          </w:p>
          <w:p w14:paraId="1AB1956E" w14:textId="05D7A7B1" w:rsidR="00D12DE9" w:rsidRPr="00632374" w:rsidRDefault="00216291" w:rsidP="00C67F4B">
            <w:pPr>
              <w:pStyle w:val="Heading2"/>
              <w:numPr>
                <w:ilvl w:val="0"/>
                <w:numId w:val="0"/>
              </w:numPr>
              <w:ind w:left="576" w:hanging="576"/>
              <w:rPr>
                <w:color w:val="000000" w:themeColor="text1"/>
              </w:rPr>
            </w:pPr>
            <w:r w:rsidRPr="00632374">
              <w:rPr>
                <w:color w:val="000000" w:themeColor="text1"/>
              </w:rPr>
              <w:t xml:space="preserve">2.2 </w:t>
            </w:r>
            <w:r w:rsidR="00D12DE9" w:rsidRPr="00632374">
              <w:rPr>
                <w:color w:val="000000" w:themeColor="text1"/>
              </w:rPr>
              <w:t>Tier 4 visa students</w:t>
            </w:r>
            <w:r w:rsidR="00D12DE9" w:rsidRPr="00632374">
              <w:rPr>
                <w:color w:val="000000" w:themeColor="text1"/>
              </w:rPr>
              <w:t> </w:t>
            </w:r>
          </w:p>
          <w:p w14:paraId="32B1C088" w14:textId="3BE6A76B" w:rsidR="00D12DE9" w:rsidRPr="00632374" w:rsidRDefault="00D12DE9" w:rsidP="00D12DE9">
            <w:pPr>
              <w:spacing w:after="0" w:line="276" w:lineRule="auto"/>
              <w:rPr>
                <w:rFonts w:ascii="Arial" w:hAnsi="Arial" w:cs="Arial"/>
                <w:color w:val="000000" w:themeColor="text1"/>
              </w:rPr>
            </w:pPr>
          </w:p>
        </w:tc>
      </w:tr>
      <w:tr w:rsidR="00632374" w:rsidRPr="00632374" w14:paraId="6DF1A95F" w14:textId="77777777" w:rsidTr="00F41D0C">
        <w:tc>
          <w:tcPr>
            <w:tcW w:w="10495" w:type="dxa"/>
          </w:tcPr>
          <w:p w14:paraId="29383FBB" w14:textId="30A55BCC" w:rsidR="00D12DE9" w:rsidRPr="00632374" w:rsidRDefault="00D12DE9" w:rsidP="00216291">
            <w:pPr>
              <w:pStyle w:val="ListParagraph"/>
              <w:numPr>
                <w:ilvl w:val="0"/>
                <w:numId w:val="29"/>
              </w:numPr>
              <w:spacing w:after="0" w:line="276" w:lineRule="auto"/>
              <w:rPr>
                <w:rFonts w:ascii="Arial" w:hAnsi="Arial" w:cs="Arial"/>
                <w:color w:val="000000" w:themeColor="text1"/>
              </w:rPr>
            </w:pPr>
            <w:r w:rsidRPr="00632374">
              <w:rPr>
                <w:rFonts w:ascii="Arial" w:hAnsi="Arial" w:cs="Arial"/>
                <w:color w:val="000000" w:themeColor="text1"/>
              </w:rPr>
              <w:t>Those responsible for monitoring student engagement should mark the student as engaged for classes affected by industrial action. This ensures that students are no</w:t>
            </w:r>
            <w:r w:rsidR="00F97BAA" w:rsidRPr="00632374">
              <w:rPr>
                <w:rFonts w:ascii="Arial" w:hAnsi="Arial" w:cs="Arial"/>
                <w:color w:val="000000" w:themeColor="text1"/>
              </w:rPr>
              <w:t>t</w:t>
            </w:r>
            <w:r w:rsidRPr="00632374">
              <w:rPr>
                <w:rFonts w:ascii="Arial" w:hAnsi="Arial" w:cs="Arial"/>
                <w:color w:val="000000" w:themeColor="text1"/>
              </w:rPr>
              <w:t xml:space="preserve"> penalised due to cancelled </w:t>
            </w:r>
            <w:r w:rsidR="009E7D7C" w:rsidRPr="00632374">
              <w:rPr>
                <w:rFonts w:ascii="Arial" w:hAnsi="Arial" w:cs="Arial"/>
                <w:color w:val="000000" w:themeColor="text1"/>
              </w:rPr>
              <w:t>classes and</w:t>
            </w:r>
            <w:r w:rsidRPr="00632374">
              <w:rPr>
                <w:rFonts w:ascii="Arial" w:hAnsi="Arial" w:cs="Arial"/>
                <w:color w:val="000000" w:themeColor="text1"/>
              </w:rPr>
              <w:t xml:space="preserve"> reduces the burden on administrative colleagues.</w:t>
            </w:r>
          </w:p>
        </w:tc>
      </w:tr>
      <w:tr w:rsidR="00632374" w:rsidRPr="00632374" w14:paraId="3DC34F90" w14:textId="77777777" w:rsidTr="00F41D0C">
        <w:tc>
          <w:tcPr>
            <w:tcW w:w="10495" w:type="dxa"/>
          </w:tcPr>
          <w:p w14:paraId="7E195CC6" w14:textId="77777777" w:rsidR="00BB3455" w:rsidRPr="00632374" w:rsidRDefault="00BB3455" w:rsidP="00F41D0C">
            <w:pPr>
              <w:spacing w:after="0" w:line="276" w:lineRule="auto"/>
              <w:ind w:left="2302" w:hanging="425"/>
              <w:rPr>
                <w:rFonts w:ascii="Arial" w:hAnsi="Arial" w:cs="Arial"/>
                <w:color w:val="000000" w:themeColor="text1"/>
              </w:rPr>
            </w:pPr>
          </w:p>
          <w:p w14:paraId="2E0913F0" w14:textId="21E3ED76" w:rsidR="00BB3455" w:rsidRPr="00632374" w:rsidRDefault="00BB3455" w:rsidP="00CE57D8">
            <w:pPr>
              <w:pStyle w:val="Heading1"/>
              <w:rPr>
                <w:color w:val="000000" w:themeColor="text1"/>
              </w:rPr>
            </w:pPr>
            <w:r w:rsidRPr="00632374">
              <w:rPr>
                <w:color w:val="000000" w:themeColor="text1"/>
              </w:rPr>
              <w:t>Applying Mitigation</w:t>
            </w:r>
          </w:p>
          <w:p w14:paraId="3A45FF56" w14:textId="77777777" w:rsidR="00E328C1" w:rsidRPr="00632374" w:rsidRDefault="00E328C1" w:rsidP="00F41D0C">
            <w:pPr>
              <w:spacing w:after="0" w:line="276" w:lineRule="auto"/>
              <w:rPr>
                <w:rFonts w:ascii="Arial" w:hAnsi="Arial" w:cs="Arial"/>
                <w:b/>
                <w:color w:val="000000" w:themeColor="text1"/>
              </w:rPr>
            </w:pPr>
          </w:p>
          <w:p w14:paraId="2A616195" w14:textId="74E954B6" w:rsidR="00E328C1" w:rsidRPr="00632374" w:rsidRDefault="00E328C1" w:rsidP="00CE57D8">
            <w:pPr>
              <w:pStyle w:val="Heading2"/>
              <w:rPr>
                <w:color w:val="000000" w:themeColor="text1"/>
              </w:rPr>
            </w:pPr>
            <w:r w:rsidRPr="00632374">
              <w:rPr>
                <w:color w:val="000000" w:themeColor="text1"/>
              </w:rPr>
              <w:t>General Principles</w:t>
            </w:r>
          </w:p>
          <w:p w14:paraId="2D4EA958" w14:textId="77777777" w:rsidR="00BB3455" w:rsidRPr="00632374" w:rsidRDefault="00BB3455" w:rsidP="00F41D0C">
            <w:pPr>
              <w:spacing w:after="0" w:line="276" w:lineRule="auto"/>
              <w:ind w:left="2302" w:hanging="425"/>
              <w:rPr>
                <w:rFonts w:ascii="Arial" w:hAnsi="Arial" w:cs="Arial"/>
                <w:color w:val="000000" w:themeColor="text1"/>
              </w:rPr>
            </w:pPr>
            <w:r w:rsidRPr="00632374">
              <w:rPr>
                <w:rFonts w:ascii="Arial" w:hAnsi="Arial" w:cs="Arial"/>
                <w:color w:val="000000" w:themeColor="text1"/>
              </w:rPr>
              <w:t> </w:t>
            </w:r>
          </w:p>
        </w:tc>
      </w:tr>
      <w:tr w:rsidR="00632374" w:rsidRPr="00632374" w14:paraId="33D3E3FF" w14:textId="77777777" w:rsidTr="00F41D0C">
        <w:tc>
          <w:tcPr>
            <w:tcW w:w="10495" w:type="dxa"/>
          </w:tcPr>
          <w:p w14:paraId="256E146B" w14:textId="495BE284" w:rsidR="00FE6734" w:rsidRPr="00632374" w:rsidRDefault="00BB3455" w:rsidP="00216291">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 xml:space="preserve">Where it is clear that a module has been affected by </w:t>
            </w:r>
            <w:r w:rsidR="00B079C7" w:rsidRPr="00632374">
              <w:rPr>
                <w:rFonts w:ascii="Arial" w:hAnsi="Arial" w:cs="Arial"/>
                <w:color w:val="000000" w:themeColor="text1"/>
              </w:rPr>
              <w:t>industrial</w:t>
            </w:r>
            <w:r w:rsidRPr="00632374">
              <w:rPr>
                <w:rFonts w:ascii="Arial" w:hAnsi="Arial" w:cs="Arial"/>
                <w:color w:val="000000" w:themeColor="text1"/>
              </w:rPr>
              <w:t xml:space="preserve"> action, the material irregularities procedure set out in the Academic Manual (</w:t>
            </w:r>
            <w:r w:rsidR="0036026B" w:rsidRPr="00632374">
              <w:rPr>
                <w:rFonts w:ascii="Arial" w:hAnsi="Arial" w:cs="Arial"/>
                <w:color w:val="000000" w:themeColor="text1"/>
              </w:rPr>
              <w:t xml:space="preserve">Chapter 6, Section </w:t>
            </w:r>
            <w:r w:rsidR="009A4C5F" w:rsidRPr="00632374">
              <w:rPr>
                <w:rFonts w:ascii="Arial" w:hAnsi="Arial" w:cs="Arial"/>
                <w:color w:val="000000" w:themeColor="text1"/>
              </w:rPr>
              <w:t>6</w:t>
            </w:r>
            <w:r w:rsidRPr="00632374">
              <w:rPr>
                <w:rFonts w:ascii="Arial" w:hAnsi="Arial" w:cs="Arial"/>
                <w:color w:val="000000" w:themeColor="text1"/>
              </w:rPr>
              <w:t xml:space="preserve">) </w:t>
            </w:r>
            <w:r w:rsidR="00FE6734" w:rsidRPr="00632374">
              <w:rPr>
                <w:rFonts w:ascii="Arial" w:hAnsi="Arial" w:cs="Arial"/>
                <w:color w:val="000000" w:themeColor="text1"/>
              </w:rPr>
              <w:t>should</w:t>
            </w:r>
            <w:r w:rsidRPr="00632374">
              <w:rPr>
                <w:rFonts w:ascii="Arial" w:hAnsi="Arial" w:cs="Arial"/>
                <w:color w:val="000000" w:themeColor="text1"/>
              </w:rPr>
              <w:t xml:space="preserve"> be followed. The Faculty Board of Examiners may then make adjustments in line with the procedure. The Faculty Board of Examiners may agree a delegation framework, but it is critical that oversight of decision making is maintained. </w:t>
            </w:r>
            <w:r w:rsidRPr="00632374">
              <w:rPr>
                <w:rFonts w:ascii="Arial" w:hAnsi="Arial" w:cs="Arial"/>
                <w:b/>
                <w:color w:val="000000" w:themeColor="text1"/>
              </w:rPr>
              <w:t>Students should not be asked to submit Extenuating Circumstances Forms to seek adjustments</w:t>
            </w:r>
            <w:r w:rsidRPr="00632374">
              <w:rPr>
                <w:rFonts w:ascii="Arial" w:hAnsi="Arial" w:cs="Arial"/>
                <w:color w:val="000000" w:themeColor="text1"/>
              </w:rPr>
              <w:t xml:space="preserve">, the Material Irregularities procedure gives an opportunity to make and communicate pro-active decisions about the impact of </w:t>
            </w:r>
            <w:r w:rsidR="00FE6734" w:rsidRPr="00632374">
              <w:rPr>
                <w:rFonts w:ascii="Arial" w:hAnsi="Arial" w:cs="Arial"/>
                <w:color w:val="000000" w:themeColor="text1"/>
              </w:rPr>
              <w:t>industrial</w:t>
            </w:r>
            <w:r w:rsidR="00B079C7" w:rsidRPr="00632374">
              <w:rPr>
                <w:rFonts w:ascii="Arial" w:hAnsi="Arial" w:cs="Arial"/>
                <w:color w:val="000000" w:themeColor="text1"/>
              </w:rPr>
              <w:t xml:space="preserve"> action</w:t>
            </w:r>
            <w:r w:rsidRPr="00632374">
              <w:rPr>
                <w:rFonts w:ascii="Arial" w:hAnsi="Arial" w:cs="Arial"/>
                <w:color w:val="000000" w:themeColor="text1"/>
              </w:rPr>
              <w:t>.</w:t>
            </w:r>
          </w:p>
          <w:p w14:paraId="10D00400" w14:textId="23554FD2" w:rsidR="00216291" w:rsidRPr="00632374" w:rsidRDefault="00216291" w:rsidP="00216291">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Module and Programme Leaders are best placed to reach a judgement as to whether their modules have been sufficiently affected by industrial action to require mitigation; it is not possible to make a single institutional judgement about the consequences of missing a single lecture, lab or seminar.</w:t>
            </w:r>
          </w:p>
          <w:p w14:paraId="1AE3E9DB" w14:textId="02C9B57B" w:rsidR="00216291" w:rsidRPr="00632374" w:rsidRDefault="00216291" w:rsidP="00216291">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Programme Boards of Examiners should review the mark profiles of students carefully to ascertain whether industrial action has had a material impact on the performance of students despite mitigation, they should compare student profiles against unaffected modules and the performance of previous cohorts. Where further mitigation is required, the Faculty Board of Examiners should be consulted.</w:t>
            </w:r>
          </w:p>
          <w:p w14:paraId="308514F5" w14:textId="77777777" w:rsidR="00E328C1" w:rsidRPr="00632374" w:rsidRDefault="00E328C1" w:rsidP="00216291">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lastRenderedPageBreak/>
              <w:t>Faculty Boards of Examiners are responsible for the application of the Material Irregularity procedure, they may delegate responsibility to individuals or bodies at Department level if appropriate. However, a clear allocation of delegated authority must be reported to the Task Group, for the record, and clear guidance must be provided to the individuals or bodies with delegated authority so that the procedure is applied consistently.</w:t>
            </w:r>
          </w:p>
          <w:p w14:paraId="08D022CE" w14:textId="04BDB650" w:rsidR="00216291" w:rsidRPr="00632374" w:rsidRDefault="00216291" w:rsidP="00216291">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Due to the varying magnitude of impact on students it is considered that an impact of up to 30 credits can be mitigated without significantly affecting decisions on progression, awarding, and classification; this is because the remaining credits will provide sufficient evidence of students’ academic achievements for a Programme Board of Examiners to make a decision.</w:t>
            </w:r>
          </w:p>
        </w:tc>
      </w:tr>
      <w:tr w:rsidR="00632374" w:rsidRPr="00632374" w14:paraId="146E33E8" w14:textId="77777777" w:rsidTr="00F41D0C">
        <w:tc>
          <w:tcPr>
            <w:tcW w:w="10495" w:type="dxa"/>
          </w:tcPr>
          <w:p w14:paraId="3E1F59F6" w14:textId="6D5CEC5B" w:rsidR="00F73CAD" w:rsidRPr="00632374" w:rsidRDefault="00F73CAD" w:rsidP="00F73CAD">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lastRenderedPageBreak/>
              <w:t xml:space="preserve">Should the impact on students on a module vary, the Task Group advises that mitigation is applied consistently to all students regardless of whether they were directly affected; this is to ensure parity of treatment for all students. </w:t>
            </w:r>
          </w:p>
          <w:p w14:paraId="17815850" w14:textId="77777777" w:rsidR="00F73CAD" w:rsidRPr="00632374" w:rsidRDefault="00F73CAD" w:rsidP="00F73CAD">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Students undertaking research projects/dissertations may be affected differently depending on their supervision and support arrangements. As with other modules, mitigation should be applied consistently to all students in a cohort but there may need to be different forms of mitigation applied to students in the same cohort e.g. some might require extensions where others do not depend on the extent of industrial action in a particular department.</w:t>
            </w:r>
          </w:p>
          <w:p w14:paraId="2F584229" w14:textId="07408A74" w:rsidR="00F73CAD" w:rsidRPr="00632374" w:rsidRDefault="00F73CAD" w:rsidP="00F73CAD">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Students must be informed proactively</w:t>
            </w:r>
            <w:r w:rsidR="00A063E3" w:rsidRPr="00632374">
              <w:rPr>
                <w:rFonts w:ascii="Arial" w:hAnsi="Arial" w:cs="Arial"/>
                <w:color w:val="000000" w:themeColor="text1"/>
              </w:rPr>
              <w:t xml:space="preserve"> and as soon as possible</w:t>
            </w:r>
            <w:r w:rsidRPr="00632374">
              <w:rPr>
                <w:rFonts w:ascii="Arial" w:hAnsi="Arial" w:cs="Arial"/>
                <w:color w:val="000000" w:themeColor="text1"/>
              </w:rPr>
              <w:t xml:space="preserve"> about the mitigation that has been applied and the rationale for applying that mitigation.</w:t>
            </w:r>
          </w:p>
          <w:p w14:paraId="22E7578F" w14:textId="09AA4E1E" w:rsidR="004C731B" w:rsidRPr="00632374" w:rsidRDefault="00F73CAD" w:rsidP="00F73CAD">
            <w:pPr>
              <w:pStyle w:val="ListParagraph"/>
              <w:numPr>
                <w:ilvl w:val="0"/>
                <w:numId w:val="14"/>
              </w:numPr>
              <w:spacing w:after="0" w:line="276" w:lineRule="auto"/>
              <w:rPr>
                <w:rFonts w:ascii="Arial" w:hAnsi="Arial" w:cs="Arial"/>
                <w:color w:val="000000" w:themeColor="text1"/>
              </w:rPr>
            </w:pPr>
            <w:r w:rsidRPr="00632374">
              <w:rPr>
                <w:rFonts w:ascii="Arial" w:hAnsi="Arial" w:cs="Arial"/>
                <w:color w:val="000000" w:themeColor="text1"/>
              </w:rPr>
              <w:t>Students who wish to complain about the mitigation applied should do so when they are advised of the mitigation and before they have received their marks. In accordance with Paragraph 39 of the Student Complaints Procedure, all complaints must be received by the Casework Team within twenty-eight days of the formal date of notification of when the decision causing the complaint occurred (this would be taken as the day when students were informed of the decision).</w:t>
            </w:r>
          </w:p>
          <w:p w14:paraId="1E345840" w14:textId="77777777" w:rsidR="00F73CAD" w:rsidRPr="00632374" w:rsidRDefault="00F73CAD" w:rsidP="00F41D0C">
            <w:pPr>
              <w:spacing w:after="0" w:line="276" w:lineRule="auto"/>
              <w:rPr>
                <w:rFonts w:ascii="Arial" w:hAnsi="Arial" w:cs="Arial"/>
                <w:b/>
                <w:color w:val="000000" w:themeColor="text1"/>
              </w:rPr>
            </w:pPr>
          </w:p>
          <w:p w14:paraId="50F67D0C" w14:textId="05281C61" w:rsidR="00F73CAD" w:rsidRPr="00632374" w:rsidRDefault="00F73CAD" w:rsidP="00CE57D8">
            <w:pPr>
              <w:pStyle w:val="Heading2"/>
              <w:rPr>
                <w:color w:val="000000" w:themeColor="text1"/>
              </w:rPr>
            </w:pPr>
            <w:r w:rsidRPr="00632374">
              <w:rPr>
                <w:color w:val="000000" w:themeColor="text1"/>
              </w:rPr>
              <w:t>Rescheduling In-class Tests</w:t>
            </w:r>
          </w:p>
          <w:p w14:paraId="1B281FE9" w14:textId="77777777" w:rsidR="00F73CAD" w:rsidRPr="00632374" w:rsidRDefault="00F73CAD" w:rsidP="00F41D0C">
            <w:pPr>
              <w:spacing w:after="0" w:line="276" w:lineRule="auto"/>
              <w:rPr>
                <w:rFonts w:ascii="Arial" w:hAnsi="Arial" w:cs="Arial"/>
                <w:b/>
                <w:color w:val="000000" w:themeColor="text1"/>
              </w:rPr>
            </w:pPr>
          </w:p>
          <w:p w14:paraId="70F7FD5E" w14:textId="77777777" w:rsidR="00F73CAD" w:rsidRPr="00632374" w:rsidRDefault="00F73CAD" w:rsidP="00F73CAD">
            <w:pPr>
              <w:pStyle w:val="ListParagraph"/>
              <w:numPr>
                <w:ilvl w:val="0"/>
                <w:numId w:val="24"/>
              </w:numPr>
              <w:spacing w:after="0" w:line="276" w:lineRule="auto"/>
              <w:rPr>
                <w:rFonts w:ascii="Arial" w:hAnsi="Arial" w:cs="Arial"/>
                <w:color w:val="000000" w:themeColor="text1"/>
              </w:rPr>
            </w:pPr>
            <w:r w:rsidRPr="00632374">
              <w:rPr>
                <w:rFonts w:ascii="Arial" w:hAnsi="Arial" w:cs="Arial"/>
                <w:color w:val="000000" w:themeColor="text1"/>
              </w:rPr>
              <w:t>Where in-class assessments have been missed because of industrial action, the Task Group advises that the assessment should be rescheduled. If it is impossible to reschedule the assessment, then the component should be excluded and this applied to entire cohort.</w:t>
            </w:r>
          </w:p>
          <w:p w14:paraId="7C87F441" w14:textId="77777777" w:rsidR="00F73CAD" w:rsidRPr="00632374" w:rsidRDefault="00F73CAD" w:rsidP="00F76B4E">
            <w:pPr>
              <w:spacing w:after="0" w:line="276" w:lineRule="auto"/>
              <w:rPr>
                <w:rFonts w:ascii="Arial" w:hAnsi="Arial" w:cs="Arial"/>
                <w:color w:val="000000" w:themeColor="text1"/>
              </w:rPr>
            </w:pPr>
          </w:p>
          <w:p w14:paraId="41DFFCC4" w14:textId="77777777" w:rsidR="00F73CAD" w:rsidRPr="00632374" w:rsidRDefault="00F73CAD" w:rsidP="00CE57D8">
            <w:pPr>
              <w:pStyle w:val="Heading2"/>
              <w:rPr>
                <w:color w:val="000000" w:themeColor="text1"/>
              </w:rPr>
            </w:pPr>
            <w:r w:rsidRPr="00632374">
              <w:rPr>
                <w:color w:val="000000" w:themeColor="text1"/>
              </w:rPr>
              <w:t>Adjusting Exam Papers and Assessments</w:t>
            </w:r>
          </w:p>
          <w:p w14:paraId="48F0CEB5" w14:textId="77777777" w:rsidR="00F73CAD" w:rsidRPr="00632374" w:rsidRDefault="00F73CAD" w:rsidP="00F73CAD">
            <w:pPr>
              <w:spacing w:after="0" w:line="276" w:lineRule="auto"/>
              <w:rPr>
                <w:rFonts w:ascii="Arial" w:hAnsi="Arial" w:cs="Arial"/>
                <w:color w:val="000000" w:themeColor="text1"/>
              </w:rPr>
            </w:pPr>
          </w:p>
          <w:p w14:paraId="5936D7FC" w14:textId="6EF753B8" w:rsidR="00F73CAD" w:rsidRPr="00632374" w:rsidRDefault="00F73CAD" w:rsidP="00F73CAD">
            <w:pPr>
              <w:pStyle w:val="ListParagraph"/>
              <w:numPr>
                <w:ilvl w:val="0"/>
                <w:numId w:val="21"/>
              </w:numPr>
              <w:spacing w:after="0" w:line="276" w:lineRule="auto"/>
              <w:rPr>
                <w:rFonts w:ascii="Arial" w:hAnsi="Arial" w:cs="Arial"/>
                <w:color w:val="000000" w:themeColor="text1"/>
              </w:rPr>
            </w:pPr>
            <w:r w:rsidRPr="00632374">
              <w:rPr>
                <w:rFonts w:ascii="Arial" w:hAnsi="Arial" w:cs="Arial"/>
                <w:color w:val="000000" w:themeColor="text1"/>
              </w:rPr>
              <w:t xml:space="preserve">Chapter 6, Section </w:t>
            </w:r>
            <w:r w:rsidR="009A4C5F" w:rsidRPr="00632374">
              <w:rPr>
                <w:rFonts w:ascii="Arial" w:hAnsi="Arial" w:cs="Arial"/>
                <w:color w:val="000000" w:themeColor="text1"/>
              </w:rPr>
              <w:t>6</w:t>
            </w:r>
            <w:r w:rsidRPr="00632374">
              <w:rPr>
                <w:rFonts w:ascii="Arial" w:hAnsi="Arial" w:cs="Arial"/>
                <w:color w:val="000000" w:themeColor="text1"/>
              </w:rPr>
              <w:t>, paragraph</w:t>
            </w:r>
            <w:r w:rsidR="00E84E49" w:rsidRPr="00632374">
              <w:rPr>
                <w:rFonts w:ascii="Arial" w:hAnsi="Arial" w:cs="Arial"/>
                <w:color w:val="000000" w:themeColor="text1"/>
              </w:rPr>
              <w:t xml:space="preserve"> 6</w:t>
            </w:r>
            <w:r w:rsidRPr="00632374">
              <w:rPr>
                <w:rFonts w:ascii="Arial" w:hAnsi="Arial" w:cs="Arial"/>
                <w:color w:val="000000" w:themeColor="text1"/>
              </w:rPr>
              <w:t>.</w:t>
            </w:r>
            <w:r w:rsidR="009A4C5F" w:rsidRPr="00632374">
              <w:rPr>
                <w:rFonts w:ascii="Arial" w:hAnsi="Arial" w:cs="Arial"/>
                <w:color w:val="000000" w:themeColor="text1"/>
              </w:rPr>
              <w:t>d)</w:t>
            </w:r>
            <w:r w:rsidRPr="00632374">
              <w:rPr>
                <w:rFonts w:ascii="Arial" w:hAnsi="Arial" w:cs="Arial"/>
                <w:color w:val="000000" w:themeColor="text1"/>
              </w:rPr>
              <w:t xml:space="preserve"> of the UCL Academic Manual</w:t>
            </w:r>
            <w:r w:rsidR="00F76B4E" w:rsidRPr="00632374">
              <w:rPr>
                <w:rFonts w:ascii="Arial" w:hAnsi="Arial" w:cs="Arial"/>
                <w:color w:val="000000" w:themeColor="text1"/>
              </w:rPr>
              <w:t xml:space="preserve"> </w:t>
            </w:r>
            <w:r w:rsidRPr="00632374">
              <w:rPr>
                <w:rFonts w:ascii="Arial" w:hAnsi="Arial" w:cs="Arial"/>
                <w:color w:val="000000" w:themeColor="text1"/>
              </w:rPr>
              <w:t>includes adjustment of an existing exam paper or assessment. This may involve adjusting a question, removing certain questions, removing entire sections or adjusting the rubric. Where it is agreed that the most appropriate mitigation for missed teaching is to adjust questions or tasks in an assessment/examination, this should be applied consistently to the whole cohort of students to ensure that the assessment is equitable to all students.</w:t>
            </w:r>
          </w:p>
          <w:p w14:paraId="2808BD68" w14:textId="4C992890" w:rsidR="00F73CAD" w:rsidRPr="00632374" w:rsidRDefault="00F73CAD" w:rsidP="00F73CAD">
            <w:pPr>
              <w:pStyle w:val="ListParagraph"/>
              <w:numPr>
                <w:ilvl w:val="0"/>
                <w:numId w:val="21"/>
              </w:numPr>
              <w:spacing w:after="0" w:line="276" w:lineRule="auto"/>
              <w:rPr>
                <w:rFonts w:ascii="Arial" w:hAnsi="Arial" w:cs="Arial"/>
                <w:color w:val="000000" w:themeColor="text1"/>
              </w:rPr>
            </w:pPr>
            <w:r w:rsidRPr="00632374">
              <w:rPr>
                <w:rFonts w:ascii="Arial" w:hAnsi="Arial" w:cs="Arial"/>
                <w:color w:val="000000" w:themeColor="text1"/>
              </w:rPr>
              <w:t xml:space="preserve">When adjusting an existing exam paper or assessment, external examiners only need to be informed, UCL will not require external examiner approval for the change. </w:t>
            </w:r>
          </w:p>
          <w:p w14:paraId="2AB5F913" w14:textId="45CDB41F" w:rsidR="00ED5537" w:rsidRPr="00632374" w:rsidRDefault="00ED5537" w:rsidP="00ED5537">
            <w:pPr>
              <w:pStyle w:val="ListParagraph"/>
              <w:numPr>
                <w:ilvl w:val="0"/>
                <w:numId w:val="21"/>
              </w:numPr>
              <w:rPr>
                <w:rFonts w:ascii="Arial" w:hAnsi="Arial" w:cs="Arial"/>
                <w:color w:val="000000" w:themeColor="text1"/>
              </w:rPr>
            </w:pPr>
            <w:r w:rsidRPr="00632374">
              <w:rPr>
                <w:rFonts w:ascii="Arial" w:hAnsi="Arial" w:cs="Arial"/>
                <w:color w:val="000000" w:themeColor="text1"/>
              </w:rPr>
              <w:t>In the event of industrial action affecting the exam period, the deadline for the submission of examination paper to the SRS examinations office will not change. Please ensure that exam papers are submitted by the deadline as normal.</w:t>
            </w:r>
          </w:p>
          <w:p w14:paraId="1A277630" w14:textId="749D725A" w:rsidR="00ED5537" w:rsidRPr="00632374" w:rsidRDefault="00ED5537" w:rsidP="00ED5537">
            <w:pPr>
              <w:pStyle w:val="ListParagraph"/>
              <w:numPr>
                <w:ilvl w:val="0"/>
                <w:numId w:val="21"/>
              </w:numPr>
              <w:rPr>
                <w:rFonts w:ascii="Arial" w:hAnsi="Arial" w:cs="Arial"/>
                <w:color w:val="000000" w:themeColor="text1"/>
              </w:rPr>
            </w:pPr>
            <w:r w:rsidRPr="00632374">
              <w:rPr>
                <w:rFonts w:ascii="Arial" w:hAnsi="Arial" w:cs="Arial"/>
                <w:color w:val="000000" w:themeColor="text1"/>
              </w:rPr>
              <w:t xml:space="preserve">Ideally, any adjustments that may be required to examination papers should be made before they are submitted. However, if there is a paper where it is expected there may need to be a change due to industrial action, </w:t>
            </w:r>
            <w:r w:rsidR="00BA5AA0" w:rsidRPr="00632374">
              <w:rPr>
                <w:rFonts w:ascii="Arial" w:hAnsi="Arial" w:cs="Arial"/>
                <w:color w:val="000000" w:themeColor="text1"/>
              </w:rPr>
              <w:t xml:space="preserve">the Programme Administrator or </w:t>
            </w:r>
            <w:r w:rsidR="00C95799" w:rsidRPr="00632374">
              <w:rPr>
                <w:rFonts w:ascii="Arial" w:hAnsi="Arial" w:cs="Arial"/>
                <w:color w:val="000000" w:themeColor="text1"/>
              </w:rPr>
              <w:t>Examination</w:t>
            </w:r>
            <w:r w:rsidR="00BA5AA0" w:rsidRPr="00632374">
              <w:rPr>
                <w:rFonts w:ascii="Arial" w:hAnsi="Arial" w:cs="Arial"/>
                <w:color w:val="000000" w:themeColor="text1"/>
              </w:rPr>
              <w:t xml:space="preserve"> Liaison Officer responsible should</w:t>
            </w:r>
            <w:r w:rsidRPr="00632374">
              <w:rPr>
                <w:rFonts w:ascii="Arial" w:hAnsi="Arial" w:cs="Arial"/>
                <w:color w:val="000000" w:themeColor="text1"/>
              </w:rPr>
              <w:t xml:space="preserve"> flag this to the SRS exam</w:t>
            </w:r>
            <w:r w:rsidR="00C95799" w:rsidRPr="00632374">
              <w:rPr>
                <w:rFonts w:ascii="Arial" w:hAnsi="Arial" w:cs="Arial"/>
                <w:color w:val="000000" w:themeColor="text1"/>
              </w:rPr>
              <w:t>ination</w:t>
            </w:r>
            <w:r w:rsidRPr="00632374">
              <w:rPr>
                <w:rFonts w:ascii="Arial" w:hAnsi="Arial" w:cs="Arial"/>
                <w:color w:val="000000" w:themeColor="text1"/>
              </w:rPr>
              <w:t>s team when the exam paper is submitted. A replacement paper can th</w:t>
            </w:r>
            <w:r w:rsidR="00C95799" w:rsidRPr="00632374">
              <w:rPr>
                <w:rFonts w:ascii="Arial" w:hAnsi="Arial" w:cs="Arial"/>
                <w:color w:val="000000" w:themeColor="text1"/>
              </w:rPr>
              <w:t>en be submitted to the SRS examinations</w:t>
            </w:r>
            <w:r w:rsidRPr="00632374">
              <w:rPr>
                <w:rFonts w:ascii="Arial" w:hAnsi="Arial" w:cs="Arial"/>
                <w:color w:val="000000" w:themeColor="text1"/>
              </w:rPr>
              <w:t xml:space="preserve"> team up to two weeks before the start of the exam period. </w:t>
            </w:r>
          </w:p>
          <w:p w14:paraId="1FC79548" w14:textId="77777777" w:rsidR="00A063E3" w:rsidRPr="00632374" w:rsidRDefault="00A063E3" w:rsidP="00A063E3">
            <w:pPr>
              <w:pStyle w:val="ListParagraph"/>
              <w:numPr>
                <w:ilvl w:val="0"/>
                <w:numId w:val="21"/>
              </w:numPr>
              <w:rPr>
                <w:rFonts w:ascii="Arial" w:hAnsi="Arial" w:cs="Arial"/>
                <w:color w:val="000000" w:themeColor="text1"/>
              </w:rPr>
            </w:pPr>
            <w:r w:rsidRPr="00632374">
              <w:rPr>
                <w:rFonts w:ascii="Arial" w:hAnsi="Arial" w:cs="Arial"/>
                <w:color w:val="000000" w:themeColor="text1"/>
              </w:rPr>
              <w:t xml:space="preserve">Please note that oral corrections in the exam hall are not permitted (because of the number of complaints from students about disruption to their exam in previous years). As a result, departments will have the opportunity to check the printed paper after it is returned from the printers and this timeframe will be reduced in the event that a replacement paper is provided. </w:t>
            </w:r>
          </w:p>
          <w:p w14:paraId="12192048" w14:textId="0384C9AA" w:rsidR="00F73CAD" w:rsidRPr="00632374" w:rsidRDefault="00A063E3" w:rsidP="00A063E3">
            <w:pPr>
              <w:pStyle w:val="ListParagraph"/>
              <w:numPr>
                <w:ilvl w:val="0"/>
                <w:numId w:val="21"/>
              </w:numPr>
              <w:rPr>
                <w:rFonts w:ascii="Arial" w:hAnsi="Arial" w:cs="Arial"/>
                <w:color w:val="000000" w:themeColor="text1"/>
              </w:rPr>
            </w:pPr>
            <w:r w:rsidRPr="00632374">
              <w:rPr>
                <w:rFonts w:ascii="Arial" w:hAnsi="Arial" w:cs="Arial"/>
                <w:color w:val="000000" w:themeColor="text1"/>
              </w:rPr>
              <w:lastRenderedPageBreak/>
              <w:t>The SRS exam</w:t>
            </w:r>
            <w:r w:rsidR="00C95799" w:rsidRPr="00632374">
              <w:rPr>
                <w:rFonts w:ascii="Arial" w:hAnsi="Arial" w:cs="Arial"/>
                <w:color w:val="000000" w:themeColor="text1"/>
              </w:rPr>
              <w:t>inations</w:t>
            </w:r>
            <w:r w:rsidRPr="00632374">
              <w:rPr>
                <w:rFonts w:ascii="Arial" w:hAnsi="Arial" w:cs="Arial"/>
                <w:color w:val="000000" w:themeColor="text1"/>
              </w:rPr>
              <w:t xml:space="preserve"> team can only accept a </w:t>
            </w:r>
            <w:r w:rsidR="00AC137B" w:rsidRPr="00632374">
              <w:rPr>
                <w:rFonts w:ascii="Arial" w:hAnsi="Arial" w:cs="Arial"/>
                <w:color w:val="000000" w:themeColor="text1"/>
              </w:rPr>
              <w:t xml:space="preserve">replacement paper where it is a </w:t>
            </w:r>
            <w:r w:rsidRPr="00632374">
              <w:rPr>
                <w:rFonts w:ascii="Arial" w:hAnsi="Arial" w:cs="Arial"/>
                <w:color w:val="000000" w:themeColor="text1"/>
              </w:rPr>
              <w:t>consequence of industrial action.</w:t>
            </w:r>
          </w:p>
          <w:p w14:paraId="68F82B1E" w14:textId="681F1D97" w:rsidR="00F73CAD" w:rsidRPr="00632374" w:rsidRDefault="00F73CAD" w:rsidP="00CE57D8">
            <w:pPr>
              <w:pStyle w:val="Heading2"/>
              <w:rPr>
                <w:color w:val="000000" w:themeColor="text1"/>
              </w:rPr>
            </w:pPr>
            <w:r w:rsidRPr="00632374">
              <w:rPr>
                <w:color w:val="000000" w:themeColor="text1"/>
              </w:rPr>
              <w:t>Changing the Method of Assessment</w:t>
            </w:r>
          </w:p>
          <w:p w14:paraId="139B0A3F" w14:textId="77777777" w:rsidR="00F73CAD" w:rsidRPr="00632374" w:rsidRDefault="00F73CAD" w:rsidP="00F73CAD">
            <w:pPr>
              <w:spacing w:after="0" w:line="276" w:lineRule="auto"/>
              <w:rPr>
                <w:rFonts w:ascii="Arial" w:hAnsi="Arial" w:cs="Arial"/>
                <w:color w:val="000000" w:themeColor="text1"/>
              </w:rPr>
            </w:pPr>
          </w:p>
          <w:p w14:paraId="627F8D07" w14:textId="7F97AAF8" w:rsidR="00ED5537" w:rsidRPr="00632374" w:rsidRDefault="00ED5537" w:rsidP="00ED5537">
            <w:pPr>
              <w:pStyle w:val="ListParagraph"/>
              <w:numPr>
                <w:ilvl w:val="0"/>
                <w:numId w:val="22"/>
              </w:numPr>
              <w:rPr>
                <w:rFonts w:ascii="Arial" w:hAnsi="Arial" w:cs="Arial"/>
                <w:color w:val="000000" w:themeColor="text1"/>
              </w:rPr>
            </w:pPr>
            <w:r w:rsidRPr="00632374">
              <w:rPr>
                <w:rFonts w:ascii="Arial" w:hAnsi="Arial" w:cs="Arial"/>
                <w:color w:val="000000" w:themeColor="text1"/>
              </w:rPr>
              <w:t>If changing the method of assessment is proposed (e.g. replacing an exam with an essay), the external examiner needs to be consulted and approve the change.</w:t>
            </w:r>
          </w:p>
          <w:p w14:paraId="3DE4DF64" w14:textId="70D62613" w:rsidR="00F73CAD" w:rsidRPr="00632374" w:rsidRDefault="00F73CAD" w:rsidP="00F73CAD">
            <w:pPr>
              <w:pStyle w:val="ListParagraph"/>
              <w:numPr>
                <w:ilvl w:val="0"/>
                <w:numId w:val="22"/>
              </w:numPr>
              <w:spacing w:after="0" w:line="276" w:lineRule="auto"/>
              <w:rPr>
                <w:rFonts w:ascii="Arial" w:hAnsi="Arial" w:cs="Arial"/>
                <w:color w:val="000000" w:themeColor="text1"/>
              </w:rPr>
            </w:pPr>
            <w:r w:rsidRPr="00632374">
              <w:rPr>
                <w:rFonts w:ascii="Arial" w:hAnsi="Arial" w:cs="Arial"/>
                <w:color w:val="000000" w:themeColor="text1"/>
              </w:rPr>
              <w:t>If the preferred option is “Offering the student another opportunity to take the assessment as if for the first time and without penalty (deferral)”, this must be agreed before students submit assessments or sit an exam.</w:t>
            </w:r>
          </w:p>
          <w:p w14:paraId="5A3CFE63" w14:textId="77777777" w:rsidR="00F73CAD" w:rsidRPr="00632374" w:rsidRDefault="00F73CAD" w:rsidP="00F41D0C">
            <w:pPr>
              <w:spacing w:after="0" w:line="276" w:lineRule="auto"/>
              <w:rPr>
                <w:rFonts w:ascii="Arial" w:hAnsi="Arial" w:cs="Arial"/>
                <w:b/>
                <w:color w:val="000000" w:themeColor="text1"/>
              </w:rPr>
            </w:pPr>
          </w:p>
          <w:p w14:paraId="2016CF4F" w14:textId="51370826" w:rsidR="004C731B" w:rsidRPr="00632374" w:rsidRDefault="00F73CAD" w:rsidP="00CE57D8">
            <w:pPr>
              <w:pStyle w:val="Heading2"/>
              <w:rPr>
                <w:color w:val="000000" w:themeColor="text1"/>
              </w:rPr>
            </w:pPr>
            <w:r w:rsidRPr="00632374">
              <w:rPr>
                <w:color w:val="000000" w:themeColor="text1"/>
              </w:rPr>
              <w:t xml:space="preserve"> Component and Module Exclusions</w:t>
            </w:r>
          </w:p>
          <w:p w14:paraId="261BD2AE" w14:textId="77777777" w:rsidR="004C731B" w:rsidRPr="00632374" w:rsidRDefault="004C731B" w:rsidP="00F41D0C">
            <w:pPr>
              <w:spacing w:after="0" w:line="276" w:lineRule="auto"/>
              <w:ind w:left="2302" w:hanging="425"/>
              <w:rPr>
                <w:rFonts w:ascii="Arial" w:hAnsi="Arial" w:cs="Arial"/>
                <w:color w:val="000000" w:themeColor="text1"/>
              </w:rPr>
            </w:pPr>
            <w:r w:rsidRPr="00632374">
              <w:rPr>
                <w:rFonts w:ascii="Arial" w:hAnsi="Arial" w:cs="Arial"/>
                <w:color w:val="000000" w:themeColor="text1"/>
              </w:rPr>
              <w:t> </w:t>
            </w:r>
          </w:p>
        </w:tc>
      </w:tr>
      <w:tr w:rsidR="00632374" w:rsidRPr="00632374" w14:paraId="7B27FFAB" w14:textId="77777777" w:rsidTr="00F41D0C">
        <w:tc>
          <w:tcPr>
            <w:tcW w:w="10495" w:type="dxa"/>
          </w:tcPr>
          <w:p w14:paraId="4F2106B6" w14:textId="51A8B752" w:rsidR="004C731B" w:rsidRPr="00632374" w:rsidRDefault="004C731B" w:rsidP="00373BEA">
            <w:pPr>
              <w:pStyle w:val="ListParagraph"/>
              <w:numPr>
                <w:ilvl w:val="0"/>
                <w:numId w:val="6"/>
              </w:numPr>
              <w:spacing w:after="0" w:line="276" w:lineRule="auto"/>
              <w:rPr>
                <w:rFonts w:ascii="Arial" w:hAnsi="Arial" w:cs="Arial"/>
                <w:color w:val="000000" w:themeColor="text1"/>
              </w:rPr>
            </w:pPr>
            <w:r w:rsidRPr="00632374">
              <w:rPr>
                <w:rFonts w:ascii="Arial" w:hAnsi="Arial" w:cs="Arial"/>
                <w:color w:val="000000" w:themeColor="text1"/>
              </w:rPr>
              <w:lastRenderedPageBreak/>
              <w:t>Where the impact on assessment involves fewer than 30 credits, Faculty Boards of Examiners can take appropriate action in accordance with Material Irregularity procedures. Advice can be sought from the Task Group if required.</w:t>
            </w:r>
          </w:p>
          <w:p w14:paraId="17953F44" w14:textId="2A947373" w:rsidR="004C731B" w:rsidRPr="00632374" w:rsidRDefault="004C731B" w:rsidP="00373BEA">
            <w:pPr>
              <w:pStyle w:val="ListParagraph"/>
              <w:numPr>
                <w:ilvl w:val="0"/>
                <w:numId w:val="6"/>
              </w:numPr>
              <w:spacing w:after="0" w:line="276" w:lineRule="auto"/>
              <w:rPr>
                <w:rFonts w:ascii="Arial" w:hAnsi="Arial" w:cs="Arial"/>
                <w:color w:val="000000" w:themeColor="text1"/>
              </w:rPr>
            </w:pPr>
            <w:r w:rsidRPr="00632374">
              <w:rPr>
                <w:rFonts w:ascii="Arial" w:hAnsi="Arial" w:cs="Arial"/>
                <w:color w:val="000000" w:themeColor="text1"/>
              </w:rPr>
              <w:t xml:space="preserve">Where more than 30 credits are affected, the Task Group advises </w:t>
            </w:r>
            <w:r w:rsidR="0036026B" w:rsidRPr="00632374">
              <w:rPr>
                <w:rFonts w:ascii="Arial" w:hAnsi="Arial" w:cs="Arial"/>
                <w:color w:val="000000" w:themeColor="text1"/>
              </w:rPr>
              <w:t>that the options</w:t>
            </w:r>
            <w:r w:rsidRPr="00632374">
              <w:rPr>
                <w:rFonts w:ascii="Arial" w:hAnsi="Arial" w:cs="Arial"/>
                <w:color w:val="000000" w:themeColor="text1"/>
              </w:rPr>
              <w:t xml:space="preserve"> in the Material Irregularity procedure </w:t>
            </w:r>
            <w:r w:rsidR="0036026B" w:rsidRPr="00632374">
              <w:rPr>
                <w:rFonts w:ascii="Arial" w:hAnsi="Arial" w:cs="Arial"/>
                <w:color w:val="000000" w:themeColor="text1"/>
              </w:rPr>
              <w:t xml:space="preserve">under Chapter 6, Section </w:t>
            </w:r>
            <w:r w:rsidR="009A4C5F" w:rsidRPr="00632374">
              <w:rPr>
                <w:rFonts w:ascii="Arial" w:hAnsi="Arial" w:cs="Arial"/>
                <w:color w:val="000000" w:themeColor="text1"/>
              </w:rPr>
              <w:t>6</w:t>
            </w:r>
            <w:r w:rsidR="0036026B" w:rsidRPr="00632374">
              <w:rPr>
                <w:rFonts w:ascii="Arial" w:hAnsi="Arial" w:cs="Arial"/>
                <w:color w:val="000000" w:themeColor="text1"/>
              </w:rPr>
              <w:t>, par</w:t>
            </w:r>
            <w:r w:rsidR="00C31D05" w:rsidRPr="00632374">
              <w:rPr>
                <w:rFonts w:ascii="Arial" w:hAnsi="Arial" w:cs="Arial"/>
                <w:color w:val="000000" w:themeColor="text1"/>
              </w:rPr>
              <w:t>agraph</w:t>
            </w:r>
            <w:r w:rsidR="0036026B" w:rsidRPr="00632374">
              <w:rPr>
                <w:rFonts w:ascii="Arial" w:hAnsi="Arial" w:cs="Arial"/>
                <w:color w:val="000000" w:themeColor="text1"/>
              </w:rPr>
              <w:t xml:space="preserve"> </w:t>
            </w:r>
            <w:r w:rsidR="00E84E49" w:rsidRPr="00632374">
              <w:rPr>
                <w:rFonts w:ascii="Arial" w:hAnsi="Arial" w:cs="Arial"/>
                <w:color w:val="000000" w:themeColor="text1"/>
              </w:rPr>
              <w:t>6</w:t>
            </w:r>
            <w:r w:rsidR="0036026B" w:rsidRPr="00632374">
              <w:rPr>
                <w:rFonts w:ascii="Arial" w:hAnsi="Arial" w:cs="Arial"/>
                <w:color w:val="000000" w:themeColor="text1"/>
              </w:rPr>
              <w:t xml:space="preserve"> </w:t>
            </w:r>
            <w:r w:rsidR="00E84E49" w:rsidRPr="00632374">
              <w:rPr>
                <w:rFonts w:ascii="Arial" w:hAnsi="Arial" w:cs="Arial"/>
                <w:color w:val="000000" w:themeColor="text1"/>
              </w:rPr>
              <w:t>a)</w:t>
            </w:r>
            <w:r w:rsidR="009A4C5F" w:rsidRPr="00632374">
              <w:rPr>
                <w:rFonts w:ascii="Arial" w:hAnsi="Arial" w:cs="Arial"/>
                <w:color w:val="000000" w:themeColor="text1"/>
              </w:rPr>
              <w:t>-f)</w:t>
            </w:r>
            <w:r w:rsidRPr="00632374">
              <w:rPr>
                <w:rFonts w:ascii="Arial" w:hAnsi="Arial" w:cs="Arial"/>
                <w:color w:val="000000" w:themeColor="text1"/>
              </w:rPr>
              <w:t xml:space="preserve"> can be applied to any number of credits, as these mitigating actions do not directly affect academic standards and still allow students to sufficiently demonstrate their academic ability.</w:t>
            </w:r>
          </w:p>
          <w:p w14:paraId="0F1028D0" w14:textId="3F49183B" w:rsidR="004C731B" w:rsidRPr="00632374" w:rsidRDefault="004C731B" w:rsidP="002C4282">
            <w:pPr>
              <w:pStyle w:val="ListParagraph"/>
              <w:numPr>
                <w:ilvl w:val="0"/>
                <w:numId w:val="6"/>
              </w:numPr>
              <w:spacing w:after="0" w:line="276" w:lineRule="auto"/>
              <w:rPr>
                <w:rFonts w:ascii="Arial" w:hAnsi="Arial" w:cs="Arial"/>
                <w:color w:val="000000" w:themeColor="text1"/>
              </w:rPr>
            </w:pPr>
            <w:r w:rsidRPr="00632374">
              <w:rPr>
                <w:rFonts w:ascii="Arial" w:hAnsi="Arial" w:cs="Arial"/>
                <w:color w:val="000000" w:themeColor="text1"/>
              </w:rPr>
              <w:t xml:space="preserve">In exceptional circumstances where option </w:t>
            </w:r>
            <w:r w:rsidR="004B1AAA" w:rsidRPr="00632374">
              <w:rPr>
                <w:rFonts w:ascii="Arial" w:hAnsi="Arial" w:cs="Arial"/>
                <w:color w:val="000000" w:themeColor="text1"/>
              </w:rPr>
              <w:t>g</w:t>
            </w:r>
            <w:r w:rsidRPr="00632374">
              <w:rPr>
                <w:rFonts w:ascii="Arial" w:hAnsi="Arial" w:cs="Arial"/>
                <w:color w:val="000000" w:themeColor="text1"/>
              </w:rPr>
              <w:t>) is required</w:t>
            </w:r>
            <w:r w:rsidR="002C4282" w:rsidRPr="00632374">
              <w:rPr>
                <w:rFonts w:ascii="Arial" w:hAnsi="Arial" w:cs="Arial"/>
                <w:color w:val="000000" w:themeColor="text1"/>
              </w:rPr>
              <w:t xml:space="preserve"> (Exclusion of the affected component/module from completion, progression, award or classification decisions)</w:t>
            </w:r>
            <w:r w:rsidRPr="00632374">
              <w:rPr>
                <w:rFonts w:ascii="Arial" w:hAnsi="Arial" w:cs="Arial"/>
                <w:color w:val="000000" w:themeColor="text1"/>
              </w:rPr>
              <w:t>, the following approach</w:t>
            </w:r>
            <w:r w:rsidR="00373BEA" w:rsidRPr="00632374">
              <w:rPr>
                <w:rFonts w:ascii="Arial" w:hAnsi="Arial" w:cs="Arial"/>
                <w:color w:val="000000" w:themeColor="text1"/>
              </w:rPr>
              <w:t xml:space="preserve"> should be followed</w:t>
            </w:r>
            <w:r w:rsidRPr="00632374">
              <w:rPr>
                <w:rFonts w:ascii="Arial" w:hAnsi="Arial" w:cs="Arial"/>
                <w:color w:val="000000" w:themeColor="text1"/>
              </w:rPr>
              <w:t xml:space="preserve">: </w:t>
            </w:r>
          </w:p>
          <w:p w14:paraId="00A92496" w14:textId="6C76C617" w:rsidR="004C731B" w:rsidRPr="00632374" w:rsidRDefault="004C731B" w:rsidP="00FF689E">
            <w:pPr>
              <w:pStyle w:val="ListParagraph"/>
              <w:numPr>
                <w:ilvl w:val="0"/>
                <w:numId w:val="7"/>
              </w:numPr>
              <w:spacing w:after="0" w:line="276" w:lineRule="auto"/>
              <w:ind w:left="2594"/>
              <w:rPr>
                <w:rFonts w:ascii="Arial" w:hAnsi="Arial" w:cs="Arial"/>
                <w:color w:val="000000" w:themeColor="text1"/>
              </w:rPr>
            </w:pPr>
            <w:r w:rsidRPr="00632374">
              <w:rPr>
                <w:rFonts w:ascii="Arial" w:hAnsi="Arial" w:cs="Arial"/>
                <w:color w:val="000000" w:themeColor="text1"/>
              </w:rPr>
              <w:t xml:space="preserve">a component(s) exclusion of up to and including 50% of the module mark can be applied to any number of credits and still provide an Exam Board with sufficient evidence to make </w:t>
            </w:r>
            <w:r w:rsidR="00C31D05" w:rsidRPr="00632374">
              <w:rPr>
                <w:rFonts w:ascii="Arial" w:hAnsi="Arial" w:cs="Arial"/>
                <w:color w:val="000000" w:themeColor="text1"/>
              </w:rPr>
              <w:t xml:space="preserve">a </w:t>
            </w:r>
            <w:r w:rsidRPr="00632374">
              <w:rPr>
                <w:rFonts w:ascii="Arial" w:hAnsi="Arial" w:cs="Arial"/>
                <w:color w:val="000000" w:themeColor="text1"/>
              </w:rPr>
              <w:t>decision about progression</w:t>
            </w:r>
            <w:r w:rsidR="00CE57D8" w:rsidRPr="00632374">
              <w:rPr>
                <w:rFonts w:ascii="Arial" w:hAnsi="Arial" w:cs="Arial"/>
                <w:color w:val="000000" w:themeColor="text1"/>
              </w:rPr>
              <w:t xml:space="preserve">, </w:t>
            </w:r>
            <w:r w:rsidRPr="00632374">
              <w:rPr>
                <w:rFonts w:ascii="Arial" w:hAnsi="Arial" w:cs="Arial"/>
                <w:color w:val="000000" w:themeColor="text1"/>
              </w:rPr>
              <w:t>awarding and classification;</w:t>
            </w:r>
          </w:p>
          <w:p w14:paraId="73ED4F27" w14:textId="22BD9FBF" w:rsidR="004C731B" w:rsidRPr="00632374" w:rsidRDefault="004C731B" w:rsidP="00FF689E">
            <w:pPr>
              <w:pStyle w:val="ListParagraph"/>
              <w:numPr>
                <w:ilvl w:val="0"/>
                <w:numId w:val="7"/>
              </w:numPr>
              <w:spacing w:after="0" w:line="276" w:lineRule="auto"/>
              <w:ind w:left="2594"/>
              <w:rPr>
                <w:rFonts w:ascii="Arial" w:hAnsi="Arial" w:cs="Arial"/>
                <w:color w:val="000000" w:themeColor="text1"/>
              </w:rPr>
            </w:pPr>
            <w:r w:rsidRPr="00632374">
              <w:rPr>
                <w:rFonts w:ascii="Arial" w:hAnsi="Arial" w:cs="Arial"/>
                <w:color w:val="000000" w:themeColor="text1"/>
              </w:rPr>
              <w:t>where a component(s) exclusion amounts to more than 50% of the module mark, this is allowable in up to and including 30 credits and can be approved by the Faculty Board of Examiners;</w:t>
            </w:r>
          </w:p>
          <w:p w14:paraId="66AEBE2F" w14:textId="7CE64A39" w:rsidR="004C731B" w:rsidRPr="00632374" w:rsidRDefault="004C731B" w:rsidP="00FF689E">
            <w:pPr>
              <w:pStyle w:val="ListParagraph"/>
              <w:numPr>
                <w:ilvl w:val="0"/>
                <w:numId w:val="7"/>
              </w:numPr>
              <w:spacing w:after="0" w:line="276" w:lineRule="auto"/>
              <w:ind w:left="2594"/>
              <w:rPr>
                <w:rFonts w:ascii="Arial" w:hAnsi="Arial" w:cs="Arial"/>
                <w:color w:val="000000" w:themeColor="text1"/>
              </w:rPr>
            </w:pPr>
            <w:r w:rsidRPr="00632374">
              <w:rPr>
                <w:rFonts w:ascii="Arial" w:hAnsi="Arial" w:cs="Arial"/>
                <w:color w:val="000000" w:themeColor="text1"/>
              </w:rPr>
              <w:t xml:space="preserve">where a component exclusion amounts to more than 50% of the module marks in more than 30 credits </w:t>
            </w:r>
            <w:r w:rsidR="00C31D05" w:rsidRPr="00632374">
              <w:rPr>
                <w:rFonts w:ascii="Arial" w:hAnsi="Arial" w:cs="Arial"/>
                <w:color w:val="000000" w:themeColor="text1"/>
              </w:rPr>
              <w:t>up to</w:t>
            </w:r>
            <w:r w:rsidRPr="00632374">
              <w:rPr>
                <w:rFonts w:ascii="Arial" w:hAnsi="Arial" w:cs="Arial"/>
                <w:color w:val="000000" w:themeColor="text1"/>
              </w:rPr>
              <w:t xml:space="preserve"> and including 60 credits, this will need to be considered by the Programme Board of Examiners and approved by the Faculty Board of Examiners</w:t>
            </w:r>
            <w:r w:rsidR="00C31D05" w:rsidRPr="00632374">
              <w:rPr>
                <w:rFonts w:ascii="Arial" w:hAnsi="Arial" w:cs="Arial"/>
                <w:color w:val="000000" w:themeColor="text1"/>
              </w:rPr>
              <w:t xml:space="preserve"> -</w:t>
            </w:r>
            <w:r w:rsidRPr="00632374">
              <w:rPr>
                <w:rFonts w:ascii="Arial" w:hAnsi="Arial" w:cs="Arial"/>
                <w:color w:val="000000" w:themeColor="text1"/>
              </w:rPr>
              <w:t xml:space="preserve"> this decision cannot be delegated;</w:t>
            </w:r>
          </w:p>
          <w:p w14:paraId="58C30B0E" w14:textId="66DDDC3C" w:rsidR="004C731B" w:rsidRPr="00632374" w:rsidRDefault="004C731B" w:rsidP="00FF689E">
            <w:pPr>
              <w:pStyle w:val="ListParagraph"/>
              <w:numPr>
                <w:ilvl w:val="0"/>
                <w:numId w:val="7"/>
              </w:numPr>
              <w:spacing w:after="0" w:line="276" w:lineRule="auto"/>
              <w:ind w:left="2594"/>
              <w:rPr>
                <w:rFonts w:ascii="Arial" w:hAnsi="Arial" w:cs="Arial"/>
                <w:color w:val="000000" w:themeColor="text1"/>
              </w:rPr>
            </w:pPr>
            <w:r w:rsidRPr="00632374">
              <w:rPr>
                <w:rFonts w:ascii="Arial" w:hAnsi="Arial" w:cs="Arial"/>
                <w:color w:val="000000" w:themeColor="text1"/>
              </w:rPr>
              <w:t>where a module exclusion is applied, this is allowable in up to 30 credits and can be approved by the Faculty Board of Examiners;</w:t>
            </w:r>
          </w:p>
          <w:p w14:paraId="00B0709E" w14:textId="5E4721AD" w:rsidR="004C731B" w:rsidRPr="00632374" w:rsidRDefault="004C731B" w:rsidP="00FF689E">
            <w:pPr>
              <w:pStyle w:val="ListParagraph"/>
              <w:numPr>
                <w:ilvl w:val="0"/>
                <w:numId w:val="7"/>
              </w:numPr>
              <w:spacing w:after="0" w:line="276" w:lineRule="auto"/>
              <w:ind w:left="2594"/>
              <w:rPr>
                <w:rFonts w:ascii="Arial" w:hAnsi="Arial" w:cs="Arial"/>
                <w:color w:val="000000" w:themeColor="text1"/>
              </w:rPr>
            </w:pPr>
            <w:r w:rsidRPr="00632374">
              <w:rPr>
                <w:rFonts w:ascii="Arial" w:hAnsi="Arial" w:cs="Arial"/>
                <w:color w:val="000000" w:themeColor="text1"/>
              </w:rPr>
              <w:t>where a module exclusion is applied in more than 30 credits, up to and including 60 credits, this will need to be considered by the Programme Board of Examiners and approved by the Faculty Board of Examiners, this decision cannot be delegated;</w:t>
            </w:r>
          </w:p>
          <w:p w14:paraId="2D5130B0" w14:textId="3315C0AF" w:rsidR="00F73CAD" w:rsidRPr="00632374" w:rsidRDefault="00C31D05" w:rsidP="008C3913">
            <w:pPr>
              <w:pStyle w:val="ListParagraph"/>
              <w:numPr>
                <w:ilvl w:val="0"/>
                <w:numId w:val="7"/>
              </w:numPr>
              <w:spacing w:after="0" w:line="276" w:lineRule="auto"/>
              <w:ind w:left="2594"/>
              <w:rPr>
                <w:rFonts w:ascii="Arial" w:hAnsi="Arial" w:cs="Arial"/>
                <w:color w:val="000000" w:themeColor="text1"/>
              </w:rPr>
            </w:pPr>
            <w:r w:rsidRPr="00632374">
              <w:rPr>
                <w:rFonts w:ascii="Arial" w:hAnsi="Arial" w:cs="Arial"/>
                <w:color w:val="000000" w:themeColor="text1"/>
              </w:rPr>
              <w:t>i</w:t>
            </w:r>
            <w:r w:rsidR="004C731B" w:rsidRPr="00632374">
              <w:rPr>
                <w:rFonts w:ascii="Arial" w:hAnsi="Arial" w:cs="Arial"/>
                <w:color w:val="000000" w:themeColor="text1"/>
              </w:rPr>
              <w:t xml:space="preserve">f component exclusions amounting to more than 50% of module marks or module exclusions of more than 60 credits have been applied, then a decision about progression, awarding and classification cannot be made; the Faculty Board of Examiners must consult with the </w:t>
            </w:r>
            <w:r w:rsidR="00A063E3" w:rsidRPr="00632374">
              <w:rPr>
                <w:rFonts w:ascii="Arial" w:hAnsi="Arial" w:cs="Arial"/>
                <w:color w:val="000000" w:themeColor="text1"/>
              </w:rPr>
              <w:t>Education Committee Task Group</w:t>
            </w:r>
            <w:r w:rsidR="004C731B" w:rsidRPr="00632374">
              <w:rPr>
                <w:rFonts w:ascii="Arial" w:hAnsi="Arial" w:cs="Arial"/>
                <w:color w:val="000000" w:themeColor="text1"/>
              </w:rPr>
              <w:t xml:space="preserve"> to identify suitable options to support students to complete their programme.</w:t>
            </w:r>
          </w:p>
          <w:p w14:paraId="5D4056F1" w14:textId="77777777" w:rsidR="008D4A3C" w:rsidRPr="00632374" w:rsidRDefault="008D4A3C" w:rsidP="008D4A3C">
            <w:pPr>
              <w:spacing w:after="0" w:line="276" w:lineRule="auto"/>
              <w:rPr>
                <w:rFonts w:ascii="Arial" w:hAnsi="Arial" w:cs="Arial"/>
                <w:color w:val="000000" w:themeColor="text1"/>
              </w:rPr>
            </w:pPr>
          </w:p>
          <w:p w14:paraId="130B04C5" w14:textId="66347562" w:rsidR="00F62742" w:rsidRPr="00632374" w:rsidRDefault="00566DE7" w:rsidP="008C3913">
            <w:pPr>
              <w:pStyle w:val="Heading2"/>
              <w:rPr>
                <w:color w:val="000000" w:themeColor="text1"/>
              </w:rPr>
            </w:pPr>
            <w:r w:rsidRPr="00632374">
              <w:rPr>
                <w:noProof/>
                <w:color w:val="000000" w:themeColor="text1"/>
                <w:lang w:eastAsia="zh-CN"/>
              </w:rPr>
              <w:lastRenderedPageBreak/>
              <w:drawing>
                <wp:anchor distT="0" distB="0" distL="114300" distR="114300" simplePos="0" relativeHeight="251661312" behindDoc="0" locked="0" layoutInCell="1" allowOverlap="1" wp14:anchorId="3D36FE49" wp14:editId="1D583663">
                  <wp:simplePos x="0" y="0"/>
                  <wp:positionH relativeFrom="column">
                    <wp:posOffset>468630</wp:posOffset>
                  </wp:positionH>
                  <wp:positionV relativeFrom="paragraph">
                    <wp:posOffset>354330</wp:posOffset>
                  </wp:positionV>
                  <wp:extent cx="5759450" cy="76028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9450" cy="7602855"/>
                          </a:xfrm>
                          <a:prstGeom prst="rect">
                            <a:avLst/>
                          </a:prstGeom>
                        </pic:spPr>
                      </pic:pic>
                    </a:graphicData>
                  </a:graphic>
                  <wp14:sizeRelH relativeFrom="page">
                    <wp14:pctWidth>0</wp14:pctWidth>
                  </wp14:sizeRelH>
                  <wp14:sizeRelV relativeFrom="page">
                    <wp14:pctHeight>0</wp14:pctHeight>
                  </wp14:sizeRelV>
                </wp:anchor>
              </w:drawing>
            </w:r>
            <w:r w:rsidRPr="00632374">
              <w:rPr>
                <w:color w:val="000000" w:themeColor="text1"/>
              </w:rPr>
              <w:t xml:space="preserve">Industrial Action </w:t>
            </w:r>
            <w:r w:rsidR="00F62742" w:rsidRPr="00632374">
              <w:rPr>
                <w:color w:val="000000" w:themeColor="text1"/>
              </w:rPr>
              <w:t xml:space="preserve">Mitigation </w:t>
            </w:r>
            <w:r w:rsidR="00DF7ADD" w:rsidRPr="00632374">
              <w:rPr>
                <w:color w:val="000000" w:themeColor="text1"/>
              </w:rPr>
              <w:t>f</w:t>
            </w:r>
            <w:r w:rsidR="00F62742" w:rsidRPr="00632374">
              <w:rPr>
                <w:color w:val="000000" w:themeColor="text1"/>
              </w:rPr>
              <w:t>low</w:t>
            </w:r>
            <w:r w:rsidR="00DF7ADD" w:rsidRPr="00632374">
              <w:rPr>
                <w:color w:val="000000" w:themeColor="text1"/>
              </w:rPr>
              <w:t>c</w:t>
            </w:r>
            <w:r w:rsidR="00F62742" w:rsidRPr="00632374">
              <w:rPr>
                <w:color w:val="000000" w:themeColor="text1"/>
              </w:rPr>
              <w:t>hart</w:t>
            </w:r>
          </w:p>
          <w:p w14:paraId="28C2BBBB" w14:textId="592ED1AD" w:rsidR="00F62742" w:rsidRPr="00632374" w:rsidRDefault="00F62742" w:rsidP="008C3913">
            <w:pPr>
              <w:spacing w:after="0" w:line="276" w:lineRule="auto"/>
              <w:rPr>
                <w:rFonts w:ascii="Arial" w:hAnsi="Arial" w:cs="Arial"/>
                <w:b/>
                <w:color w:val="000000" w:themeColor="text1"/>
              </w:rPr>
            </w:pPr>
          </w:p>
          <w:p w14:paraId="0C81A720" w14:textId="13BA724F" w:rsidR="00F73CAD" w:rsidRPr="00632374" w:rsidRDefault="00F73CAD" w:rsidP="00F73CAD">
            <w:pPr>
              <w:spacing w:after="0" w:line="276" w:lineRule="auto"/>
              <w:rPr>
                <w:rFonts w:ascii="Arial" w:hAnsi="Arial" w:cs="Arial"/>
                <w:color w:val="000000" w:themeColor="text1"/>
              </w:rPr>
            </w:pPr>
          </w:p>
          <w:p w14:paraId="2DEB75AB" w14:textId="77777777" w:rsidR="00F838DB" w:rsidRPr="00632374" w:rsidRDefault="00F838DB" w:rsidP="00F73CAD">
            <w:pPr>
              <w:spacing w:after="0" w:line="276" w:lineRule="auto"/>
              <w:rPr>
                <w:rFonts w:ascii="Arial" w:hAnsi="Arial" w:cs="Arial"/>
                <w:color w:val="000000" w:themeColor="text1"/>
              </w:rPr>
            </w:pPr>
          </w:p>
          <w:p w14:paraId="3D0DE30F" w14:textId="60849E12" w:rsidR="00F838DB" w:rsidRPr="00632374" w:rsidRDefault="00265AC6" w:rsidP="00566DE7">
            <w:pPr>
              <w:pStyle w:val="ListParagraph"/>
              <w:spacing w:after="0" w:line="276" w:lineRule="auto"/>
              <w:rPr>
                <w:rFonts w:ascii="Arial" w:hAnsi="Arial" w:cs="Arial"/>
                <w:color w:val="000000" w:themeColor="text1"/>
              </w:rPr>
            </w:pPr>
            <w:r w:rsidRPr="00632374">
              <w:rPr>
                <w:rFonts w:ascii="Arial" w:hAnsi="Arial" w:cs="Arial"/>
                <w:color w:val="000000" w:themeColor="text1"/>
              </w:rPr>
              <w:t>* A Faculty Board of Examiners may delegate decisions. Decisions to exclude components of more than 50% of the entire module mark or module exclusions cannot be delegated.</w:t>
            </w:r>
          </w:p>
          <w:p w14:paraId="58CC8A4B" w14:textId="77777777" w:rsidR="00F838DB" w:rsidRPr="00632374" w:rsidRDefault="00F838DB" w:rsidP="00F73CAD">
            <w:pPr>
              <w:spacing w:after="0" w:line="276" w:lineRule="auto"/>
              <w:rPr>
                <w:rFonts w:ascii="Arial" w:hAnsi="Arial" w:cs="Arial"/>
                <w:color w:val="000000" w:themeColor="text1"/>
              </w:rPr>
            </w:pPr>
          </w:p>
          <w:p w14:paraId="39E242E7" w14:textId="77777777" w:rsidR="00F838DB" w:rsidRPr="00632374" w:rsidRDefault="00F838DB" w:rsidP="00F73CAD">
            <w:pPr>
              <w:spacing w:after="0" w:line="276" w:lineRule="auto"/>
              <w:rPr>
                <w:rFonts w:ascii="Arial" w:hAnsi="Arial" w:cs="Arial"/>
                <w:color w:val="000000" w:themeColor="text1"/>
              </w:rPr>
            </w:pPr>
          </w:p>
          <w:p w14:paraId="382D61B9" w14:textId="77777777" w:rsidR="00F838DB" w:rsidRPr="00632374" w:rsidRDefault="00F838DB" w:rsidP="00F73CAD">
            <w:pPr>
              <w:spacing w:after="0" w:line="276" w:lineRule="auto"/>
              <w:rPr>
                <w:rFonts w:ascii="Arial" w:hAnsi="Arial" w:cs="Arial"/>
                <w:color w:val="000000" w:themeColor="text1"/>
              </w:rPr>
            </w:pPr>
          </w:p>
          <w:p w14:paraId="3572BFD7" w14:textId="77777777" w:rsidR="00F838DB" w:rsidRPr="00632374" w:rsidRDefault="00F838DB" w:rsidP="00F73CAD">
            <w:pPr>
              <w:spacing w:after="0" w:line="276" w:lineRule="auto"/>
              <w:rPr>
                <w:rFonts w:ascii="Arial" w:hAnsi="Arial" w:cs="Arial"/>
                <w:color w:val="000000" w:themeColor="text1"/>
              </w:rPr>
            </w:pPr>
          </w:p>
          <w:p w14:paraId="0E367240" w14:textId="77777777" w:rsidR="00F838DB" w:rsidRPr="00632374" w:rsidRDefault="00F838DB" w:rsidP="00F73CAD">
            <w:pPr>
              <w:spacing w:after="0" w:line="276" w:lineRule="auto"/>
              <w:rPr>
                <w:rFonts w:ascii="Arial" w:hAnsi="Arial" w:cs="Arial"/>
                <w:color w:val="000000" w:themeColor="text1"/>
              </w:rPr>
            </w:pPr>
          </w:p>
          <w:p w14:paraId="5687487E" w14:textId="77777777" w:rsidR="00566DE7" w:rsidRPr="00632374" w:rsidRDefault="00566DE7" w:rsidP="00F73CAD">
            <w:pPr>
              <w:spacing w:after="0" w:line="276" w:lineRule="auto"/>
              <w:rPr>
                <w:rFonts w:ascii="Arial" w:hAnsi="Arial" w:cs="Arial"/>
                <w:color w:val="000000" w:themeColor="text1"/>
              </w:rPr>
            </w:pPr>
          </w:p>
          <w:p w14:paraId="59C9BE3E" w14:textId="77777777" w:rsidR="00F838DB" w:rsidRPr="00632374" w:rsidRDefault="00F838DB" w:rsidP="00F73CAD">
            <w:pPr>
              <w:spacing w:after="0" w:line="276" w:lineRule="auto"/>
              <w:rPr>
                <w:rFonts w:ascii="Arial" w:hAnsi="Arial" w:cs="Arial"/>
                <w:color w:val="000000" w:themeColor="text1"/>
              </w:rPr>
            </w:pPr>
          </w:p>
          <w:p w14:paraId="34DCE562" w14:textId="54CDC01E" w:rsidR="00566DE7" w:rsidRPr="00632374" w:rsidRDefault="00566DE7" w:rsidP="00566DE7">
            <w:pPr>
              <w:pStyle w:val="Heading2"/>
              <w:rPr>
                <w:color w:val="000000" w:themeColor="text1"/>
              </w:rPr>
            </w:pPr>
            <w:r w:rsidRPr="00632374">
              <w:rPr>
                <w:color w:val="000000" w:themeColor="text1"/>
              </w:rPr>
              <w:lastRenderedPageBreak/>
              <w:t xml:space="preserve">Industrial Action Mitigation Cumulative Effect </w:t>
            </w:r>
            <w:r w:rsidR="00DF7ADD" w:rsidRPr="00632374">
              <w:rPr>
                <w:color w:val="000000" w:themeColor="text1"/>
              </w:rPr>
              <w:t>f</w:t>
            </w:r>
            <w:r w:rsidRPr="00632374">
              <w:rPr>
                <w:color w:val="000000" w:themeColor="text1"/>
              </w:rPr>
              <w:t>low</w:t>
            </w:r>
            <w:r w:rsidR="00DF7ADD" w:rsidRPr="00632374">
              <w:rPr>
                <w:color w:val="000000" w:themeColor="text1"/>
              </w:rPr>
              <w:t>c</w:t>
            </w:r>
            <w:r w:rsidRPr="00632374">
              <w:rPr>
                <w:color w:val="000000" w:themeColor="text1"/>
              </w:rPr>
              <w:t>hart</w:t>
            </w:r>
            <w:r w:rsidRPr="00632374">
              <w:rPr>
                <w:color w:val="000000" w:themeColor="text1"/>
              </w:rPr>
              <w:br/>
            </w:r>
          </w:p>
          <w:p w14:paraId="1958A204" w14:textId="703BA4B9" w:rsidR="00566DE7" w:rsidRPr="00632374" w:rsidRDefault="00566DE7" w:rsidP="00566DE7">
            <w:pPr>
              <w:pStyle w:val="ListParagraph"/>
              <w:rPr>
                <w:color w:val="000000" w:themeColor="text1"/>
              </w:rPr>
            </w:pPr>
            <w:r w:rsidRPr="00632374">
              <w:rPr>
                <w:noProof/>
                <w:color w:val="000000" w:themeColor="text1"/>
                <w:lang w:eastAsia="zh-CN"/>
              </w:rPr>
              <w:drawing>
                <wp:anchor distT="0" distB="0" distL="114300" distR="114300" simplePos="0" relativeHeight="251662336" behindDoc="0" locked="0" layoutInCell="1" allowOverlap="1" wp14:anchorId="732A42F7" wp14:editId="297C7CC0">
                  <wp:simplePos x="0" y="0"/>
                  <wp:positionH relativeFrom="column">
                    <wp:posOffset>418465</wp:posOffset>
                  </wp:positionH>
                  <wp:positionV relativeFrom="paragraph">
                    <wp:posOffset>960120</wp:posOffset>
                  </wp:positionV>
                  <wp:extent cx="5597525" cy="508317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97525" cy="5083175"/>
                          </a:xfrm>
                          <a:prstGeom prst="rect">
                            <a:avLst/>
                          </a:prstGeom>
                        </pic:spPr>
                      </pic:pic>
                    </a:graphicData>
                  </a:graphic>
                  <wp14:sizeRelH relativeFrom="page">
                    <wp14:pctWidth>0</wp14:pctWidth>
                  </wp14:sizeRelH>
                  <wp14:sizeRelV relativeFrom="page">
                    <wp14:pctHeight>0</wp14:pctHeight>
                  </wp14:sizeRelV>
                </wp:anchor>
              </w:drawing>
            </w:r>
            <w:r w:rsidRPr="00632374">
              <w:rPr>
                <w:color w:val="000000" w:themeColor="text1"/>
              </w:rPr>
              <w:t>In order to reassure students and manage the assessment process effectively, mitigation will need to be applied before a Board of Examiners meets to make decisions about progression, completion, awarding and classification. In order to safeguard academic standards, a Board of Examiners will need to assure itself that the cumulative impact of any mitigation does not undermine academic standards.</w:t>
            </w:r>
          </w:p>
          <w:p w14:paraId="43C2887D" w14:textId="09828BD8" w:rsidR="00F838DB" w:rsidRPr="00632374" w:rsidRDefault="00F838DB" w:rsidP="00F73CAD">
            <w:pPr>
              <w:spacing w:after="0" w:line="276" w:lineRule="auto"/>
              <w:rPr>
                <w:rFonts w:ascii="Arial" w:hAnsi="Arial" w:cs="Arial"/>
                <w:color w:val="000000" w:themeColor="text1"/>
              </w:rPr>
            </w:pPr>
          </w:p>
          <w:p w14:paraId="18FAEE44" w14:textId="50A308C1" w:rsidR="00F838DB" w:rsidRPr="00632374" w:rsidRDefault="00F838DB" w:rsidP="00F73CAD">
            <w:pPr>
              <w:spacing w:after="0" w:line="276" w:lineRule="auto"/>
              <w:rPr>
                <w:rFonts w:ascii="Arial" w:hAnsi="Arial" w:cs="Arial"/>
                <w:color w:val="000000" w:themeColor="text1"/>
              </w:rPr>
            </w:pPr>
          </w:p>
          <w:p w14:paraId="6D936BC9" w14:textId="2D1B7639" w:rsidR="00F838DB" w:rsidRPr="00632374" w:rsidRDefault="00F838DB" w:rsidP="00F73CAD">
            <w:pPr>
              <w:spacing w:after="0" w:line="276" w:lineRule="auto"/>
              <w:rPr>
                <w:rFonts w:ascii="Arial" w:hAnsi="Arial" w:cs="Arial"/>
                <w:color w:val="000000" w:themeColor="text1"/>
              </w:rPr>
            </w:pPr>
          </w:p>
          <w:p w14:paraId="4B9AE9FE" w14:textId="6BCF8528" w:rsidR="00F838DB" w:rsidRPr="00632374" w:rsidRDefault="00F838DB" w:rsidP="00F73CAD">
            <w:pPr>
              <w:spacing w:after="0" w:line="276" w:lineRule="auto"/>
              <w:rPr>
                <w:rFonts w:ascii="Arial" w:hAnsi="Arial" w:cs="Arial"/>
                <w:color w:val="000000" w:themeColor="text1"/>
              </w:rPr>
            </w:pPr>
          </w:p>
          <w:p w14:paraId="110F8560" w14:textId="77777777" w:rsidR="00F838DB" w:rsidRPr="00632374" w:rsidRDefault="00F838DB" w:rsidP="00F73CAD">
            <w:pPr>
              <w:spacing w:after="0" w:line="276" w:lineRule="auto"/>
              <w:rPr>
                <w:rFonts w:ascii="Arial" w:hAnsi="Arial" w:cs="Arial"/>
                <w:color w:val="000000" w:themeColor="text1"/>
              </w:rPr>
            </w:pPr>
          </w:p>
          <w:p w14:paraId="1B7C6E06" w14:textId="77777777" w:rsidR="00F838DB" w:rsidRPr="00632374" w:rsidRDefault="00F838DB" w:rsidP="00F73CAD">
            <w:pPr>
              <w:spacing w:after="0" w:line="276" w:lineRule="auto"/>
              <w:rPr>
                <w:rFonts w:ascii="Arial" w:hAnsi="Arial" w:cs="Arial"/>
                <w:color w:val="000000" w:themeColor="text1"/>
              </w:rPr>
            </w:pPr>
          </w:p>
          <w:p w14:paraId="1D0F7268" w14:textId="77777777" w:rsidR="00F838DB" w:rsidRPr="00632374" w:rsidRDefault="00F838DB" w:rsidP="00F73CAD">
            <w:pPr>
              <w:spacing w:after="0" w:line="276" w:lineRule="auto"/>
              <w:rPr>
                <w:rFonts w:ascii="Arial" w:hAnsi="Arial" w:cs="Arial"/>
                <w:color w:val="000000" w:themeColor="text1"/>
              </w:rPr>
            </w:pPr>
          </w:p>
          <w:p w14:paraId="74A4C516" w14:textId="77777777" w:rsidR="00F838DB" w:rsidRPr="00632374" w:rsidRDefault="00F838DB" w:rsidP="00F73CAD">
            <w:pPr>
              <w:spacing w:after="0" w:line="276" w:lineRule="auto"/>
              <w:rPr>
                <w:rFonts w:ascii="Arial" w:hAnsi="Arial" w:cs="Arial"/>
                <w:color w:val="000000" w:themeColor="text1"/>
              </w:rPr>
            </w:pPr>
          </w:p>
          <w:p w14:paraId="7029DDDE" w14:textId="77777777" w:rsidR="00F838DB" w:rsidRPr="00632374" w:rsidRDefault="00F838DB" w:rsidP="00F73CAD">
            <w:pPr>
              <w:spacing w:after="0" w:line="276" w:lineRule="auto"/>
              <w:rPr>
                <w:rFonts w:ascii="Arial" w:hAnsi="Arial" w:cs="Arial"/>
                <w:color w:val="000000" w:themeColor="text1"/>
              </w:rPr>
            </w:pPr>
          </w:p>
          <w:p w14:paraId="113177AD" w14:textId="77777777" w:rsidR="00F838DB" w:rsidRPr="00632374" w:rsidRDefault="00F838DB" w:rsidP="00F73CAD">
            <w:pPr>
              <w:spacing w:after="0" w:line="276" w:lineRule="auto"/>
              <w:rPr>
                <w:rFonts w:ascii="Arial" w:hAnsi="Arial" w:cs="Arial"/>
                <w:color w:val="000000" w:themeColor="text1"/>
              </w:rPr>
            </w:pPr>
          </w:p>
          <w:p w14:paraId="31C8DC39" w14:textId="77777777" w:rsidR="00F838DB" w:rsidRPr="00632374" w:rsidRDefault="00F838DB" w:rsidP="00F73CAD">
            <w:pPr>
              <w:spacing w:after="0" w:line="276" w:lineRule="auto"/>
              <w:rPr>
                <w:rFonts w:ascii="Arial" w:hAnsi="Arial" w:cs="Arial"/>
                <w:color w:val="000000" w:themeColor="text1"/>
              </w:rPr>
            </w:pPr>
          </w:p>
          <w:p w14:paraId="01B54F47" w14:textId="77777777" w:rsidR="00F838DB" w:rsidRPr="00632374" w:rsidRDefault="00F838DB" w:rsidP="00F73CAD">
            <w:pPr>
              <w:spacing w:after="0" w:line="276" w:lineRule="auto"/>
              <w:rPr>
                <w:rFonts w:ascii="Arial" w:hAnsi="Arial" w:cs="Arial"/>
                <w:color w:val="000000" w:themeColor="text1"/>
              </w:rPr>
            </w:pPr>
          </w:p>
          <w:p w14:paraId="23AEFEBB" w14:textId="77777777" w:rsidR="00F838DB" w:rsidRPr="00632374" w:rsidRDefault="00F838DB" w:rsidP="00F73CAD">
            <w:pPr>
              <w:spacing w:after="0" w:line="276" w:lineRule="auto"/>
              <w:rPr>
                <w:rFonts w:ascii="Arial" w:hAnsi="Arial" w:cs="Arial"/>
                <w:color w:val="000000" w:themeColor="text1"/>
              </w:rPr>
            </w:pPr>
          </w:p>
          <w:p w14:paraId="0B6F1EA9" w14:textId="77777777" w:rsidR="00F838DB" w:rsidRPr="00632374" w:rsidRDefault="00F838DB" w:rsidP="00F73CAD">
            <w:pPr>
              <w:spacing w:after="0" w:line="276" w:lineRule="auto"/>
              <w:rPr>
                <w:rFonts w:ascii="Arial" w:hAnsi="Arial" w:cs="Arial"/>
                <w:color w:val="000000" w:themeColor="text1"/>
              </w:rPr>
            </w:pPr>
          </w:p>
          <w:p w14:paraId="40F7F1E4" w14:textId="77777777" w:rsidR="00F838DB" w:rsidRPr="00632374" w:rsidRDefault="00F838DB" w:rsidP="00F73CAD">
            <w:pPr>
              <w:spacing w:after="0" w:line="276" w:lineRule="auto"/>
              <w:rPr>
                <w:rFonts w:ascii="Arial" w:hAnsi="Arial" w:cs="Arial"/>
                <w:color w:val="000000" w:themeColor="text1"/>
              </w:rPr>
            </w:pPr>
          </w:p>
          <w:p w14:paraId="4FF281AE" w14:textId="77777777" w:rsidR="004C731B" w:rsidRPr="00632374" w:rsidRDefault="004C731B" w:rsidP="00566DE7">
            <w:pPr>
              <w:spacing w:after="0" w:line="276" w:lineRule="auto"/>
              <w:rPr>
                <w:rFonts w:ascii="Arial" w:hAnsi="Arial" w:cs="Arial"/>
                <w:color w:val="000000" w:themeColor="text1"/>
              </w:rPr>
            </w:pPr>
          </w:p>
          <w:p w14:paraId="36526307" w14:textId="77777777" w:rsidR="00566DE7" w:rsidRPr="00632374" w:rsidRDefault="00566DE7" w:rsidP="00566DE7">
            <w:pPr>
              <w:spacing w:after="0" w:line="276" w:lineRule="auto"/>
              <w:rPr>
                <w:rFonts w:ascii="Arial" w:hAnsi="Arial" w:cs="Arial"/>
                <w:color w:val="000000" w:themeColor="text1"/>
              </w:rPr>
            </w:pPr>
          </w:p>
          <w:p w14:paraId="2C3E623F" w14:textId="77777777" w:rsidR="00566DE7" w:rsidRPr="00632374" w:rsidRDefault="00566DE7" w:rsidP="00566DE7">
            <w:pPr>
              <w:spacing w:after="0" w:line="276" w:lineRule="auto"/>
              <w:rPr>
                <w:rFonts w:ascii="Arial" w:hAnsi="Arial" w:cs="Arial"/>
                <w:color w:val="000000" w:themeColor="text1"/>
              </w:rPr>
            </w:pPr>
          </w:p>
          <w:p w14:paraId="704BC88D" w14:textId="77777777" w:rsidR="00566DE7" w:rsidRPr="00632374" w:rsidRDefault="00566DE7" w:rsidP="00566DE7">
            <w:pPr>
              <w:spacing w:after="0" w:line="276" w:lineRule="auto"/>
              <w:rPr>
                <w:rFonts w:ascii="Arial" w:hAnsi="Arial" w:cs="Arial"/>
                <w:color w:val="000000" w:themeColor="text1"/>
              </w:rPr>
            </w:pPr>
          </w:p>
          <w:p w14:paraId="2659B5DF" w14:textId="77777777" w:rsidR="00566DE7" w:rsidRPr="00632374" w:rsidRDefault="00566DE7" w:rsidP="00566DE7">
            <w:pPr>
              <w:spacing w:after="0" w:line="276" w:lineRule="auto"/>
              <w:rPr>
                <w:rFonts w:ascii="Arial" w:hAnsi="Arial" w:cs="Arial"/>
                <w:color w:val="000000" w:themeColor="text1"/>
              </w:rPr>
            </w:pPr>
          </w:p>
          <w:p w14:paraId="62CA04D3" w14:textId="5A7733C4" w:rsidR="00566DE7" w:rsidRPr="00632374" w:rsidRDefault="00566DE7" w:rsidP="00566DE7">
            <w:pPr>
              <w:spacing w:after="0" w:line="276" w:lineRule="auto"/>
              <w:rPr>
                <w:rFonts w:ascii="Arial" w:hAnsi="Arial" w:cs="Arial"/>
                <w:color w:val="000000" w:themeColor="text1"/>
              </w:rPr>
            </w:pPr>
          </w:p>
        </w:tc>
      </w:tr>
      <w:tr w:rsidR="00632374" w:rsidRPr="00632374" w14:paraId="06AF0A0E" w14:textId="77777777" w:rsidTr="00F41D0C">
        <w:tc>
          <w:tcPr>
            <w:tcW w:w="10495" w:type="dxa"/>
          </w:tcPr>
          <w:p w14:paraId="761DA3C4" w14:textId="77777777" w:rsidR="00F838DB" w:rsidRPr="00632374" w:rsidRDefault="00F838DB" w:rsidP="009E7D7C">
            <w:pPr>
              <w:spacing w:after="0" w:line="276" w:lineRule="auto"/>
              <w:rPr>
                <w:rFonts w:ascii="Arial" w:hAnsi="Arial" w:cs="Arial"/>
                <w:color w:val="000000" w:themeColor="text1"/>
              </w:rPr>
            </w:pPr>
          </w:p>
          <w:p w14:paraId="4EB55C71" w14:textId="5EF68329" w:rsidR="00BB3455" w:rsidRPr="00632374" w:rsidRDefault="00D7168A" w:rsidP="00CE57D8">
            <w:pPr>
              <w:pStyle w:val="Heading1"/>
              <w:rPr>
                <w:color w:val="000000" w:themeColor="text1"/>
              </w:rPr>
            </w:pPr>
            <w:r w:rsidRPr="00632374">
              <w:rPr>
                <w:color w:val="000000" w:themeColor="text1"/>
              </w:rPr>
              <w:t xml:space="preserve">External Examiner </w:t>
            </w:r>
            <w:r w:rsidR="00F62742" w:rsidRPr="00632374">
              <w:rPr>
                <w:color w:val="000000" w:themeColor="text1"/>
              </w:rPr>
              <w:t>R</w:t>
            </w:r>
            <w:r w:rsidRPr="00632374">
              <w:rPr>
                <w:color w:val="000000" w:themeColor="text1"/>
              </w:rPr>
              <w:t>esignations</w:t>
            </w:r>
          </w:p>
          <w:p w14:paraId="3D81E498" w14:textId="77777777" w:rsidR="00D7168A" w:rsidRPr="00632374" w:rsidRDefault="00D7168A" w:rsidP="00D7168A">
            <w:pPr>
              <w:spacing w:after="0" w:line="276" w:lineRule="auto"/>
              <w:rPr>
                <w:rFonts w:ascii="Arial" w:hAnsi="Arial" w:cs="Arial"/>
                <w:color w:val="000000" w:themeColor="text1"/>
              </w:rPr>
            </w:pPr>
          </w:p>
          <w:p w14:paraId="3B2B6480" w14:textId="77777777" w:rsidR="008C3913" w:rsidRPr="00632374" w:rsidRDefault="008C3913" w:rsidP="008C3913">
            <w:pPr>
              <w:pStyle w:val="Heading2"/>
              <w:rPr>
                <w:color w:val="000000" w:themeColor="text1"/>
              </w:rPr>
            </w:pPr>
            <w:r w:rsidRPr="00632374">
              <w:rPr>
                <w:color w:val="000000" w:themeColor="text1"/>
              </w:rPr>
              <w:t>Guidance</w:t>
            </w:r>
          </w:p>
          <w:p w14:paraId="01C892A9" w14:textId="205DEF63" w:rsidR="008C3913" w:rsidRPr="00632374" w:rsidRDefault="008C3913" w:rsidP="00D7168A">
            <w:pPr>
              <w:spacing w:after="0" w:line="276" w:lineRule="auto"/>
              <w:rPr>
                <w:rFonts w:ascii="Arial" w:hAnsi="Arial" w:cs="Arial"/>
                <w:color w:val="000000" w:themeColor="text1"/>
              </w:rPr>
            </w:pPr>
          </w:p>
        </w:tc>
      </w:tr>
      <w:tr w:rsidR="00632374" w:rsidRPr="00632374" w14:paraId="1316E1E9" w14:textId="77777777" w:rsidTr="00566DE7">
        <w:trPr>
          <w:trHeight w:val="14390"/>
        </w:trPr>
        <w:tc>
          <w:tcPr>
            <w:tcW w:w="10495" w:type="dxa"/>
          </w:tcPr>
          <w:p w14:paraId="39783971" w14:textId="30D839F5" w:rsidR="00BB3455" w:rsidRPr="00632374" w:rsidRDefault="00805375" w:rsidP="00805375">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 xml:space="preserve">The University and College Union (UCU) </w:t>
            </w:r>
            <w:r w:rsidR="00D7168A" w:rsidRPr="00632374">
              <w:rPr>
                <w:rFonts w:ascii="Arial" w:hAnsi="Arial" w:cs="Arial"/>
                <w:color w:val="000000" w:themeColor="text1"/>
              </w:rPr>
              <w:t>ha</w:t>
            </w:r>
            <w:r w:rsidR="00F76B4E" w:rsidRPr="00632374">
              <w:rPr>
                <w:rFonts w:ascii="Arial" w:hAnsi="Arial" w:cs="Arial"/>
                <w:color w:val="000000" w:themeColor="text1"/>
              </w:rPr>
              <w:t>s</w:t>
            </w:r>
            <w:r w:rsidR="00D7168A" w:rsidRPr="00632374">
              <w:rPr>
                <w:rFonts w:ascii="Arial" w:hAnsi="Arial" w:cs="Arial"/>
                <w:color w:val="000000" w:themeColor="text1"/>
              </w:rPr>
              <w:t xml:space="preserve"> previously called on External Examiners to resign their duties as part of </w:t>
            </w:r>
            <w:r w:rsidR="00842752" w:rsidRPr="00632374">
              <w:rPr>
                <w:rFonts w:ascii="Arial" w:hAnsi="Arial" w:cs="Arial"/>
                <w:color w:val="000000" w:themeColor="text1"/>
              </w:rPr>
              <w:t xml:space="preserve">industrial </w:t>
            </w:r>
            <w:r w:rsidR="00D7168A" w:rsidRPr="00632374">
              <w:rPr>
                <w:rFonts w:ascii="Arial" w:hAnsi="Arial" w:cs="Arial"/>
                <w:color w:val="000000" w:themeColor="text1"/>
              </w:rPr>
              <w:t>action. UCU ha</w:t>
            </w:r>
            <w:r w:rsidR="00F76B4E" w:rsidRPr="00632374">
              <w:rPr>
                <w:rFonts w:ascii="Arial" w:hAnsi="Arial" w:cs="Arial"/>
                <w:color w:val="000000" w:themeColor="text1"/>
              </w:rPr>
              <w:t>s</w:t>
            </w:r>
            <w:r w:rsidR="00D7168A" w:rsidRPr="00632374">
              <w:rPr>
                <w:rFonts w:ascii="Arial" w:hAnsi="Arial" w:cs="Arial"/>
                <w:color w:val="000000" w:themeColor="text1"/>
              </w:rPr>
              <w:t xml:space="preserve"> previously advised them to fulfil all contractual obligations, including notice period and this is UCL’s expectation too. </w:t>
            </w:r>
            <w:r w:rsidR="00373BEA" w:rsidRPr="00632374">
              <w:rPr>
                <w:rFonts w:ascii="Arial" w:hAnsi="Arial" w:cs="Arial"/>
                <w:color w:val="000000" w:themeColor="text1"/>
              </w:rPr>
              <w:t>In the event of External Examiner resignations, the following approach should be followed:</w:t>
            </w:r>
          </w:p>
          <w:p w14:paraId="74DDC104" w14:textId="02A31488" w:rsidR="00373BEA" w:rsidRPr="00632374" w:rsidRDefault="00373BEA" w:rsidP="00FF689E">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All EEs appointed from Autumn 2017 will have received an appointment letter specifying a notice period of 3 months</w:t>
            </w:r>
            <w:r w:rsidR="00602C11" w:rsidRPr="00632374">
              <w:rPr>
                <w:rFonts w:ascii="Arial" w:hAnsi="Arial" w:cs="Arial"/>
                <w:color w:val="000000" w:themeColor="text1"/>
              </w:rPr>
              <w:t>. In addition,</w:t>
            </w:r>
            <w:r w:rsidRPr="00632374">
              <w:rPr>
                <w:rFonts w:ascii="Arial" w:hAnsi="Arial" w:cs="Arial"/>
                <w:color w:val="000000" w:themeColor="text1"/>
              </w:rPr>
              <w:t xml:space="preserve"> UCL’s regulations were updated in 2016 </w:t>
            </w:r>
            <w:r w:rsidR="00602C11" w:rsidRPr="00632374">
              <w:rPr>
                <w:rFonts w:ascii="Arial" w:hAnsi="Arial" w:cs="Arial"/>
                <w:color w:val="000000" w:themeColor="text1"/>
              </w:rPr>
              <w:t xml:space="preserve">to </w:t>
            </w:r>
            <w:r w:rsidRPr="00632374">
              <w:rPr>
                <w:rFonts w:ascii="Arial" w:hAnsi="Arial" w:cs="Arial"/>
                <w:color w:val="000000" w:themeColor="text1"/>
              </w:rPr>
              <w:t xml:space="preserve">specify a </w:t>
            </w:r>
            <w:r w:rsidR="00602C11" w:rsidRPr="00632374">
              <w:rPr>
                <w:rFonts w:ascii="Arial" w:hAnsi="Arial" w:cs="Arial"/>
                <w:color w:val="000000" w:themeColor="text1"/>
              </w:rPr>
              <w:t>3-month</w:t>
            </w:r>
            <w:r w:rsidRPr="00632374">
              <w:rPr>
                <w:rFonts w:ascii="Arial" w:hAnsi="Arial" w:cs="Arial"/>
                <w:color w:val="000000" w:themeColor="text1"/>
              </w:rPr>
              <w:t xml:space="preserve"> notice period. UCU </w:t>
            </w:r>
            <w:r w:rsidR="00602C11" w:rsidRPr="00632374">
              <w:rPr>
                <w:rFonts w:ascii="Arial" w:hAnsi="Arial" w:cs="Arial"/>
                <w:color w:val="000000" w:themeColor="text1"/>
              </w:rPr>
              <w:t>have previously</w:t>
            </w:r>
            <w:r w:rsidRPr="00632374">
              <w:rPr>
                <w:rFonts w:ascii="Arial" w:hAnsi="Arial" w:cs="Arial"/>
                <w:color w:val="000000" w:themeColor="text1"/>
              </w:rPr>
              <w:t xml:space="preserve"> advis</w:t>
            </w:r>
            <w:r w:rsidR="00602C11" w:rsidRPr="00632374">
              <w:rPr>
                <w:rFonts w:ascii="Arial" w:hAnsi="Arial" w:cs="Arial"/>
                <w:color w:val="000000" w:themeColor="text1"/>
              </w:rPr>
              <w:t>ed</w:t>
            </w:r>
            <w:r w:rsidRPr="00632374">
              <w:rPr>
                <w:rFonts w:ascii="Arial" w:hAnsi="Arial" w:cs="Arial"/>
                <w:color w:val="000000" w:themeColor="text1"/>
              </w:rPr>
              <w:t xml:space="preserve"> </w:t>
            </w:r>
            <w:r w:rsidR="00602C11" w:rsidRPr="00632374">
              <w:rPr>
                <w:rFonts w:ascii="Arial" w:hAnsi="Arial" w:cs="Arial"/>
                <w:color w:val="000000" w:themeColor="text1"/>
              </w:rPr>
              <w:t>External Examiners</w:t>
            </w:r>
            <w:r w:rsidRPr="00632374">
              <w:rPr>
                <w:rFonts w:ascii="Arial" w:hAnsi="Arial" w:cs="Arial"/>
                <w:color w:val="000000" w:themeColor="text1"/>
              </w:rPr>
              <w:t xml:space="preserve"> to complete their notice periods</w:t>
            </w:r>
            <w:r w:rsidR="00602C11" w:rsidRPr="00632374">
              <w:rPr>
                <w:rFonts w:ascii="Arial" w:hAnsi="Arial" w:cs="Arial"/>
                <w:color w:val="000000" w:themeColor="text1"/>
              </w:rPr>
              <w:t>,</w:t>
            </w:r>
            <w:r w:rsidRPr="00632374">
              <w:rPr>
                <w:rFonts w:ascii="Arial" w:hAnsi="Arial" w:cs="Arial"/>
                <w:color w:val="000000" w:themeColor="text1"/>
              </w:rPr>
              <w:t xml:space="preserve"> and UCL would expect them to do so.</w:t>
            </w:r>
          </w:p>
          <w:p w14:paraId="7A42BAEC" w14:textId="72343F2C" w:rsidR="00373BEA" w:rsidRPr="00632374" w:rsidRDefault="00373BEA" w:rsidP="00FF689E">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 xml:space="preserve">If the </w:t>
            </w:r>
            <w:r w:rsidR="00F76B4E" w:rsidRPr="00632374">
              <w:rPr>
                <w:rFonts w:ascii="Arial" w:hAnsi="Arial" w:cs="Arial"/>
                <w:color w:val="000000" w:themeColor="text1"/>
              </w:rPr>
              <w:t xml:space="preserve">Programme </w:t>
            </w:r>
            <w:r w:rsidRPr="00632374">
              <w:rPr>
                <w:rFonts w:ascii="Arial" w:hAnsi="Arial" w:cs="Arial"/>
                <w:color w:val="000000" w:themeColor="text1"/>
              </w:rPr>
              <w:t xml:space="preserve">Board of Examiners falls outside the notice period, Departments are encouraged to seek and appoint a replacement to cover the Board meeting. It would be permissible to appoint a recently retired </w:t>
            </w:r>
            <w:r w:rsidR="00602C11" w:rsidRPr="00632374">
              <w:rPr>
                <w:rFonts w:ascii="Arial" w:hAnsi="Arial" w:cs="Arial"/>
                <w:color w:val="000000" w:themeColor="text1"/>
              </w:rPr>
              <w:t>External Examiner</w:t>
            </w:r>
            <w:r w:rsidRPr="00632374">
              <w:rPr>
                <w:rFonts w:ascii="Arial" w:hAnsi="Arial" w:cs="Arial"/>
                <w:color w:val="000000" w:themeColor="text1"/>
              </w:rPr>
              <w:t xml:space="preserve"> to cover one meeting.</w:t>
            </w:r>
          </w:p>
          <w:p w14:paraId="6D09F554" w14:textId="54B23D73" w:rsidR="00373BEA" w:rsidRPr="00632374" w:rsidRDefault="00373BEA" w:rsidP="00FF689E">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 xml:space="preserve">Should </w:t>
            </w:r>
            <w:r w:rsidR="00B079C7" w:rsidRPr="00632374">
              <w:rPr>
                <w:rFonts w:ascii="Arial" w:hAnsi="Arial" w:cs="Arial"/>
                <w:color w:val="000000" w:themeColor="text1"/>
              </w:rPr>
              <w:t xml:space="preserve">a </w:t>
            </w:r>
            <w:r w:rsidRPr="00632374">
              <w:rPr>
                <w:rFonts w:ascii="Arial" w:hAnsi="Arial" w:cs="Arial"/>
                <w:color w:val="000000" w:themeColor="text1"/>
              </w:rPr>
              <w:t xml:space="preserve">strike be called off before the Board, the </w:t>
            </w:r>
            <w:r w:rsidR="00602C11" w:rsidRPr="00632374">
              <w:rPr>
                <w:rFonts w:ascii="Arial" w:hAnsi="Arial" w:cs="Arial"/>
                <w:color w:val="000000" w:themeColor="text1"/>
              </w:rPr>
              <w:t>Examiner Examiner’s</w:t>
            </w:r>
            <w:r w:rsidRPr="00632374">
              <w:rPr>
                <w:rFonts w:ascii="Arial" w:hAnsi="Arial" w:cs="Arial"/>
                <w:color w:val="000000" w:themeColor="text1"/>
              </w:rPr>
              <w:t xml:space="preserve"> resignation can be rescinded if no replacement has been found; Departments</w:t>
            </w:r>
            <w:r w:rsidR="00602C11" w:rsidRPr="00632374">
              <w:rPr>
                <w:rFonts w:ascii="Arial" w:hAnsi="Arial" w:cs="Arial"/>
                <w:color w:val="000000" w:themeColor="text1"/>
              </w:rPr>
              <w:t xml:space="preserve"> are encouraged</w:t>
            </w:r>
            <w:r w:rsidRPr="00632374">
              <w:rPr>
                <w:rFonts w:ascii="Arial" w:hAnsi="Arial" w:cs="Arial"/>
                <w:color w:val="000000" w:themeColor="text1"/>
              </w:rPr>
              <w:t xml:space="preserve"> to err on the side of caution, not to hope that </w:t>
            </w:r>
            <w:r w:rsidR="00602C11" w:rsidRPr="00632374">
              <w:rPr>
                <w:rFonts w:ascii="Arial" w:hAnsi="Arial" w:cs="Arial"/>
                <w:color w:val="000000" w:themeColor="text1"/>
              </w:rPr>
              <w:t>a</w:t>
            </w:r>
            <w:r w:rsidRPr="00632374">
              <w:rPr>
                <w:rFonts w:ascii="Arial" w:hAnsi="Arial" w:cs="Arial"/>
                <w:color w:val="000000" w:themeColor="text1"/>
              </w:rPr>
              <w:t xml:space="preserve"> strike will have been called off.</w:t>
            </w:r>
          </w:p>
          <w:p w14:paraId="321592A0" w14:textId="09ED5AD6" w:rsidR="00373BEA" w:rsidRPr="00632374" w:rsidRDefault="00373BEA" w:rsidP="00FF689E">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 xml:space="preserve">If, for whatever reason, the </w:t>
            </w:r>
            <w:r w:rsidR="00602C11" w:rsidRPr="00632374">
              <w:rPr>
                <w:rFonts w:ascii="Arial" w:hAnsi="Arial" w:cs="Arial"/>
                <w:color w:val="000000" w:themeColor="text1"/>
              </w:rPr>
              <w:t>External Examiner</w:t>
            </w:r>
            <w:r w:rsidRPr="00632374">
              <w:rPr>
                <w:rFonts w:ascii="Arial" w:hAnsi="Arial" w:cs="Arial"/>
                <w:color w:val="000000" w:themeColor="text1"/>
              </w:rPr>
              <w:t xml:space="preserve"> is not going to participate in the </w:t>
            </w:r>
            <w:r w:rsidR="00F76B4E" w:rsidRPr="00632374">
              <w:rPr>
                <w:rFonts w:ascii="Arial" w:hAnsi="Arial" w:cs="Arial"/>
                <w:color w:val="000000" w:themeColor="text1"/>
              </w:rPr>
              <w:t xml:space="preserve">Programme </w:t>
            </w:r>
            <w:r w:rsidRPr="00632374">
              <w:rPr>
                <w:rFonts w:ascii="Arial" w:hAnsi="Arial" w:cs="Arial"/>
                <w:color w:val="000000" w:themeColor="text1"/>
              </w:rPr>
              <w:t>Board of Examiners</w:t>
            </w:r>
            <w:r w:rsidR="00D82C29" w:rsidRPr="00632374">
              <w:rPr>
                <w:rFonts w:ascii="Arial" w:hAnsi="Arial" w:cs="Arial"/>
                <w:color w:val="000000" w:themeColor="text1"/>
              </w:rPr>
              <w:t xml:space="preserve"> then</w:t>
            </w:r>
            <w:r w:rsidRPr="00632374">
              <w:rPr>
                <w:rFonts w:ascii="Arial" w:hAnsi="Arial" w:cs="Arial"/>
                <w:color w:val="000000" w:themeColor="text1"/>
              </w:rPr>
              <w:t xml:space="preserve"> Departments are advised to ask another </w:t>
            </w:r>
            <w:r w:rsidR="00602C11" w:rsidRPr="00632374">
              <w:rPr>
                <w:rFonts w:ascii="Arial" w:hAnsi="Arial" w:cs="Arial"/>
                <w:color w:val="000000" w:themeColor="text1"/>
              </w:rPr>
              <w:t xml:space="preserve">External Examiner </w:t>
            </w:r>
            <w:r w:rsidRPr="00632374">
              <w:rPr>
                <w:rFonts w:ascii="Arial" w:hAnsi="Arial" w:cs="Arial"/>
                <w:color w:val="000000" w:themeColor="text1"/>
              </w:rPr>
              <w:t>on the Board (or perhaps from another, closely related Board) to cover the module (adjust</w:t>
            </w:r>
            <w:r w:rsidR="00602C11" w:rsidRPr="00632374">
              <w:rPr>
                <w:rFonts w:ascii="Arial" w:hAnsi="Arial" w:cs="Arial"/>
                <w:color w:val="000000" w:themeColor="text1"/>
              </w:rPr>
              <w:t>ing</w:t>
            </w:r>
            <w:r w:rsidRPr="00632374">
              <w:rPr>
                <w:rFonts w:ascii="Arial" w:hAnsi="Arial" w:cs="Arial"/>
                <w:color w:val="000000" w:themeColor="text1"/>
              </w:rPr>
              <w:t xml:space="preserve"> their payment to take account of the additional credit and student numbers). To ensure that the workload is reasonable in the circumstances, the scrutiny of these extra modules can be limited to the following:</w:t>
            </w:r>
          </w:p>
          <w:p w14:paraId="00A6C864" w14:textId="71C28108" w:rsidR="00373BEA" w:rsidRPr="00632374" w:rsidRDefault="00373BEA" w:rsidP="00FF689E">
            <w:pPr>
              <w:pStyle w:val="ListParagraph"/>
              <w:numPr>
                <w:ilvl w:val="0"/>
                <w:numId w:val="17"/>
              </w:numPr>
              <w:spacing w:after="0" w:line="276" w:lineRule="auto"/>
              <w:ind w:left="2594"/>
              <w:rPr>
                <w:rFonts w:ascii="Arial" w:hAnsi="Arial" w:cs="Arial"/>
                <w:color w:val="000000" w:themeColor="text1"/>
              </w:rPr>
            </w:pPr>
            <w:r w:rsidRPr="00632374">
              <w:rPr>
                <w:rFonts w:ascii="Arial" w:hAnsi="Arial" w:cs="Arial"/>
                <w:color w:val="000000" w:themeColor="text1"/>
              </w:rPr>
              <w:t xml:space="preserve">Ensuring the Department has adhered to regulations in running the </w:t>
            </w:r>
            <w:r w:rsidR="00F76B4E" w:rsidRPr="00632374">
              <w:rPr>
                <w:rFonts w:ascii="Arial" w:hAnsi="Arial" w:cs="Arial"/>
                <w:color w:val="000000" w:themeColor="text1"/>
              </w:rPr>
              <w:t xml:space="preserve">Programme </w:t>
            </w:r>
            <w:r w:rsidR="00602C11" w:rsidRPr="00632374">
              <w:rPr>
                <w:rFonts w:ascii="Arial" w:hAnsi="Arial" w:cs="Arial"/>
                <w:color w:val="000000" w:themeColor="text1"/>
              </w:rPr>
              <w:t>Board of Examiners;</w:t>
            </w:r>
          </w:p>
          <w:p w14:paraId="1A9934E5" w14:textId="623CCB0F" w:rsidR="00602C11" w:rsidRPr="00632374" w:rsidRDefault="00373BEA" w:rsidP="00602C11">
            <w:pPr>
              <w:pStyle w:val="ListParagraph"/>
              <w:numPr>
                <w:ilvl w:val="0"/>
                <w:numId w:val="17"/>
              </w:numPr>
              <w:spacing w:after="0" w:line="276" w:lineRule="auto"/>
              <w:ind w:left="2594"/>
              <w:rPr>
                <w:rFonts w:ascii="Arial" w:hAnsi="Arial" w:cs="Arial"/>
                <w:color w:val="000000" w:themeColor="text1"/>
              </w:rPr>
            </w:pPr>
            <w:r w:rsidRPr="00632374">
              <w:rPr>
                <w:rFonts w:ascii="Arial" w:hAnsi="Arial" w:cs="Arial"/>
                <w:color w:val="000000" w:themeColor="text1"/>
              </w:rPr>
              <w:t>That Second Marking has been undertaken with sufficient rigou</w:t>
            </w:r>
            <w:r w:rsidR="00602C11" w:rsidRPr="00632374">
              <w:rPr>
                <w:rFonts w:ascii="Arial" w:hAnsi="Arial" w:cs="Arial"/>
                <w:color w:val="000000" w:themeColor="text1"/>
              </w:rPr>
              <w:t>r;</w:t>
            </w:r>
          </w:p>
          <w:p w14:paraId="69CA0E4C" w14:textId="5B0BBD63" w:rsidR="00373BEA" w:rsidRPr="00632374" w:rsidRDefault="00F76B4E" w:rsidP="00FF689E">
            <w:pPr>
              <w:pStyle w:val="ListParagraph"/>
              <w:numPr>
                <w:ilvl w:val="0"/>
                <w:numId w:val="17"/>
              </w:numPr>
              <w:spacing w:after="0" w:line="276" w:lineRule="auto"/>
              <w:ind w:left="2594"/>
              <w:rPr>
                <w:rFonts w:ascii="Arial" w:hAnsi="Arial" w:cs="Arial"/>
                <w:color w:val="000000" w:themeColor="text1"/>
              </w:rPr>
            </w:pPr>
            <w:r w:rsidRPr="00632374">
              <w:rPr>
                <w:rFonts w:ascii="Arial" w:hAnsi="Arial" w:cs="Arial"/>
                <w:color w:val="000000" w:themeColor="text1"/>
              </w:rPr>
              <w:t xml:space="preserve">Examiners </w:t>
            </w:r>
            <w:r w:rsidR="00373BEA" w:rsidRPr="00632374">
              <w:rPr>
                <w:rFonts w:ascii="Arial" w:hAnsi="Arial" w:cs="Arial"/>
                <w:color w:val="000000" w:themeColor="text1"/>
              </w:rPr>
              <w:t>do not need to produce a written report on the additional modules</w:t>
            </w:r>
            <w:r w:rsidR="00602C11" w:rsidRPr="00632374">
              <w:rPr>
                <w:rFonts w:ascii="Arial" w:hAnsi="Arial" w:cs="Arial"/>
                <w:color w:val="000000" w:themeColor="text1"/>
              </w:rPr>
              <w:t>.</w:t>
            </w:r>
          </w:p>
          <w:p w14:paraId="08E2A2DB" w14:textId="753F9577" w:rsidR="00FF689E" w:rsidRPr="00632374" w:rsidRDefault="00FF689E" w:rsidP="00FF689E">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 xml:space="preserve">If it is not possible for another </w:t>
            </w:r>
            <w:r w:rsidR="00602C11" w:rsidRPr="00632374">
              <w:rPr>
                <w:rFonts w:ascii="Arial" w:hAnsi="Arial" w:cs="Arial"/>
                <w:color w:val="000000" w:themeColor="text1"/>
              </w:rPr>
              <w:t>External Examiner</w:t>
            </w:r>
            <w:r w:rsidRPr="00632374">
              <w:rPr>
                <w:rFonts w:ascii="Arial" w:hAnsi="Arial" w:cs="Arial"/>
                <w:color w:val="000000" w:themeColor="text1"/>
              </w:rPr>
              <w:t xml:space="preserve"> to cover the duties on this occasion, Department</w:t>
            </w:r>
            <w:r w:rsidR="00F76B4E" w:rsidRPr="00632374">
              <w:rPr>
                <w:rFonts w:ascii="Arial" w:hAnsi="Arial" w:cs="Arial"/>
                <w:color w:val="000000" w:themeColor="text1"/>
              </w:rPr>
              <w:t>s</w:t>
            </w:r>
            <w:r w:rsidRPr="00632374">
              <w:rPr>
                <w:rFonts w:ascii="Arial" w:hAnsi="Arial" w:cs="Arial"/>
                <w:color w:val="000000" w:themeColor="text1"/>
              </w:rPr>
              <w:t xml:space="preserve"> are encouraged to make an interim single year appointment to cover the duties. To help facilitate this, the Task Group </w:t>
            </w:r>
            <w:r w:rsidR="00053E57" w:rsidRPr="00632374">
              <w:rPr>
                <w:rFonts w:ascii="Arial" w:hAnsi="Arial" w:cs="Arial"/>
                <w:color w:val="000000" w:themeColor="text1"/>
              </w:rPr>
              <w:t>may agree to</w:t>
            </w:r>
            <w:r w:rsidRPr="00632374">
              <w:rPr>
                <w:rFonts w:ascii="Arial" w:hAnsi="Arial" w:cs="Arial"/>
                <w:color w:val="000000" w:themeColor="text1"/>
              </w:rPr>
              <w:t xml:space="preserve"> </w:t>
            </w:r>
            <w:r w:rsidR="00F76B4E" w:rsidRPr="00632374">
              <w:rPr>
                <w:rFonts w:ascii="Arial" w:hAnsi="Arial" w:cs="Arial"/>
                <w:color w:val="000000" w:themeColor="text1"/>
              </w:rPr>
              <w:t xml:space="preserve">temporarily </w:t>
            </w:r>
            <w:r w:rsidRPr="00632374">
              <w:rPr>
                <w:rFonts w:ascii="Arial" w:hAnsi="Arial" w:cs="Arial"/>
                <w:color w:val="000000" w:themeColor="text1"/>
              </w:rPr>
              <w:t xml:space="preserve">suspend </w:t>
            </w:r>
            <w:r w:rsidR="00E84E49" w:rsidRPr="00632374">
              <w:rPr>
                <w:rFonts w:ascii="Arial" w:hAnsi="Arial" w:cs="Arial"/>
                <w:color w:val="000000" w:themeColor="text1"/>
              </w:rPr>
              <w:t>all of the</w:t>
            </w:r>
            <w:r w:rsidRPr="00632374">
              <w:rPr>
                <w:rFonts w:ascii="Arial" w:hAnsi="Arial" w:cs="Arial"/>
                <w:color w:val="000000" w:themeColor="text1"/>
              </w:rPr>
              <w:t xml:space="preserve"> following appointment criteria from Ch</w:t>
            </w:r>
            <w:r w:rsidR="00E84E49" w:rsidRPr="00632374">
              <w:rPr>
                <w:rFonts w:ascii="Arial" w:hAnsi="Arial" w:cs="Arial"/>
                <w:color w:val="000000" w:themeColor="text1"/>
              </w:rPr>
              <w:t>apter 9</w:t>
            </w:r>
            <w:r w:rsidRPr="00632374">
              <w:rPr>
                <w:rFonts w:ascii="Arial" w:hAnsi="Arial" w:cs="Arial"/>
                <w:color w:val="000000" w:themeColor="text1"/>
              </w:rPr>
              <w:t>, Section 4 of the Academic Manual for Board</w:t>
            </w:r>
            <w:r w:rsidR="00F76B4E" w:rsidRPr="00632374">
              <w:rPr>
                <w:rFonts w:ascii="Arial" w:hAnsi="Arial" w:cs="Arial"/>
                <w:color w:val="000000" w:themeColor="text1"/>
              </w:rPr>
              <w:t>s</w:t>
            </w:r>
            <w:r w:rsidRPr="00632374">
              <w:rPr>
                <w:rFonts w:ascii="Arial" w:hAnsi="Arial" w:cs="Arial"/>
                <w:color w:val="000000" w:themeColor="text1"/>
              </w:rPr>
              <w:t xml:space="preserve"> affected by </w:t>
            </w:r>
            <w:r w:rsidR="00842752" w:rsidRPr="00632374">
              <w:rPr>
                <w:rFonts w:ascii="Arial" w:hAnsi="Arial" w:cs="Arial"/>
                <w:color w:val="000000" w:themeColor="text1"/>
              </w:rPr>
              <w:t xml:space="preserve">industrial </w:t>
            </w:r>
            <w:r w:rsidRPr="00632374">
              <w:rPr>
                <w:rFonts w:ascii="Arial" w:hAnsi="Arial" w:cs="Arial"/>
                <w:color w:val="000000" w:themeColor="text1"/>
              </w:rPr>
              <w:t>action:</w:t>
            </w:r>
          </w:p>
          <w:p w14:paraId="07935A88" w14:textId="08BF5BAD" w:rsidR="00373BEA" w:rsidRPr="00632374" w:rsidRDefault="00373BEA" w:rsidP="00FF689E">
            <w:pPr>
              <w:spacing w:after="0" w:line="276" w:lineRule="auto"/>
              <w:rPr>
                <w:rFonts w:ascii="Arial" w:hAnsi="Arial" w:cs="Arial"/>
                <w:color w:val="000000" w:themeColor="text1"/>
              </w:rPr>
            </w:pPr>
          </w:p>
          <w:p w14:paraId="3B04D831" w14:textId="77777777" w:rsidR="00373BEA" w:rsidRPr="00632374" w:rsidRDefault="00373BEA" w:rsidP="00602C11">
            <w:pPr>
              <w:pStyle w:val="ListParagraph"/>
              <w:numPr>
                <w:ilvl w:val="0"/>
                <w:numId w:val="18"/>
              </w:numPr>
              <w:spacing w:after="0" w:line="276" w:lineRule="auto"/>
              <w:rPr>
                <w:rFonts w:ascii="Arial" w:hAnsi="Arial" w:cs="Arial"/>
                <w:i/>
                <w:color w:val="000000" w:themeColor="text1"/>
              </w:rPr>
            </w:pPr>
            <w:r w:rsidRPr="00632374">
              <w:rPr>
                <w:rFonts w:ascii="Arial" w:hAnsi="Arial" w:cs="Arial"/>
                <w:i/>
                <w:color w:val="000000" w:themeColor="text1"/>
              </w:rPr>
              <w:t>5) EEs are not expected to hold more than the equivalent of two substantive External Examinerships at the same time.</w:t>
            </w:r>
          </w:p>
          <w:p w14:paraId="43E69FE6" w14:textId="77777777" w:rsidR="00373BEA" w:rsidRPr="00632374" w:rsidRDefault="00373BEA" w:rsidP="00602C11">
            <w:pPr>
              <w:pStyle w:val="ListParagraph"/>
              <w:numPr>
                <w:ilvl w:val="0"/>
                <w:numId w:val="18"/>
              </w:numPr>
              <w:spacing w:after="0" w:line="276" w:lineRule="auto"/>
              <w:rPr>
                <w:rFonts w:ascii="Arial" w:hAnsi="Arial" w:cs="Arial"/>
                <w:i/>
                <w:color w:val="000000" w:themeColor="text1"/>
              </w:rPr>
            </w:pPr>
            <w:r w:rsidRPr="00632374">
              <w:rPr>
                <w:rFonts w:ascii="Arial" w:hAnsi="Arial" w:cs="Arial"/>
                <w:i/>
                <w:color w:val="000000" w:themeColor="text1"/>
              </w:rPr>
              <w:t>8) Former members of UCL staff must not be appointed as External Examiners before a lapse of at least five years and provided that all students taught by that member of staff have left the programme being examined.</w:t>
            </w:r>
          </w:p>
          <w:p w14:paraId="01911B11" w14:textId="77777777" w:rsidR="00373BEA" w:rsidRPr="00632374" w:rsidRDefault="00373BEA" w:rsidP="00602C11">
            <w:pPr>
              <w:pStyle w:val="ListParagraph"/>
              <w:numPr>
                <w:ilvl w:val="0"/>
                <w:numId w:val="18"/>
              </w:numPr>
              <w:spacing w:after="0" w:line="276" w:lineRule="auto"/>
              <w:rPr>
                <w:rFonts w:ascii="Arial" w:hAnsi="Arial" w:cs="Arial"/>
                <w:i/>
                <w:color w:val="000000" w:themeColor="text1"/>
              </w:rPr>
            </w:pPr>
            <w:r w:rsidRPr="00632374">
              <w:rPr>
                <w:rFonts w:ascii="Arial" w:hAnsi="Arial" w:cs="Arial"/>
                <w:i/>
                <w:color w:val="000000" w:themeColor="text1"/>
              </w:rPr>
              <w:t>12) Only one External Examiner from the same Department/Division and Faculty of an institution will be appointed to examine the same programme at any one time</w:t>
            </w:r>
          </w:p>
          <w:p w14:paraId="36C80CDB" w14:textId="0D62BF17" w:rsidR="00373BEA" w:rsidRPr="00632374" w:rsidRDefault="00373BEA" w:rsidP="00602C11">
            <w:pPr>
              <w:pStyle w:val="ListParagraph"/>
              <w:numPr>
                <w:ilvl w:val="0"/>
                <w:numId w:val="18"/>
              </w:numPr>
              <w:spacing w:after="0" w:line="276" w:lineRule="auto"/>
              <w:rPr>
                <w:rFonts w:ascii="Arial" w:hAnsi="Arial" w:cs="Arial"/>
                <w:i/>
                <w:color w:val="000000" w:themeColor="text1"/>
              </w:rPr>
            </w:pPr>
            <w:r w:rsidRPr="00632374">
              <w:rPr>
                <w:rFonts w:ascii="Arial" w:hAnsi="Arial" w:cs="Arial"/>
                <w:i/>
                <w:color w:val="000000" w:themeColor="text1"/>
              </w:rPr>
              <w:t>13) An External Examiner may be appointed from the same Department/Division of an institution only after at least two years have elapsed since the termination of the previous appointment from that Department/Division.</w:t>
            </w:r>
          </w:p>
          <w:p w14:paraId="2049A070" w14:textId="77777777" w:rsidR="00805375" w:rsidRPr="00632374" w:rsidRDefault="00805375" w:rsidP="00805375">
            <w:pPr>
              <w:pStyle w:val="ListParagraph"/>
              <w:spacing w:after="0" w:line="276" w:lineRule="auto"/>
              <w:ind w:left="1970"/>
              <w:rPr>
                <w:rFonts w:ascii="Arial" w:hAnsi="Arial" w:cs="Arial"/>
                <w:i/>
                <w:color w:val="000000" w:themeColor="text1"/>
              </w:rPr>
            </w:pPr>
          </w:p>
          <w:p w14:paraId="33A1F172" w14:textId="7287D420" w:rsidR="00373BEA" w:rsidRPr="00632374" w:rsidRDefault="00373BEA" w:rsidP="00602C11">
            <w:pPr>
              <w:pStyle w:val="ListParagraph"/>
              <w:numPr>
                <w:ilvl w:val="0"/>
                <w:numId w:val="15"/>
              </w:numPr>
              <w:spacing w:after="0" w:line="276" w:lineRule="auto"/>
              <w:rPr>
                <w:rFonts w:ascii="Arial" w:hAnsi="Arial" w:cs="Arial"/>
                <w:color w:val="000000" w:themeColor="text1"/>
              </w:rPr>
            </w:pPr>
            <w:r w:rsidRPr="00632374">
              <w:rPr>
                <w:rFonts w:ascii="Arial" w:hAnsi="Arial" w:cs="Arial"/>
                <w:color w:val="000000" w:themeColor="text1"/>
              </w:rPr>
              <w:t xml:space="preserve">If these attempts have been exhausted and no </w:t>
            </w:r>
            <w:r w:rsidR="00602C11" w:rsidRPr="00632374">
              <w:rPr>
                <w:rFonts w:ascii="Arial" w:hAnsi="Arial" w:cs="Arial"/>
                <w:color w:val="000000" w:themeColor="text1"/>
              </w:rPr>
              <w:t>External Examiner</w:t>
            </w:r>
            <w:r w:rsidRPr="00632374">
              <w:rPr>
                <w:rFonts w:ascii="Arial" w:hAnsi="Arial" w:cs="Arial"/>
                <w:color w:val="000000" w:themeColor="text1"/>
              </w:rPr>
              <w:t xml:space="preserve"> has been appointed to cover the duties, the following steps need to be taken:</w:t>
            </w:r>
          </w:p>
          <w:p w14:paraId="66B87715" w14:textId="251BA281" w:rsidR="00373BEA" w:rsidRPr="00632374" w:rsidRDefault="00373BEA" w:rsidP="00602C11">
            <w:pPr>
              <w:pStyle w:val="ListParagraph"/>
              <w:numPr>
                <w:ilvl w:val="0"/>
                <w:numId w:val="19"/>
              </w:numPr>
              <w:spacing w:after="0" w:line="276" w:lineRule="auto"/>
              <w:ind w:left="2594"/>
              <w:rPr>
                <w:rFonts w:ascii="Arial" w:hAnsi="Arial" w:cs="Arial"/>
                <w:color w:val="000000" w:themeColor="text1"/>
              </w:rPr>
            </w:pPr>
            <w:r w:rsidRPr="00632374">
              <w:rPr>
                <w:rFonts w:ascii="Arial" w:hAnsi="Arial" w:cs="Arial"/>
                <w:color w:val="000000" w:themeColor="text1"/>
              </w:rPr>
              <w:t>The Chair of the Board must inform the Chair of the Faculty Board of Examiners in advance of the meeting</w:t>
            </w:r>
          </w:p>
          <w:p w14:paraId="4DBD4435" w14:textId="6EFCBCAF" w:rsidR="00373BEA" w:rsidRPr="00632374" w:rsidRDefault="00373BEA" w:rsidP="00602C11">
            <w:pPr>
              <w:pStyle w:val="ListParagraph"/>
              <w:numPr>
                <w:ilvl w:val="0"/>
                <w:numId w:val="19"/>
              </w:numPr>
              <w:spacing w:after="0" w:line="276" w:lineRule="auto"/>
              <w:ind w:left="2594"/>
              <w:rPr>
                <w:rFonts w:ascii="Arial" w:hAnsi="Arial" w:cs="Arial"/>
                <w:color w:val="000000" w:themeColor="text1"/>
              </w:rPr>
            </w:pPr>
            <w:r w:rsidRPr="00632374">
              <w:rPr>
                <w:rFonts w:ascii="Arial" w:hAnsi="Arial" w:cs="Arial"/>
                <w:color w:val="000000" w:themeColor="text1"/>
              </w:rPr>
              <w:t xml:space="preserve">The Chair must report at the meeting what action the 'resigned' </w:t>
            </w:r>
            <w:r w:rsidR="00602C11" w:rsidRPr="00632374">
              <w:rPr>
                <w:rFonts w:ascii="Arial" w:hAnsi="Arial" w:cs="Arial"/>
                <w:color w:val="000000" w:themeColor="text1"/>
              </w:rPr>
              <w:t>External Examiner</w:t>
            </w:r>
            <w:r w:rsidRPr="00632374">
              <w:rPr>
                <w:rFonts w:ascii="Arial" w:hAnsi="Arial" w:cs="Arial"/>
                <w:color w:val="000000" w:themeColor="text1"/>
              </w:rPr>
              <w:t xml:space="preserve"> had already undertaken e.g. scrutiny of exam paper, confirmation of change of assessment method</w:t>
            </w:r>
          </w:p>
          <w:p w14:paraId="70EE8E73" w14:textId="0ADD3191" w:rsidR="00373BEA" w:rsidRPr="00632374" w:rsidRDefault="00373BEA" w:rsidP="00602C11">
            <w:pPr>
              <w:pStyle w:val="ListParagraph"/>
              <w:numPr>
                <w:ilvl w:val="0"/>
                <w:numId w:val="19"/>
              </w:numPr>
              <w:spacing w:after="0" w:line="276" w:lineRule="auto"/>
              <w:ind w:left="2594"/>
              <w:rPr>
                <w:rFonts w:ascii="Arial" w:hAnsi="Arial" w:cs="Arial"/>
                <w:color w:val="000000" w:themeColor="text1"/>
              </w:rPr>
            </w:pPr>
            <w:r w:rsidRPr="00632374">
              <w:rPr>
                <w:rFonts w:ascii="Arial" w:hAnsi="Arial" w:cs="Arial"/>
                <w:color w:val="000000" w:themeColor="text1"/>
              </w:rPr>
              <w:t>Faculty Observers at Boards should use the proforma to report any issues identified during the meeting</w:t>
            </w:r>
          </w:p>
          <w:p w14:paraId="535A5E85" w14:textId="0BD941A5" w:rsidR="00F838DB" w:rsidRPr="00632374" w:rsidRDefault="00373BEA" w:rsidP="00F838DB">
            <w:pPr>
              <w:pStyle w:val="ListParagraph"/>
              <w:numPr>
                <w:ilvl w:val="0"/>
                <w:numId w:val="19"/>
              </w:numPr>
              <w:spacing w:after="0" w:line="276" w:lineRule="auto"/>
              <w:ind w:left="2594"/>
              <w:rPr>
                <w:rFonts w:ascii="Arial" w:hAnsi="Arial" w:cs="Arial"/>
                <w:color w:val="000000" w:themeColor="text1"/>
              </w:rPr>
            </w:pPr>
            <w:r w:rsidRPr="00632374">
              <w:rPr>
                <w:rFonts w:ascii="Arial" w:hAnsi="Arial" w:cs="Arial"/>
                <w:color w:val="000000" w:themeColor="text1"/>
              </w:rPr>
              <w:lastRenderedPageBreak/>
              <w:t xml:space="preserve">The Faculty Board of Examiners overseeing the meeting must report to </w:t>
            </w:r>
            <w:r w:rsidR="00602C11" w:rsidRPr="00632374">
              <w:rPr>
                <w:rFonts w:ascii="Arial" w:hAnsi="Arial" w:cs="Arial"/>
                <w:color w:val="000000" w:themeColor="text1"/>
              </w:rPr>
              <w:t>Education Committee</w:t>
            </w:r>
            <w:r w:rsidRPr="00632374">
              <w:rPr>
                <w:rFonts w:ascii="Arial" w:hAnsi="Arial" w:cs="Arial"/>
                <w:color w:val="000000" w:themeColor="text1"/>
              </w:rPr>
              <w:t xml:space="preserve"> that UCL regulations were applied properly and that the second marking procedures were applied rigorously and/or request that regulations are suspended to enable student progression</w:t>
            </w:r>
            <w:r w:rsidR="00842752" w:rsidRPr="00632374">
              <w:rPr>
                <w:rFonts w:ascii="Arial" w:hAnsi="Arial" w:cs="Arial"/>
                <w:color w:val="000000" w:themeColor="text1"/>
              </w:rPr>
              <w:t>,</w:t>
            </w:r>
            <w:r w:rsidRPr="00632374">
              <w:rPr>
                <w:rFonts w:ascii="Arial" w:hAnsi="Arial" w:cs="Arial"/>
                <w:color w:val="000000" w:themeColor="text1"/>
              </w:rPr>
              <w:t xml:space="preserve"> and award.</w:t>
            </w:r>
          </w:p>
          <w:p w14:paraId="7873240F" w14:textId="77777777" w:rsidR="00F62742" w:rsidRPr="00632374" w:rsidRDefault="00F62742" w:rsidP="00F62742">
            <w:pPr>
              <w:spacing w:after="0" w:line="276" w:lineRule="auto"/>
              <w:rPr>
                <w:rFonts w:ascii="Arial" w:hAnsi="Arial" w:cs="Arial"/>
                <w:color w:val="000000" w:themeColor="text1"/>
              </w:rPr>
            </w:pPr>
          </w:p>
          <w:p w14:paraId="4E3B85E8" w14:textId="79D4B5F9" w:rsidR="00F62742" w:rsidRPr="00632374" w:rsidRDefault="00F62742" w:rsidP="00F62742">
            <w:pPr>
              <w:pStyle w:val="Heading2"/>
              <w:rPr>
                <w:color w:val="000000" w:themeColor="text1"/>
              </w:rPr>
            </w:pPr>
            <w:r w:rsidRPr="00632374">
              <w:rPr>
                <w:color w:val="000000" w:themeColor="text1"/>
              </w:rPr>
              <w:t>Resignation of External Examiners flowchart</w:t>
            </w:r>
          </w:p>
          <w:p w14:paraId="5C8CE4DB" w14:textId="705604EB" w:rsidR="00566DE7" w:rsidRPr="00632374" w:rsidRDefault="00566DE7" w:rsidP="00566DE7">
            <w:pPr>
              <w:rPr>
                <w:color w:val="000000" w:themeColor="text1"/>
              </w:rPr>
            </w:pPr>
            <w:r w:rsidRPr="00632374">
              <w:rPr>
                <w:noProof/>
                <w:color w:val="000000" w:themeColor="text1"/>
                <w:lang w:eastAsia="zh-CN"/>
              </w:rPr>
              <w:drawing>
                <wp:anchor distT="0" distB="0" distL="114300" distR="114300" simplePos="0" relativeHeight="251664384" behindDoc="0" locked="0" layoutInCell="1" allowOverlap="1" wp14:anchorId="0C788432" wp14:editId="71A6FC56">
                  <wp:simplePos x="0" y="0"/>
                  <wp:positionH relativeFrom="column">
                    <wp:posOffset>257175</wp:posOffset>
                  </wp:positionH>
                  <wp:positionV relativeFrom="paragraph">
                    <wp:posOffset>179705</wp:posOffset>
                  </wp:positionV>
                  <wp:extent cx="5932170" cy="7837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32170" cy="7837170"/>
                          </a:xfrm>
                          <a:prstGeom prst="rect">
                            <a:avLst/>
                          </a:prstGeom>
                        </pic:spPr>
                      </pic:pic>
                    </a:graphicData>
                  </a:graphic>
                  <wp14:sizeRelH relativeFrom="page">
                    <wp14:pctWidth>0</wp14:pctWidth>
                  </wp14:sizeRelH>
                  <wp14:sizeRelV relativeFrom="page">
                    <wp14:pctHeight>0</wp14:pctHeight>
                  </wp14:sizeRelV>
                </wp:anchor>
              </w:drawing>
            </w:r>
          </w:p>
          <w:p w14:paraId="11ADD957" w14:textId="77777777" w:rsidR="00566DE7" w:rsidRPr="00632374" w:rsidRDefault="00566DE7" w:rsidP="00566DE7">
            <w:pPr>
              <w:rPr>
                <w:color w:val="000000" w:themeColor="text1"/>
              </w:rPr>
            </w:pPr>
            <w:r w:rsidRPr="00632374">
              <w:rPr>
                <w:color w:val="000000" w:themeColor="text1"/>
              </w:rPr>
              <w:br/>
            </w:r>
            <w:r w:rsidRPr="00632374">
              <w:rPr>
                <w:color w:val="000000" w:themeColor="text1"/>
              </w:rPr>
              <w:br/>
            </w:r>
          </w:p>
          <w:p w14:paraId="04217875" w14:textId="670C62B9" w:rsidR="00566DE7" w:rsidRPr="00632374" w:rsidRDefault="00566DE7" w:rsidP="00566DE7">
            <w:pPr>
              <w:rPr>
                <w:color w:val="000000" w:themeColor="text1"/>
              </w:rPr>
            </w:pPr>
            <w:r w:rsidRPr="00632374">
              <w:rPr>
                <w:color w:val="000000" w:themeColor="text1"/>
              </w:rPr>
              <w:br/>
            </w:r>
          </w:p>
        </w:tc>
      </w:tr>
      <w:tr w:rsidR="00632374" w:rsidRPr="00632374" w14:paraId="28ABB784" w14:textId="77777777" w:rsidTr="00F41D0C">
        <w:tc>
          <w:tcPr>
            <w:tcW w:w="10495" w:type="dxa"/>
          </w:tcPr>
          <w:p w14:paraId="2720FD51" w14:textId="77777777" w:rsidR="00265AC6" w:rsidRPr="00632374" w:rsidRDefault="00265AC6" w:rsidP="00F838DB">
            <w:pPr>
              <w:spacing w:after="0" w:line="276" w:lineRule="auto"/>
              <w:rPr>
                <w:rFonts w:ascii="Arial" w:hAnsi="Arial" w:cs="Arial"/>
                <w:color w:val="000000" w:themeColor="text1"/>
              </w:rPr>
            </w:pPr>
            <w:bookmarkStart w:id="2" w:name="_Hlk518409506"/>
          </w:p>
          <w:p w14:paraId="17C66368" w14:textId="77777777" w:rsidR="004C731B" w:rsidRPr="00632374" w:rsidRDefault="004C731B" w:rsidP="00F62742">
            <w:pPr>
              <w:pStyle w:val="Heading1"/>
              <w:rPr>
                <w:color w:val="000000" w:themeColor="text1"/>
              </w:rPr>
            </w:pPr>
            <w:r w:rsidRPr="00632374">
              <w:rPr>
                <w:color w:val="000000" w:themeColor="text1"/>
              </w:rPr>
              <w:t>Further questions</w:t>
            </w:r>
          </w:p>
          <w:p w14:paraId="30E051B7" w14:textId="77777777" w:rsidR="004C731B" w:rsidRPr="00632374" w:rsidRDefault="004C731B" w:rsidP="00F41D0C">
            <w:pPr>
              <w:spacing w:after="0" w:line="276" w:lineRule="auto"/>
              <w:ind w:left="2302" w:hanging="425"/>
              <w:rPr>
                <w:rFonts w:ascii="Arial" w:hAnsi="Arial" w:cs="Arial"/>
                <w:color w:val="000000" w:themeColor="text1"/>
              </w:rPr>
            </w:pPr>
            <w:r w:rsidRPr="00632374">
              <w:rPr>
                <w:rFonts w:ascii="Arial" w:hAnsi="Arial" w:cs="Arial"/>
                <w:color w:val="000000" w:themeColor="text1"/>
              </w:rPr>
              <w:t> </w:t>
            </w:r>
          </w:p>
        </w:tc>
      </w:tr>
      <w:tr w:rsidR="00632374" w:rsidRPr="00632374" w14:paraId="0B9D0C23" w14:textId="77777777" w:rsidTr="00F41D0C">
        <w:tc>
          <w:tcPr>
            <w:tcW w:w="10495" w:type="dxa"/>
          </w:tcPr>
          <w:p w14:paraId="5EAC1B38" w14:textId="4E5FFDEB" w:rsidR="00F62742" w:rsidRPr="00632374" w:rsidRDefault="004C731B" w:rsidP="00566DE7">
            <w:pPr>
              <w:spacing w:after="0" w:line="276" w:lineRule="auto"/>
              <w:ind w:left="890"/>
              <w:rPr>
                <w:rFonts w:ascii="Arial" w:hAnsi="Arial" w:cs="Arial"/>
                <w:color w:val="000000" w:themeColor="text1"/>
              </w:rPr>
            </w:pPr>
            <w:r w:rsidRPr="00632374">
              <w:rPr>
                <w:rFonts w:ascii="Arial" w:hAnsi="Arial" w:cs="Arial"/>
                <w:color w:val="000000" w:themeColor="text1"/>
              </w:rPr>
              <w:t xml:space="preserve">Please contact </w:t>
            </w:r>
            <w:hyperlink r:id="rId12" w:history="1">
              <w:r w:rsidR="00805375" w:rsidRPr="00632374">
                <w:rPr>
                  <w:rStyle w:val="Hyperlink"/>
                  <w:rFonts w:ascii="Arial" w:hAnsi="Arial" w:cs="Arial"/>
                  <w:color w:val="000000" w:themeColor="text1"/>
                </w:rPr>
                <w:t>academicregulations@ucl.ac.uk</w:t>
              </w:r>
            </w:hyperlink>
            <w:r w:rsidR="00805375" w:rsidRPr="00632374">
              <w:rPr>
                <w:rFonts w:ascii="Arial" w:hAnsi="Arial" w:cs="Arial"/>
                <w:color w:val="000000" w:themeColor="text1"/>
              </w:rPr>
              <w:t xml:space="preserve"> </w:t>
            </w:r>
            <w:r w:rsidRPr="00632374">
              <w:rPr>
                <w:rFonts w:ascii="Arial" w:hAnsi="Arial" w:cs="Arial"/>
                <w:color w:val="000000" w:themeColor="text1"/>
              </w:rPr>
              <w:t xml:space="preserve">if you have further questions about </w:t>
            </w:r>
            <w:r w:rsidR="00842752" w:rsidRPr="00632374">
              <w:rPr>
                <w:rFonts w:ascii="Arial" w:hAnsi="Arial" w:cs="Arial"/>
                <w:color w:val="000000" w:themeColor="text1"/>
              </w:rPr>
              <w:t>industrial</w:t>
            </w:r>
            <w:r w:rsidRPr="00632374">
              <w:rPr>
                <w:rFonts w:ascii="Arial" w:hAnsi="Arial" w:cs="Arial"/>
                <w:color w:val="000000" w:themeColor="text1"/>
              </w:rPr>
              <w:t xml:space="preserve"> action and its impact on assessment, progression</w:t>
            </w:r>
            <w:r w:rsidR="00842752" w:rsidRPr="00632374">
              <w:rPr>
                <w:rFonts w:ascii="Arial" w:hAnsi="Arial" w:cs="Arial"/>
                <w:color w:val="000000" w:themeColor="text1"/>
              </w:rPr>
              <w:t>,</w:t>
            </w:r>
            <w:r w:rsidRPr="00632374">
              <w:rPr>
                <w:rFonts w:ascii="Arial" w:hAnsi="Arial" w:cs="Arial"/>
                <w:color w:val="000000" w:themeColor="text1"/>
              </w:rPr>
              <w:t xml:space="preserve"> and award</w:t>
            </w:r>
            <w:r w:rsidR="00842752" w:rsidRPr="00632374">
              <w:rPr>
                <w:rFonts w:ascii="Arial" w:hAnsi="Arial" w:cs="Arial"/>
                <w:color w:val="000000" w:themeColor="text1"/>
              </w:rPr>
              <w:t>.</w:t>
            </w:r>
          </w:p>
        </w:tc>
      </w:tr>
      <w:bookmarkEnd w:id="2"/>
      <w:tr w:rsidR="00632374" w:rsidRPr="00632374" w14:paraId="32364ACB" w14:textId="77777777" w:rsidTr="00810FA4">
        <w:tc>
          <w:tcPr>
            <w:tcW w:w="10495" w:type="dxa"/>
          </w:tcPr>
          <w:p w14:paraId="0D946A61" w14:textId="77777777" w:rsidR="003F2E33" w:rsidRPr="00632374" w:rsidRDefault="003F2E33" w:rsidP="00810FA4">
            <w:pPr>
              <w:spacing w:after="0" w:line="276" w:lineRule="auto"/>
              <w:ind w:left="2302" w:hanging="425"/>
              <w:rPr>
                <w:rFonts w:ascii="Arial" w:hAnsi="Arial" w:cs="Arial"/>
                <w:color w:val="000000" w:themeColor="text1"/>
              </w:rPr>
            </w:pPr>
          </w:p>
          <w:p w14:paraId="50D2633F" w14:textId="1012BE2E" w:rsidR="003F2E33" w:rsidRPr="00632374" w:rsidRDefault="003F2E33" w:rsidP="00805375">
            <w:pPr>
              <w:pStyle w:val="Heading1"/>
              <w:rPr>
                <w:color w:val="000000" w:themeColor="text1"/>
              </w:rPr>
            </w:pPr>
            <w:r w:rsidRPr="00632374">
              <w:rPr>
                <w:color w:val="000000" w:themeColor="text1"/>
              </w:rPr>
              <w:t>Advi</w:t>
            </w:r>
            <w:r w:rsidR="00F62742" w:rsidRPr="00632374">
              <w:rPr>
                <w:color w:val="000000" w:themeColor="text1"/>
              </w:rPr>
              <w:t>c</w:t>
            </w:r>
            <w:r w:rsidRPr="00632374">
              <w:rPr>
                <w:color w:val="000000" w:themeColor="text1"/>
              </w:rPr>
              <w:t>e to provide to students</w:t>
            </w:r>
            <w:r w:rsidRPr="00632374">
              <w:rPr>
                <w:color w:val="000000" w:themeColor="text1"/>
              </w:rPr>
              <w:t> </w:t>
            </w:r>
            <w:r w:rsidR="00F838DB" w:rsidRPr="00632374">
              <w:rPr>
                <w:color w:val="000000" w:themeColor="text1"/>
              </w:rPr>
              <w:br/>
            </w:r>
          </w:p>
        </w:tc>
      </w:tr>
      <w:tr w:rsidR="00632374" w:rsidRPr="00632374" w14:paraId="1C0286B0" w14:textId="77777777" w:rsidTr="00810FA4">
        <w:tc>
          <w:tcPr>
            <w:tcW w:w="10495" w:type="dxa"/>
          </w:tcPr>
          <w:p w14:paraId="54950B63" w14:textId="77777777" w:rsidR="0043280F" w:rsidRPr="00632374" w:rsidRDefault="0043280F" w:rsidP="0043280F">
            <w:pPr>
              <w:spacing w:after="0" w:line="276" w:lineRule="auto"/>
              <w:ind w:left="890"/>
              <w:rPr>
                <w:rFonts w:ascii="Arial" w:hAnsi="Arial" w:cs="Arial"/>
                <w:b/>
                <w:color w:val="000000" w:themeColor="text1"/>
              </w:rPr>
            </w:pPr>
            <w:r w:rsidRPr="00632374">
              <w:rPr>
                <w:rFonts w:ascii="Arial" w:hAnsi="Arial" w:cs="Arial"/>
                <w:b/>
                <w:color w:val="000000" w:themeColor="text1"/>
              </w:rPr>
              <w:t>Do I need to submit an extenuating circumstances form?</w:t>
            </w:r>
          </w:p>
          <w:p w14:paraId="74E2C667" w14:textId="77777777" w:rsidR="0043280F" w:rsidRPr="00632374" w:rsidRDefault="0043280F" w:rsidP="0043280F">
            <w:pPr>
              <w:spacing w:after="0" w:line="276" w:lineRule="auto"/>
              <w:ind w:left="890"/>
              <w:rPr>
                <w:rFonts w:ascii="Arial" w:hAnsi="Arial" w:cs="Arial"/>
                <w:color w:val="000000" w:themeColor="text1"/>
              </w:rPr>
            </w:pPr>
            <w:r w:rsidRPr="00632374">
              <w:rPr>
                <w:rFonts w:ascii="Arial" w:hAnsi="Arial" w:cs="Arial"/>
                <w:color w:val="000000" w:themeColor="text1"/>
              </w:rPr>
              <w:t>You do not need to submit an extenuating circumstances form as we have information about the impact of strike on your classes.</w:t>
            </w:r>
          </w:p>
          <w:p w14:paraId="67817E83" w14:textId="77777777" w:rsidR="0043280F" w:rsidRPr="00632374" w:rsidRDefault="0043280F" w:rsidP="0043280F">
            <w:pPr>
              <w:spacing w:after="0" w:line="276" w:lineRule="auto"/>
              <w:ind w:left="890"/>
              <w:rPr>
                <w:rFonts w:ascii="Arial" w:hAnsi="Arial" w:cs="Arial"/>
                <w:color w:val="000000" w:themeColor="text1"/>
              </w:rPr>
            </w:pPr>
          </w:p>
          <w:p w14:paraId="7D60DCB4" w14:textId="516AA9D7" w:rsidR="0043280F" w:rsidRPr="00632374" w:rsidRDefault="0043280F"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Will my results be affected?</w:t>
            </w:r>
          </w:p>
          <w:p w14:paraId="11D0CDA9" w14:textId="212DCA4D" w:rsidR="0043280F"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Our examination boards have procedures that they can use to</w:t>
            </w:r>
            <w:r w:rsidR="0043280F" w:rsidRPr="00632374">
              <w:rPr>
                <w:rFonts w:ascii="Arial" w:hAnsi="Arial" w:cs="Arial"/>
                <w:color w:val="000000" w:themeColor="text1"/>
              </w:rPr>
              <w:t xml:space="preserve"> ensure that no student is disadvantaged in assessment or examinations.</w:t>
            </w:r>
            <w:r w:rsidRPr="00632374">
              <w:rPr>
                <w:rFonts w:ascii="Arial" w:hAnsi="Arial" w:cs="Arial"/>
                <w:color w:val="000000" w:themeColor="text1"/>
              </w:rPr>
              <w:t xml:space="preserve"> </w:t>
            </w:r>
            <w:r w:rsidR="0043280F" w:rsidRPr="00632374">
              <w:rPr>
                <w:rFonts w:ascii="Arial" w:hAnsi="Arial" w:cs="Arial"/>
                <w:color w:val="000000" w:themeColor="text1"/>
              </w:rPr>
              <w:t>UCL’s Student and Registry Services</w:t>
            </w:r>
            <w:r w:rsidRPr="00632374">
              <w:rPr>
                <w:rFonts w:ascii="Arial" w:hAnsi="Arial" w:cs="Arial"/>
                <w:color w:val="000000" w:themeColor="text1"/>
              </w:rPr>
              <w:t xml:space="preserve"> is </w:t>
            </w:r>
            <w:r w:rsidR="0043280F" w:rsidRPr="00632374">
              <w:rPr>
                <w:rFonts w:ascii="Arial" w:hAnsi="Arial" w:cs="Arial"/>
                <w:color w:val="000000" w:themeColor="text1"/>
              </w:rPr>
              <w:t xml:space="preserve">also </w:t>
            </w:r>
            <w:r w:rsidRPr="00632374">
              <w:rPr>
                <w:rFonts w:ascii="Arial" w:hAnsi="Arial" w:cs="Arial"/>
                <w:color w:val="000000" w:themeColor="text1"/>
              </w:rPr>
              <w:t xml:space="preserve">fully equipped to deal with more complex questions from the examination boards and to ensure that we take a consistent approach across UCL.  </w:t>
            </w:r>
          </w:p>
          <w:p w14:paraId="37A497B9" w14:textId="77777777" w:rsidR="0043280F" w:rsidRPr="00632374" w:rsidRDefault="0043280F" w:rsidP="003F2E33">
            <w:pPr>
              <w:spacing w:after="0" w:line="276" w:lineRule="auto"/>
              <w:ind w:left="890"/>
              <w:rPr>
                <w:rFonts w:ascii="Arial" w:hAnsi="Arial" w:cs="Arial"/>
                <w:color w:val="000000" w:themeColor="text1"/>
              </w:rPr>
            </w:pPr>
          </w:p>
          <w:p w14:paraId="78DC6E5B" w14:textId="37356347" w:rsidR="0043280F" w:rsidRPr="00632374" w:rsidRDefault="0043280F" w:rsidP="0043280F">
            <w:pPr>
              <w:spacing w:after="0" w:line="276" w:lineRule="auto"/>
              <w:ind w:left="890"/>
              <w:rPr>
                <w:rFonts w:ascii="Arial" w:hAnsi="Arial" w:cs="Arial"/>
                <w:b/>
                <w:color w:val="000000" w:themeColor="text1"/>
              </w:rPr>
            </w:pPr>
            <w:r w:rsidRPr="00632374">
              <w:rPr>
                <w:rFonts w:ascii="Arial" w:hAnsi="Arial" w:cs="Arial"/>
                <w:b/>
                <w:color w:val="000000" w:themeColor="text1"/>
              </w:rPr>
              <w:t>What will happen about examinations?</w:t>
            </w:r>
          </w:p>
          <w:p w14:paraId="1CFF0880" w14:textId="06CB778C" w:rsidR="0043280F" w:rsidRPr="00632374" w:rsidRDefault="0043280F" w:rsidP="0043280F">
            <w:pPr>
              <w:spacing w:after="0" w:line="276" w:lineRule="auto"/>
              <w:ind w:left="890"/>
              <w:rPr>
                <w:rFonts w:ascii="Arial" w:hAnsi="Arial" w:cs="Arial"/>
                <w:color w:val="000000" w:themeColor="text1"/>
              </w:rPr>
            </w:pPr>
            <w:r w:rsidRPr="00632374">
              <w:rPr>
                <w:rFonts w:ascii="Arial" w:hAnsi="Arial" w:cs="Arial"/>
                <w:color w:val="000000" w:themeColor="text1"/>
              </w:rPr>
              <w:t xml:space="preserve">UCL knows about the classes that have been cancelled due to industrial action and will take this into account either in the exam paper that we set for you or when we consider your results. </w:t>
            </w:r>
          </w:p>
          <w:p w14:paraId="6B94E8C4" w14:textId="77777777" w:rsidR="003F2E33" w:rsidRPr="00632374" w:rsidRDefault="003F2E33" w:rsidP="003F2E33">
            <w:pPr>
              <w:spacing w:after="0" w:line="276" w:lineRule="auto"/>
              <w:ind w:left="890"/>
              <w:rPr>
                <w:rFonts w:ascii="Arial" w:hAnsi="Arial" w:cs="Arial"/>
                <w:color w:val="000000" w:themeColor="text1"/>
              </w:rPr>
            </w:pPr>
          </w:p>
          <w:p w14:paraId="4AB28E3B" w14:textId="06CB47C9"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What about coursework assessment?</w:t>
            </w:r>
          </w:p>
          <w:p w14:paraId="3FB45E0A" w14:textId="77777777" w:rsidR="003F2E33"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Your department will advise you on arrangements for coursework assessment. These will vary from no change through to extensions to allow more time for you to submit the work.</w:t>
            </w:r>
          </w:p>
          <w:p w14:paraId="2059B8C4" w14:textId="77777777" w:rsidR="0043280F" w:rsidRPr="00632374" w:rsidRDefault="0043280F" w:rsidP="003F2E33">
            <w:pPr>
              <w:spacing w:after="0" w:line="276" w:lineRule="auto"/>
              <w:ind w:left="890"/>
              <w:rPr>
                <w:rFonts w:ascii="Arial" w:hAnsi="Arial" w:cs="Arial"/>
                <w:color w:val="000000" w:themeColor="text1"/>
              </w:rPr>
            </w:pPr>
          </w:p>
          <w:p w14:paraId="5348E664" w14:textId="4C8FAF23"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 xml:space="preserve">What about labs </w:t>
            </w:r>
            <w:r w:rsidR="0043280F" w:rsidRPr="00632374">
              <w:rPr>
                <w:rFonts w:ascii="Arial" w:hAnsi="Arial" w:cs="Arial"/>
                <w:b/>
                <w:color w:val="000000" w:themeColor="text1"/>
              </w:rPr>
              <w:t xml:space="preserve">and in-class tests </w:t>
            </w:r>
            <w:r w:rsidRPr="00632374">
              <w:rPr>
                <w:rFonts w:ascii="Arial" w:hAnsi="Arial" w:cs="Arial"/>
                <w:b/>
                <w:color w:val="000000" w:themeColor="text1"/>
              </w:rPr>
              <w:t>that I have missed?</w:t>
            </w:r>
          </w:p>
          <w:p w14:paraId="2EBB76D3" w14:textId="73C8AC1E" w:rsidR="003F2E33"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 xml:space="preserve">Your department will advise you on whether your labs or in-class tests will be rearranged to take place on a non-strike day, or whether they will be cancelled. If </w:t>
            </w:r>
            <w:r w:rsidR="0043280F" w:rsidRPr="00632374">
              <w:rPr>
                <w:rFonts w:ascii="Arial" w:hAnsi="Arial" w:cs="Arial"/>
                <w:color w:val="000000" w:themeColor="text1"/>
              </w:rPr>
              <w:t>they</w:t>
            </w:r>
            <w:r w:rsidRPr="00632374">
              <w:rPr>
                <w:rFonts w:ascii="Arial" w:hAnsi="Arial" w:cs="Arial"/>
                <w:color w:val="000000" w:themeColor="text1"/>
              </w:rPr>
              <w:t xml:space="preserve"> cannot be rescheduled, we will discount these components from your overall module mark, in line with our regulations, so that you are not penalised as a result of the cancellation.</w:t>
            </w:r>
          </w:p>
          <w:p w14:paraId="41EFDDAF" w14:textId="77777777" w:rsidR="003F2E33" w:rsidRPr="00632374" w:rsidRDefault="003F2E33" w:rsidP="00805375">
            <w:pPr>
              <w:spacing w:after="0" w:line="276" w:lineRule="auto"/>
              <w:rPr>
                <w:rFonts w:ascii="Arial" w:hAnsi="Arial" w:cs="Arial"/>
                <w:color w:val="000000" w:themeColor="text1"/>
              </w:rPr>
            </w:pPr>
          </w:p>
          <w:p w14:paraId="2A185885" w14:textId="77777777"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Will my degree be devalued if I missed some of my teaching and in-class assessments?</w:t>
            </w:r>
          </w:p>
          <w:p w14:paraId="0308A6E9" w14:textId="058881BA" w:rsidR="003F2E33"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Please bear in mind that the teaching, learning, and assessment for your programme of study takes place in a range of different ways, not just in the classroom.  You can use your reading list and on-line materials as usual to ensure that you continue to have a wider learning experience.</w:t>
            </w:r>
          </w:p>
          <w:p w14:paraId="7DF7DBC8" w14:textId="77777777" w:rsidR="003F2E33" w:rsidRPr="00632374" w:rsidRDefault="003F2E33" w:rsidP="003F2E33">
            <w:pPr>
              <w:spacing w:after="0" w:line="276" w:lineRule="auto"/>
              <w:ind w:left="890"/>
              <w:rPr>
                <w:rFonts w:ascii="Arial" w:hAnsi="Arial" w:cs="Arial"/>
                <w:color w:val="000000" w:themeColor="text1"/>
              </w:rPr>
            </w:pPr>
          </w:p>
          <w:p w14:paraId="28B78F21" w14:textId="77777777"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Will I be penalised under the attendance policy where my classes were cancelled?</w:t>
            </w:r>
          </w:p>
          <w:p w14:paraId="24FABF21" w14:textId="07DB813E" w:rsidR="003F2E33"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We will not penalise you for not attending classes that we have cancelled due to industrial action. These classes will not count towards the 70% attendance requirement.</w:t>
            </w:r>
          </w:p>
          <w:p w14:paraId="42831C2C" w14:textId="77777777" w:rsidR="003F2E33" w:rsidRPr="00632374" w:rsidRDefault="003F2E33" w:rsidP="003F2E33">
            <w:pPr>
              <w:spacing w:after="0" w:line="276" w:lineRule="auto"/>
              <w:ind w:left="890"/>
              <w:rPr>
                <w:rFonts w:ascii="Arial" w:hAnsi="Arial" w:cs="Arial"/>
                <w:color w:val="000000" w:themeColor="text1"/>
              </w:rPr>
            </w:pPr>
          </w:p>
          <w:p w14:paraId="3ADC8CE4" w14:textId="60E569C0"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What if my classes were running, but I didn’t want to attend them?</w:t>
            </w:r>
          </w:p>
          <w:p w14:paraId="3A15D68D" w14:textId="77777777" w:rsidR="003F2E33"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We would expect all students to attend classes where they are running.</w:t>
            </w:r>
          </w:p>
          <w:p w14:paraId="72D4C340" w14:textId="77777777" w:rsidR="003F2E33" w:rsidRPr="00632374" w:rsidRDefault="003F2E33" w:rsidP="003F2E33">
            <w:pPr>
              <w:spacing w:after="0" w:line="276" w:lineRule="auto"/>
              <w:ind w:left="890"/>
              <w:rPr>
                <w:rFonts w:ascii="Arial" w:hAnsi="Arial" w:cs="Arial"/>
                <w:color w:val="000000" w:themeColor="text1"/>
              </w:rPr>
            </w:pPr>
          </w:p>
          <w:p w14:paraId="67535AE5" w14:textId="77777777"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I am a Tier 4 visa student – will I be penalised for not attending classes?</w:t>
            </w:r>
          </w:p>
          <w:p w14:paraId="03D2EBB8" w14:textId="69D07704" w:rsidR="003F2E33" w:rsidRPr="00632374" w:rsidRDefault="003F2E33" w:rsidP="003F2E33">
            <w:pPr>
              <w:spacing w:after="0" w:line="276" w:lineRule="auto"/>
              <w:ind w:left="890"/>
              <w:rPr>
                <w:rFonts w:ascii="Arial" w:hAnsi="Arial" w:cs="Arial"/>
                <w:color w:val="000000" w:themeColor="text1"/>
              </w:rPr>
            </w:pPr>
            <w:r w:rsidRPr="00632374">
              <w:rPr>
                <w:rFonts w:ascii="Arial" w:hAnsi="Arial" w:cs="Arial"/>
                <w:color w:val="000000" w:themeColor="text1"/>
              </w:rPr>
              <w:t xml:space="preserve">If you are a student on a tier 4 visa you will not be penalised if you are unable to attend classes that have been cancelled due to </w:t>
            </w:r>
            <w:r w:rsidR="00842752" w:rsidRPr="00632374">
              <w:rPr>
                <w:rFonts w:ascii="Arial" w:hAnsi="Arial" w:cs="Arial"/>
                <w:color w:val="000000" w:themeColor="text1"/>
              </w:rPr>
              <w:t>industrial</w:t>
            </w:r>
            <w:r w:rsidRPr="00632374">
              <w:rPr>
                <w:rFonts w:ascii="Arial" w:hAnsi="Arial" w:cs="Arial"/>
                <w:color w:val="000000" w:themeColor="text1"/>
              </w:rPr>
              <w:t xml:space="preserve"> action.  We will assume that you are engaged with your studies in other ways if your classes are not running.  </w:t>
            </w:r>
          </w:p>
          <w:p w14:paraId="4DA9B43B" w14:textId="77777777" w:rsidR="003F2E33" w:rsidRPr="00632374" w:rsidRDefault="003F2E33" w:rsidP="003F2E33">
            <w:pPr>
              <w:spacing w:after="0" w:line="276" w:lineRule="auto"/>
              <w:ind w:left="890"/>
              <w:rPr>
                <w:rFonts w:ascii="Arial" w:hAnsi="Arial" w:cs="Arial"/>
                <w:color w:val="000000" w:themeColor="text1"/>
              </w:rPr>
            </w:pPr>
          </w:p>
          <w:p w14:paraId="027412BB" w14:textId="77777777" w:rsidR="003F2E33" w:rsidRPr="00632374" w:rsidRDefault="003F2E33" w:rsidP="003F2E33">
            <w:pPr>
              <w:spacing w:after="0" w:line="276" w:lineRule="auto"/>
              <w:ind w:left="890"/>
              <w:rPr>
                <w:rFonts w:ascii="Arial" w:hAnsi="Arial" w:cs="Arial"/>
                <w:b/>
                <w:color w:val="000000" w:themeColor="text1"/>
              </w:rPr>
            </w:pPr>
            <w:r w:rsidRPr="00632374">
              <w:rPr>
                <w:rFonts w:ascii="Arial" w:hAnsi="Arial" w:cs="Arial"/>
                <w:b/>
                <w:color w:val="000000" w:themeColor="text1"/>
              </w:rPr>
              <w:t xml:space="preserve">Has your question been answered? </w:t>
            </w:r>
          </w:p>
          <w:p w14:paraId="67E01E97" w14:textId="25D30A49" w:rsidR="003F2E33" w:rsidRPr="00632374" w:rsidRDefault="003F2E33" w:rsidP="00805375">
            <w:pPr>
              <w:spacing w:after="0" w:line="276" w:lineRule="auto"/>
              <w:ind w:left="890"/>
              <w:rPr>
                <w:rFonts w:ascii="Arial" w:hAnsi="Arial" w:cs="Arial"/>
                <w:color w:val="000000" w:themeColor="text1"/>
              </w:rPr>
            </w:pPr>
            <w:r w:rsidRPr="00632374">
              <w:rPr>
                <w:rFonts w:ascii="Arial" w:hAnsi="Arial" w:cs="Arial"/>
                <w:color w:val="000000" w:themeColor="text1"/>
              </w:rPr>
              <w:t xml:space="preserve">If you have any other questions that you would like to ask about industrial action and its impact, please speak to staff in your local departmental staff who may be able to help. Alternatively, contact </w:t>
            </w:r>
            <w:hyperlink r:id="rId13" w:history="1">
              <w:r w:rsidR="00805375" w:rsidRPr="00632374">
                <w:rPr>
                  <w:rStyle w:val="Hyperlink"/>
                  <w:rFonts w:ascii="Arial" w:hAnsi="Arial" w:cs="Arial"/>
                  <w:color w:val="000000" w:themeColor="text1"/>
                </w:rPr>
                <w:t>academicregulations@ucl.ac.uk</w:t>
              </w:r>
            </w:hyperlink>
            <w:r w:rsidR="00566DE7" w:rsidRPr="00632374">
              <w:rPr>
                <w:rFonts w:ascii="Arial" w:hAnsi="Arial" w:cs="Arial"/>
                <w:color w:val="000000" w:themeColor="text1"/>
              </w:rPr>
              <w:t>.</w:t>
            </w:r>
          </w:p>
        </w:tc>
      </w:tr>
    </w:tbl>
    <w:p w14:paraId="67524CEC" w14:textId="4FDC4EEB" w:rsidR="00F62742" w:rsidRPr="00632374" w:rsidRDefault="00F62742" w:rsidP="00566DE7">
      <w:pPr>
        <w:rPr>
          <w:color w:val="000000" w:themeColor="text1"/>
        </w:rPr>
      </w:pPr>
    </w:p>
    <w:sectPr w:rsidR="00F62742" w:rsidRPr="00632374" w:rsidSect="00566DE7">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3FF8" w14:textId="77777777" w:rsidR="005F63C4" w:rsidRDefault="005F63C4" w:rsidP="007A7336">
      <w:pPr>
        <w:spacing w:after="0" w:line="240" w:lineRule="auto"/>
      </w:pPr>
      <w:r>
        <w:separator/>
      </w:r>
    </w:p>
  </w:endnote>
  <w:endnote w:type="continuationSeparator" w:id="0">
    <w:p w14:paraId="2A21D116" w14:textId="77777777" w:rsidR="005F63C4" w:rsidRDefault="005F63C4" w:rsidP="007A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A495" w14:textId="77777777" w:rsidR="005F63C4" w:rsidRDefault="005F63C4" w:rsidP="007A7336">
      <w:pPr>
        <w:spacing w:after="0" w:line="240" w:lineRule="auto"/>
      </w:pPr>
      <w:r>
        <w:separator/>
      </w:r>
    </w:p>
  </w:footnote>
  <w:footnote w:type="continuationSeparator" w:id="0">
    <w:p w14:paraId="45613DF4" w14:textId="77777777" w:rsidR="005F63C4" w:rsidRDefault="005F63C4" w:rsidP="007A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6BF"/>
    <w:multiLevelType w:val="hybridMultilevel"/>
    <w:tmpl w:val="F022DFEC"/>
    <w:lvl w:ilvl="0" w:tplc="F9421744">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 w15:restartNumberingAfterBreak="0">
    <w:nsid w:val="12CB2A20"/>
    <w:multiLevelType w:val="hybridMultilevel"/>
    <w:tmpl w:val="72A83302"/>
    <w:lvl w:ilvl="0" w:tplc="41EA3292">
      <w:start w:val="1"/>
      <w:numFmt w:val="lowerLetter"/>
      <w:lvlText w:val="%1)"/>
      <w:lvlJc w:val="left"/>
      <w:pPr>
        <w:ind w:left="2052" w:hanging="360"/>
      </w:pPr>
      <w:rPr>
        <w:rFonts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2" w15:restartNumberingAfterBreak="0">
    <w:nsid w:val="14E127B7"/>
    <w:multiLevelType w:val="hybridMultilevel"/>
    <w:tmpl w:val="D318D20A"/>
    <w:lvl w:ilvl="0" w:tplc="2D6AAC3A">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3" w15:restartNumberingAfterBreak="0">
    <w:nsid w:val="14F109E5"/>
    <w:multiLevelType w:val="hybridMultilevel"/>
    <w:tmpl w:val="B9C095A4"/>
    <w:lvl w:ilvl="0" w:tplc="1BFC08FA">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4" w15:restartNumberingAfterBreak="0">
    <w:nsid w:val="16B2725D"/>
    <w:multiLevelType w:val="hybridMultilevel"/>
    <w:tmpl w:val="D1B6B7DA"/>
    <w:lvl w:ilvl="0" w:tplc="6C36B4DA">
      <w:start w:val="1"/>
      <w:numFmt w:val="decimal"/>
      <w:lvlText w:val="%1."/>
      <w:lvlJc w:val="left"/>
      <w:pPr>
        <w:ind w:left="1305" w:hanging="420"/>
      </w:pPr>
      <w:rPr>
        <w:rFonts w:ascii="Arial" w:eastAsiaTheme="minorHAnsi" w:hAnsi="Arial" w:cs="Arial"/>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5" w15:restartNumberingAfterBreak="0">
    <w:nsid w:val="1A47592C"/>
    <w:multiLevelType w:val="hybridMultilevel"/>
    <w:tmpl w:val="D1B6B7DA"/>
    <w:lvl w:ilvl="0" w:tplc="6C36B4DA">
      <w:start w:val="1"/>
      <w:numFmt w:val="decimal"/>
      <w:lvlText w:val="%1."/>
      <w:lvlJc w:val="left"/>
      <w:pPr>
        <w:ind w:left="1305" w:hanging="420"/>
      </w:pPr>
      <w:rPr>
        <w:rFonts w:ascii="Arial" w:eastAsiaTheme="minorHAnsi" w:hAnsi="Arial" w:cs="Arial"/>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6" w15:restartNumberingAfterBreak="0">
    <w:nsid w:val="1B274EBB"/>
    <w:multiLevelType w:val="hybridMultilevel"/>
    <w:tmpl w:val="82104696"/>
    <w:lvl w:ilvl="0" w:tplc="6C36B4DA">
      <w:start w:val="1"/>
      <w:numFmt w:val="decimal"/>
      <w:lvlText w:val="%1."/>
      <w:lvlJc w:val="left"/>
      <w:pPr>
        <w:ind w:left="1305" w:hanging="420"/>
      </w:pPr>
      <w:rPr>
        <w:rFonts w:ascii="Arial" w:eastAsiaTheme="minorHAnsi" w:hAnsi="Arial" w:cs="Arial"/>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7" w15:restartNumberingAfterBreak="0">
    <w:nsid w:val="1B321585"/>
    <w:multiLevelType w:val="hybridMultilevel"/>
    <w:tmpl w:val="A810DEF4"/>
    <w:lvl w:ilvl="0" w:tplc="1BDE67FA">
      <w:numFmt w:val="bullet"/>
      <w:lvlText w:val="•"/>
      <w:lvlJc w:val="left"/>
      <w:pPr>
        <w:ind w:left="2195" w:hanging="420"/>
      </w:pPr>
      <w:rPr>
        <w:rFonts w:ascii="Arial" w:eastAsiaTheme="minorHAnsi" w:hAnsi="Arial" w:cs="Aria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8" w15:restartNumberingAfterBreak="0">
    <w:nsid w:val="1B8034D5"/>
    <w:multiLevelType w:val="hybridMultilevel"/>
    <w:tmpl w:val="2228AEB0"/>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9" w15:restartNumberingAfterBreak="0">
    <w:nsid w:val="1D0C0E14"/>
    <w:multiLevelType w:val="hybridMultilevel"/>
    <w:tmpl w:val="D1B6B7DA"/>
    <w:lvl w:ilvl="0" w:tplc="6C36B4DA">
      <w:start w:val="1"/>
      <w:numFmt w:val="decimal"/>
      <w:lvlText w:val="%1."/>
      <w:lvlJc w:val="left"/>
      <w:pPr>
        <w:ind w:left="1305" w:hanging="420"/>
      </w:pPr>
      <w:rPr>
        <w:rFonts w:ascii="Arial" w:eastAsiaTheme="minorHAnsi" w:hAnsi="Arial" w:cs="Arial"/>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0" w15:restartNumberingAfterBreak="0">
    <w:nsid w:val="1FFF377A"/>
    <w:multiLevelType w:val="hybridMultilevel"/>
    <w:tmpl w:val="F962ED2C"/>
    <w:lvl w:ilvl="0" w:tplc="1BDE67FA">
      <w:numFmt w:val="bullet"/>
      <w:lvlText w:val="•"/>
      <w:lvlJc w:val="left"/>
      <w:pPr>
        <w:ind w:left="2190" w:hanging="420"/>
      </w:pPr>
      <w:rPr>
        <w:rFonts w:ascii="Arial" w:eastAsiaTheme="minorHAnsi" w:hAnsi="Arial" w:cs="Aria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1" w15:restartNumberingAfterBreak="0">
    <w:nsid w:val="23F81403"/>
    <w:multiLevelType w:val="hybridMultilevel"/>
    <w:tmpl w:val="2C261000"/>
    <w:lvl w:ilvl="0" w:tplc="47D05C00">
      <w:start w:val="1"/>
      <w:numFmt w:val="lowerLetter"/>
      <w:lvlText w:val="%1)"/>
      <w:lvlJc w:val="left"/>
      <w:pPr>
        <w:ind w:left="2555" w:hanging="360"/>
      </w:pPr>
      <w:rPr>
        <w:rFonts w:ascii="Arial" w:eastAsiaTheme="minorHAnsi" w:hAnsi="Arial" w:cs="Arial"/>
      </w:rPr>
    </w:lvl>
    <w:lvl w:ilvl="1" w:tplc="08090019" w:tentative="1">
      <w:start w:val="1"/>
      <w:numFmt w:val="lowerLetter"/>
      <w:lvlText w:val="%2."/>
      <w:lvlJc w:val="left"/>
      <w:pPr>
        <w:ind w:left="3275" w:hanging="360"/>
      </w:pPr>
    </w:lvl>
    <w:lvl w:ilvl="2" w:tplc="0809001B" w:tentative="1">
      <w:start w:val="1"/>
      <w:numFmt w:val="lowerRoman"/>
      <w:lvlText w:val="%3."/>
      <w:lvlJc w:val="right"/>
      <w:pPr>
        <w:ind w:left="3995" w:hanging="180"/>
      </w:pPr>
    </w:lvl>
    <w:lvl w:ilvl="3" w:tplc="0809000F" w:tentative="1">
      <w:start w:val="1"/>
      <w:numFmt w:val="decimal"/>
      <w:lvlText w:val="%4."/>
      <w:lvlJc w:val="left"/>
      <w:pPr>
        <w:ind w:left="4715" w:hanging="360"/>
      </w:pPr>
    </w:lvl>
    <w:lvl w:ilvl="4" w:tplc="08090019" w:tentative="1">
      <w:start w:val="1"/>
      <w:numFmt w:val="lowerLetter"/>
      <w:lvlText w:val="%5."/>
      <w:lvlJc w:val="left"/>
      <w:pPr>
        <w:ind w:left="5435" w:hanging="360"/>
      </w:pPr>
    </w:lvl>
    <w:lvl w:ilvl="5" w:tplc="0809001B" w:tentative="1">
      <w:start w:val="1"/>
      <w:numFmt w:val="lowerRoman"/>
      <w:lvlText w:val="%6."/>
      <w:lvlJc w:val="right"/>
      <w:pPr>
        <w:ind w:left="6155" w:hanging="180"/>
      </w:pPr>
    </w:lvl>
    <w:lvl w:ilvl="6" w:tplc="0809000F" w:tentative="1">
      <w:start w:val="1"/>
      <w:numFmt w:val="decimal"/>
      <w:lvlText w:val="%7."/>
      <w:lvlJc w:val="left"/>
      <w:pPr>
        <w:ind w:left="6875" w:hanging="360"/>
      </w:pPr>
    </w:lvl>
    <w:lvl w:ilvl="7" w:tplc="08090019" w:tentative="1">
      <w:start w:val="1"/>
      <w:numFmt w:val="lowerLetter"/>
      <w:lvlText w:val="%8."/>
      <w:lvlJc w:val="left"/>
      <w:pPr>
        <w:ind w:left="7595" w:hanging="360"/>
      </w:pPr>
    </w:lvl>
    <w:lvl w:ilvl="8" w:tplc="0809001B" w:tentative="1">
      <w:start w:val="1"/>
      <w:numFmt w:val="lowerRoman"/>
      <w:lvlText w:val="%9."/>
      <w:lvlJc w:val="right"/>
      <w:pPr>
        <w:ind w:left="8315" w:hanging="180"/>
      </w:pPr>
    </w:lvl>
  </w:abstractNum>
  <w:abstractNum w:abstractNumId="12" w15:restartNumberingAfterBreak="0">
    <w:nsid w:val="24D66A4B"/>
    <w:multiLevelType w:val="hybridMultilevel"/>
    <w:tmpl w:val="05E819A8"/>
    <w:lvl w:ilvl="0" w:tplc="6E3ED5F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D36E2"/>
    <w:multiLevelType w:val="hybridMultilevel"/>
    <w:tmpl w:val="F3E40A00"/>
    <w:lvl w:ilvl="0" w:tplc="564C25FE">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4" w15:restartNumberingAfterBreak="0">
    <w:nsid w:val="30352152"/>
    <w:multiLevelType w:val="hybridMultilevel"/>
    <w:tmpl w:val="8D1CED3E"/>
    <w:lvl w:ilvl="0" w:tplc="DC541BB0">
      <w:start w:val="1"/>
      <w:numFmt w:val="lowerLetter"/>
      <w:lvlText w:val="%1)"/>
      <w:lvlJc w:val="left"/>
      <w:pPr>
        <w:ind w:left="1610" w:hanging="360"/>
      </w:pPr>
      <w:rPr>
        <w:rFonts w:hint="default"/>
      </w:rPr>
    </w:lvl>
    <w:lvl w:ilvl="1" w:tplc="08090019" w:tentative="1">
      <w:start w:val="1"/>
      <w:numFmt w:val="lowerLetter"/>
      <w:lvlText w:val="%2."/>
      <w:lvlJc w:val="left"/>
      <w:pPr>
        <w:ind w:left="2330" w:hanging="360"/>
      </w:pPr>
    </w:lvl>
    <w:lvl w:ilvl="2" w:tplc="0809001B" w:tentative="1">
      <w:start w:val="1"/>
      <w:numFmt w:val="lowerRoman"/>
      <w:lvlText w:val="%3."/>
      <w:lvlJc w:val="right"/>
      <w:pPr>
        <w:ind w:left="3050" w:hanging="180"/>
      </w:pPr>
    </w:lvl>
    <w:lvl w:ilvl="3" w:tplc="0809000F" w:tentative="1">
      <w:start w:val="1"/>
      <w:numFmt w:val="decimal"/>
      <w:lvlText w:val="%4."/>
      <w:lvlJc w:val="left"/>
      <w:pPr>
        <w:ind w:left="3770" w:hanging="360"/>
      </w:pPr>
    </w:lvl>
    <w:lvl w:ilvl="4" w:tplc="08090019" w:tentative="1">
      <w:start w:val="1"/>
      <w:numFmt w:val="lowerLetter"/>
      <w:lvlText w:val="%5."/>
      <w:lvlJc w:val="left"/>
      <w:pPr>
        <w:ind w:left="4490" w:hanging="360"/>
      </w:pPr>
    </w:lvl>
    <w:lvl w:ilvl="5" w:tplc="0809001B" w:tentative="1">
      <w:start w:val="1"/>
      <w:numFmt w:val="lowerRoman"/>
      <w:lvlText w:val="%6."/>
      <w:lvlJc w:val="right"/>
      <w:pPr>
        <w:ind w:left="5210" w:hanging="180"/>
      </w:pPr>
    </w:lvl>
    <w:lvl w:ilvl="6" w:tplc="0809000F" w:tentative="1">
      <w:start w:val="1"/>
      <w:numFmt w:val="decimal"/>
      <w:lvlText w:val="%7."/>
      <w:lvlJc w:val="left"/>
      <w:pPr>
        <w:ind w:left="5930" w:hanging="360"/>
      </w:pPr>
    </w:lvl>
    <w:lvl w:ilvl="7" w:tplc="08090019" w:tentative="1">
      <w:start w:val="1"/>
      <w:numFmt w:val="lowerLetter"/>
      <w:lvlText w:val="%8."/>
      <w:lvlJc w:val="left"/>
      <w:pPr>
        <w:ind w:left="6650" w:hanging="360"/>
      </w:pPr>
    </w:lvl>
    <w:lvl w:ilvl="8" w:tplc="0809001B" w:tentative="1">
      <w:start w:val="1"/>
      <w:numFmt w:val="lowerRoman"/>
      <w:lvlText w:val="%9."/>
      <w:lvlJc w:val="right"/>
      <w:pPr>
        <w:ind w:left="7370" w:hanging="180"/>
      </w:pPr>
    </w:lvl>
  </w:abstractNum>
  <w:abstractNum w:abstractNumId="15" w15:restartNumberingAfterBreak="0">
    <w:nsid w:val="35DD0FC5"/>
    <w:multiLevelType w:val="hybridMultilevel"/>
    <w:tmpl w:val="32BCC8F8"/>
    <w:lvl w:ilvl="0" w:tplc="4F606506">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6" w15:restartNumberingAfterBreak="0">
    <w:nsid w:val="3A841BC2"/>
    <w:multiLevelType w:val="hybridMultilevel"/>
    <w:tmpl w:val="6268BC70"/>
    <w:lvl w:ilvl="0" w:tplc="284C5E9E">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7" w15:restartNumberingAfterBreak="0">
    <w:nsid w:val="3B766669"/>
    <w:multiLevelType w:val="hybridMultilevel"/>
    <w:tmpl w:val="F022DFEC"/>
    <w:lvl w:ilvl="0" w:tplc="F9421744">
      <w:start w:val="1"/>
      <w:numFmt w:val="decimal"/>
      <w:lvlText w:val="%1."/>
      <w:lvlJc w:val="left"/>
      <w:pPr>
        <w:ind w:left="1250" w:hanging="360"/>
      </w:pPr>
      <w:rPr>
        <w:rFonts w:hint="default"/>
      </w:rPr>
    </w:lvl>
    <w:lvl w:ilvl="1" w:tplc="08090019">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8" w15:restartNumberingAfterBreak="0">
    <w:nsid w:val="3EBE47F3"/>
    <w:multiLevelType w:val="hybridMultilevel"/>
    <w:tmpl w:val="D196EDFE"/>
    <w:lvl w:ilvl="0" w:tplc="08090001">
      <w:start w:val="1"/>
      <w:numFmt w:val="bullet"/>
      <w:lvlText w:val=""/>
      <w:lvlJc w:val="left"/>
      <w:pPr>
        <w:ind w:left="1970" w:hanging="360"/>
      </w:pPr>
      <w:rPr>
        <w:rFonts w:ascii="Symbol" w:hAnsi="Symbol" w:hint="default"/>
      </w:rPr>
    </w:lvl>
    <w:lvl w:ilvl="1" w:tplc="08090003" w:tentative="1">
      <w:start w:val="1"/>
      <w:numFmt w:val="bullet"/>
      <w:lvlText w:val="o"/>
      <w:lvlJc w:val="left"/>
      <w:pPr>
        <w:ind w:left="2690" w:hanging="360"/>
      </w:pPr>
      <w:rPr>
        <w:rFonts w:ascii="Courier New" w:hAnsi="Courier New" w:cs="Courier New" w:hint="default"/>
      </w:rPr>
    </w:lvl>
    <w:lvl w:ilvl="2" w:tplc="08090005" w:tentative="1">
      <w:start w:val="1"/>
      <w:numFmt w:val="bullet"/>
      <w:lvlText w:val=""/>
      <w:lvlJc w:val="left"/>
      <w:pPr>
        <w:ind w:left="3410" w:hanging="360"/>
      </w:pPr>
      <w:rPr>
        <w:rFonts w:ascii="Wingdings" w:hAnsi="Wingdings" w:hint="default"/>
      </w:rPr>
    </w:lvl>
    <w:lvl w:ilvl="3" w:tplc="08090001" w:tentative="1">
      <w:start w:val="1"/>
      <w:numFmt w:val="bullet"/>
      <w:lvlText w:val=""/>
      <w:lvlJc w:val="left"/>
      <w:pPr>
        <w:ind w:left="4130" w:hanging="360"/>
      </w:pPr>
      <w:rPr>
        <w:rFonts w:ascii="Symbol" w:hAnsi="Symbol" w:hint="default"/>
      </w:rPr>
    </w:lvl>
    <w:lvl w:ilvl="4" w:tplc="08090003" w:tentative="1">
      <w:start w:val="1"/>
      <w:numFmt w:val="bullet"/>
      <w:lvlText w:val="o"/>
      <w:lvlJc w:val="left"/>
      <w:pPr>
        <w:ind w:left="4850" w:hanging="360"/>
      </w:pPr>
      <w:rPr>
        <w:rFonts w:ascii="Courier New" w:hAnsi="Courier New" w:cs="Courier New" w:hint="default"/>
      </w:rPr>
    </w:lvl>
    <w:lvl w:ilvl="5" w:tplc="08090005" w:tentative="1">
      <w:start w:val="1"/>
      <w:numFmt w:val="bullet"/>
      <w:lvlText w:val=""/>
      <w:lvlJc w:val="left"/>
      <w:pPr>
        <w:ind w:left="5570" w:hanging="360"/>
      </w:pPr>
      <w:rPr>
        <w:rFonts w:ascii="Wingdings" w:hAnsi="Wingdings" w:hint="default"/>
      </w:rPr>
    </w:lvl>
    <w:lvl w:ilvl="6" w:tplc="08090001" w:tentative="1">
      <w:start w:val="1"/>
      <w:numFmt w:val="bullet"/>
      <w:lvlText w:val=""/>
      <w:lvlJc w:val="left"/>
      <w:pPr>
        <w:ind w:left="6290" w:hanging="360"/>
      </w:pPr>
      <w:rPr>
        <w:rFonts w:ascii="Symbol" w:hAnsi="Symbol" w:hint="default"/>
      </w:rPr>
    </w:lvl>
    <w:lvl w:ilvl="7" w:tplc="08090003" w:tentative="1">
      <w:start w:val="1"/>
      <w:numFmt w:val="bullet"/>
      <w:lvlText w:val="o"/>
      <w:lvlJc w:val="left"/>
      <w:pPr>
        <w:ind w:left="7010" w:hanging="360"/>
      </w:pPr>
      <w:rPr>
        <w:rFonts w:ascii="Courier New" w:hAnsi="Courier New" w:cs="Courier New" w:hint="default"/>
      </w:rPr>
    </w:lvl>
    <w:lvl w:ilvl="8" w:tplc="08090005" w:tentative="1">
      <w:start w:val="1"/>
      <w:numFmt w:val="bullet"/>
      <w:lvlText w:val=""/>
      <w:lvlJc w:val="left"/>
      <w:pPr>
        <w:ind w:left="7730" w:hanging="360"/>
      </w:pPr>
      <w:rPr>
        <w:rFonts w:ascii="Wingdings" w:hAnsi="Wingdings" w:hint="default"/>
      </w:rPr>
    </w:lvl>
  </w:abstractNum>
  <w:abstractNum w:abstractNumId="19" w15:restartNumberingAfterBreak="0">
    <w:nsid w:val="44151022"/>
    <w:multiLevelType w:val="hybridMultilevel"/>
    <w:tmpl w:val="5BB48A78"/>
    <w:lvl w:ilvl="0" w:tplc="583C590A">
      <w:start w:val="1"/>
      <w:numFmt w:val="lowerLetter"/>
      <w:lvlText w:val="%1)"/>
      <w:lvlJc w:val="left"/>
      <w:pPr>
        <w:ind w:left="1610" w:hanging="360"/>
      </w:pPr>
      <w:rPr>
        <w:rFonts w:hint="default"/>
      </w:rPr>
    </w:lvl>
    <w:lvl w:ilvl="1" w:tplc="08090019" w:tentative="1">
      <w:start w:val="1"/>
      <w:numFmt w:val="lowerLetter"/>
      <w:lvlText w:val="%2."/>
      <w:lvlJc w:val="left"/>
      <w:pPr>
        <w:ind w:left="2330" w:hanging="360"/>
      </w:pPr>
    </w:lvl>
    <w:lvl w:ilvl="2" w:tplc="0809001B" w:tentative="1">
      <w:start w:val="1"/>
      <w:numFmt w:val="lowerRoman"/>
      <w:lvlText w:val="%3."/>
      <w:lvlJc w:val="right"/>
      <w:pPr>
        <w:ind w:left="3050" w:hanging="180"/>
      </w:pPr>
    </w:lvl>
    <w:lvl w:ilvl="3" w:tplc="0809000F" w:tentative="1">
      <w:start w:val="1"/>
      <w:numFmt w:val="decimal"/>
      <w:lvlText w:val="%4."/>
      <w:lvlJc w:val="left"/>
      <w:pPr>
        <w:ind w:left="3770" w:hanging="360"/>
      </w:pPr>
    </w:lvl>
    <w:lvl w:ilvl="4" w:tplc="08090019" w:tentative="1">
      <w:start w:val="1"/>
      <w:numFmt w:val="lowerLetter"/>
      <w:lvlText w:val="%5."/>
      <w:lvlJc w:val="left"/>
      <w:pPr>
        <w:ind w:left="4490" w:hanging="360"/>
      </w:pPr>
    </w:lvl>
    <w:lvl w:ilvl="5" w:tplc="0809001B" w:tentative="1">
      <w:start w:val="1"/>
      <w:numFmt w:val="lowerRoman"/>
      <w:lvlText w:val="%6."/>
      <w:lvlJc w:val="right"/>
      <w:pPr>
        <w:ind w:left="5210" w:hanging="180"/>
      </w:pPr>
    </w:lvl>
    <w:lvl w:ilvl="6" w:tplc="0809000F" w:tentative="1">
      <w:start w:val="1"/>
      <w:numFmt w:val="decimal"/>
      <w:lvlText w:val="%7."/>
      <w:lvlJc w:val="left"/>
      <w:pPr>
        <w:ind w:left="5930" w:hanging="360"/>
      </w:pPr>
    </w:lvl>
    <w:lvl w:ilvl="7" w:tplc="08090019" w:tentative="1">
      <w:start w:val="1"/>
      <w:numFmt w:val="lowerLetter"/>
      <w:lvlText w:val="%8."/>
      <w:lvlJc w:val="left"/>
      <w:pPr>
        <w:ind w:left="6650" w:hanging="360"/>
      </w:pPr>
    </w:lvl>
    <w:lvl w:ilvl="8" w:tplc="0809001B" w:tentative="1">
      <w:start w:val="1"/>
      <w:numFmt w:val="lowerRoman"/>
      <w:lvlText w:val="%9."/>
      <w:lvlJc w:val="right"/>
      <w:pPr>
        <w:ind w:left="7370" w:hanging="180"/>
      </w:pPr>
    </w:lvl>
  </w:abstractNum>
  <w:abstractNum w:abstractNumId="20" w15:restartNumberingAfterBreak="0">
    <w:nsid w:val="4F6B0C78"/>
    <w:multiLevelType w:val="hybridMultilevel"/>
    <w:tmpl w:val="8938A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04AA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6931456"/>
    <w:multiLevelType w:val="hybridMultilevel"/>
    <w:tmpl w:val="73A62D54"/>
    <w:lvl w:ilvl="0" w:tplc="244E27F6">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23" w15:restartNumberingAfterBreak="0">
    <w:nsid w:val="5AB053A1"/>
    <w:multiLevelType w:val="hybridMultilevel"/>
    <w:tmpl w:val="99F85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252C0"/>
    <w:multiLevelType w:val="hybridMultilevel"/>
    <w:tmpl w:val="F022DFEC"/>
    <w:lvl w:ilvl="0" w:tplc="F9421744">
      <w:start w:val="1"/>
      <w:numFmt w:val="decimal"/>
      <w:lvlText w:val="%1."/>
      <w:lvlJc w:val="left"/>
      <w:pPr>
        <w:ind w:left="1250" w:hanging="360"/>
      </w:pPr>
      <w:rPr>
        <w:rFonts w:hint="default"/>
      </w:rPr>
    </w:lvl>
    <w:lvl w:ilvl="1" w:tplc="08090019">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25" w15:restartNumberingAfterBreak="0">
    <w:nsid w:val="6B266863"/>
    <w:multiLevelType w:val="hybridMultilevel"/>
    <w:tmpl w:val="B4EA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B0A8D"/>
    <w:multiLevelType w:val="hybridMultilevel"/>
    <w:tmpl w:val="918C22FC"/>
    <w:lvl w:ilvl="0" w:tplc="86247888">
      <w:start w:val="1"/>
      <w:numFmt w:val="lowerLetter"/>
      <w:lvlText w:val="%1)"/>
      <w:lvlJc w:val="left"/>
      <w:pPr>
        <w:ind w:left="1610" w:hanging="360"/>
      </w:pPr>
      <w:rPr>
        <w:rFonts w:hint="default"/>
      </w:rPr>
    </w:lvl>
    <w:lvl w:ilvl="1" w:tplc="08090019" w:tentative="1">
      <w:start w:val="1"/>
      <w:numFmt w:val="lowerLetter"/>
      <w:lvlText w:val="%2."/>
      <w:lvlJc w:val="left"/>
      <w:pPr>
        <w:ind w:left="2330" w:hanging="360"/>
      </w:pPr>
    </w:lvl>
    <w:lvl w:ilvl="2" w:tplc="0809001B" w:tentative="1">
      <w:start w:val="1"/>
      <w:numFmt w:val="lowerRoman"/>
      <w:lvlText w:val="%3."/>
      <w:lvlJc w:val="right"/>
      <w:pPr>
        <w:ind w:left="3050" w:hanging="180"/>
      </w:pPr>
    </w:lvl>
    <w:lvl w:ilvl="3" w:tplc="0809000F" w:tentative="1">
      <w:start w:val="1"/>
      <w:numFmt w:val="decimal"/>
      <w:lvlText w:val="%4."/>
      <w:lvlJc w:val="left"/>
      <w:pPr>
        <w:ind w:left="3770" w:hanging="360"/>
      </w:pPr>
    </w:lvl>
    <w:lvl w:ilvl="4" w:tplc="08090019" w:tentative="1">
      <w:start w:val="1"/>
      <w:numFmt w:val="lowerLetter"/>
      <w:lvlText w:val="%5."/>
      <w:lvlJc w:val="left"/>
      <w:pPr>
        <w:ind w:left="4490" w:hanging="360"/>
      </w:pPr>
    </w:lvl>
    <w:lvl w:ilvl="5" w:tplc="0809001B" w:tentative="1">
      <w:start w:val="1"/>
      <w:numFmt w:val="lowerRoman"/>
      <w:lvlText w:val="%6."/>
      <w:lvlJc w:val="right"/>
      <w:pPr>
        <w:ind w:left="5210" w:hanging="180"/>
      </w:pPr>
    </w:lvl>
    <w:lvl w:ilvl="6" w:tplc="0809000F" w:tentative="1">
      <w:start w:val="1"/>
      <w:numFmt w:val="decimal"/>
      <w:lvlText w:val="%7."/>
      <w:lvlJc w:val="left"/>
      <w:pPr>
        <w:ind w:left="5930" w:hanging="360"/>
      </w:pPr>
    </w:lvl>
    <w:lvl w:ilvl="7" w:tplc="08090019" w:tentative="1">
      <w:start w:val="1"/>
      <w:numFmt w:val="lowerLetter"/>
      <w:lvlText w:val="%8."/>
      <w:lvlJc w:val="left"/>
      <w:pPr>
        <w:ind w:left="6650" w:hanging="360"/>
      </w:pPr>
    </w:lvl>
    <w:lvl w:ilvl="8" w:tplc="0809001B" w:tentative="1">
      <w:start w:val="1"/>
      <w:numFmt w:val="lowerRoman"/>
      <w:lvlText w:val="%9."/>
      <w:lvlJc w:val="right"/>
      <w:pPr>
        <w:ind w:left="7370" w:hanging="180"/>
      </w:pPr>
    </w:lvl>
  </w:abstractNum>
  <w:abstractNum w:abstractNumId="27" w15:restartNumberingAfterBreak="0">
    <w:nsid w:val="73915DC4"/>
    <w:multiLevelType w:val="hybridMultilevel"/>
    <w:tmpl w:val="5CDA78AC"/>
    <w:lvl w:ilvl="0" w:tplc="81D8A584">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28" w15:restartNumberingAfterBreak="0">
    <w:nsid w:val="741F25E0"/>
    <w:multiLevelType w:val="hybridMultilevel"/>
    <w:tmpl w:val="ADDC7E86"/>
    <w:lvl w:ilvl="0" w:tplc="68947A14">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29" w15:restartNumberingAfterBreak="0">
    <w:nsid w:val="74BF0577"/>
    <w:multiLevelType w:val="hybridMultilevel"/>
    <w:tmpl w:val="5CDA78AC"/>
    <w:lvl w:ilvl="0" w:tplc="81D8A584">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30" w15:restartNumberingAfterBreak="0">
    <w:nsid w:val="750213D1"/>
    <w:multiLevelType w:val="hybridMultilevel"/>
    <w:tmpl w:val="F022DFEC"/>
    <w:lvl w:ilvl="0" w:tplc="F9421744">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31" w15:restartNumberingAfterBreak="0">
    <w:nsid w:val="777B7BF6"/>
    <w:multiLevelType w:val="hybridMultilevel"/>
    <w:tmpl w:val="0DBC5E78"/>
    <w:lvl w:ilvl="0" w:tplc="631463E6">
      <w:start w:val="1"/>
      <w:numFmt w:val="decimal"/>
      <w:lvlText w:val="%1."/>
      <w:lvlJc w:val="left"/>
      <w:pPr>
        <w:ind w:left="1250" w:hanging="360"/>
      </w:pPr>
      <w:rPr>
        <w:rFonts w:hint="default"/>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num w:numId="1">
    <w:abstractNumId w:val="8"/>
  </w:num>
  <w:num w:numId="2">
    <w:abstractNumId w:val="4"/>
  </w:num>
  <w:num w:numId="3">
    <w:abstractNumId w:val="15"/>
  </w:num>
  <w:num w:numId="4">
    <w:abstractNumId w:val="10"/>
  </w:num>
  <w:num w:numId="5">
    <w:abstractNumId w:val="7"/>
  </w:num>
  <w:num w:numId="6">
    <w:abstractNumId w:val="0"/>
  </w:num>
  <w:num w:numId="7">
    <w:abstractNumId w:val="11"/>
  </w:num>
  <w:num w:numId="8">
    <w:abstractNumId w:val="28"/>
  </w:num>
  <w:num w:numId="9">
    <w:abstractNumId w:val="31"/>
  </w:num>
  <w:num w:numId="10">
    <w:abstractNumId w:val="2"/>
  </w:num>
  <w:num w:numId="11">
    <w:abstractNumId w:val="13"/>
  </w:num>
  <w:num w:numId="12">
    <w:abstractNumId w:val="22"/>
  </w:num>
  <w:num w:numId="13">
    <w:abstractNumId w:val="16"/>
  </w:num>
  <w:num w:numId="14">
    <w:abstractNumId w:val="27"/>
  </w:num>
  <w:num w:numId="15">
    <w:abstractNumId w:val="3"/>
  </w:num>
  <w:num w:numId="16">
    <w:abstractNumId w:val="19"/>
  </w:num>
  <w:num w:numId="17">
    <w:abstractNumId w:val="26"/>
  </w:num>
  <w:num w:numId="18">
    <w:abstractNumId w:val="18"/>
  </w:num>
  <w:num w:numId="19">
    <w:abstractNumId w:val="14"/>
  </w:num>
  <w:num w:numId="20">
    <w:abstractNumId w:val="1"/>
  </w:num>
  <w:num w:numId="21">
    <w:abstractNumId w:val="24"/>
  </w:num>
  <w:num w:numId="22">
    <w:abstractNumId w:val="17"/>
  </w:num>
  <w:num w:numId="23">
    <w:abstractNumId w:val="30"/>
  </w:num>
  <w:num w:numId="24">
    <w:abstractNumId w:val="29"/>
  </w:num>
  <w:num w:numId="25">
    <w:abstractNumId w:val="6"/>
  </w:num>
  <w:num w:numId="26">
    <w:abstractNumId w:val="21"/>
  </w:num>
  <w:num w:numId="27">
    <w:abstractNumId w:val="25"/>
  </w:num>
  <w:num w:numId="28">
    <w:abstractNumId w:val="9"/>
  </w:num>
  <w:num w:numId="29">
    <w:abstractNumId w:val="5"/>
  </w:num>
  <w:num w:numId="30">
    <w:abstractNumId w:val="12"/>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2D"/>
    <w:rsid w:val="00001951"/>
    <w:rsid w:val="000021C0"/>
    <w:rsid w:val="00015BB6"/>
    <w:rsid w:val="00015F49"/>
    <w:rsid w:val="000201F6"/>
    <w:rsid w:val="0003444A"/>
    <w:rsid w:val="00037971"/>
    <w:rsid w:val="00053944"/>
    <w:rsid w:val="00053E57"/>
    <w:rsid w:val="0006269B"/>
    <w:rsid w:val="00073930"/>
    <w:rsid w:val="00084632"/>
    <w:rsid w:val="00090D26"/>
    <w:rsid w:val="000920D2"/>
    <w:rsid w:val="000A17ED"/>
    <w:rsid w:val="000F0B03"/>
    <w:rsid w:val="00110D7A"/>
    <w:rsid w:val="0011270A"/>
    <w:rsid w:val="00116A9C"/>
    <w:rsid w:val="00122CF3"/>
    <w:rsid w:val="001317FF"/>
    <w:rsid w:val="00134513"/>
    <w:rsid w:val="00140B1A"/>
    <w:rsid w:val="00141BBC"/>
    <w:rsid w:val="001433DC"/>
    <w:rsid w:val="0014416C"/>
    <w:rsid w:val="00155A12"/>
    <w:rsid w:val="00157DD6"/>
    <w:rsid w:val="00163877"/>
    <w:rsid w:val="00186A23"/>
    <w:rsid w:val="001927C9"/>
    <w:rsid w:val="0019739E"/>
    <w:rsid w:val="001A198E"/>
    <w:rsid w:val="001B3068"/>
    <w:rsid w:val="001D5EFE"/>
    <w:rsid w:val="001F3EFE"/>
    <w:rsid w:val="001F7F68"/>
    <w:rsid w:val="00210E50"/>
    <w:rsid w:val="002135D1"/>
    <w:rsid w:val="00216291"/>
    <w:rsid w:val="00225690"/>
    <w:rsid w:val="00230EC8"/>
    <w:rsid w:val="00232226"/>
    <w:rsid w:val="002422C7"/>
    <w:rsid w:val="00250DC8"/>
    <w:rsid w:val="002539F7"/>
    <w:rsid w:val="00261772"/>
    <w:rsid w:val="00264AE1"/>
    <w:rsid w:val="00265AC6"/>
    <w:rsid w:val="0026729F"/>
    <w:rsid w:val="002709AA"/>
    <w:rsid w:val="00274839"/>
    <w:rsid w:val="002842B1"/>
    <w:rsid w:val="002875E4"/>
    <w:rsid w:val="00294354"/>
    <w:rsid w:val="002B10C3"/>
    <w:rsid w:val="002C0DA2"/>
    <w:rsid w:val="002C4282"/>
    <w:rsid w:val="002D0D77"/>
    <w:rsid w:val="002F08E2"/>
    <w:rsid w:val="002F0CB5"/>
    <w:rsid w:val="002F556E"/>
    <w:rsid w:val="00313E42"/>
    <w:rsid w:val="003145F2"/>
    <w:rsid w:val="00327BCE"/>
    <w:rsid w:val="00332A32"/>
    <w:rsid w:val="00337D76"/>
    <w:rsid w:val="00351902"/>
    <w:rsid w:val="0035331F"/>
    <w:rsid w:val="00356D45"/>
    <w:rsid w:val="0036026B"/>
    <w:rsid w:val="00364D07"/>
    <w:rsid w:val="003679FF"/>
    <w:rsid w:val="00373BEA"/>
    <w:rsid w:val="003828B4"/>
    <w:rsid w:val="003935F6"/>
    <w:rsid w:val="00394D8C"/>
    <w:rsid w:val="0039589D"/>
    <w:rsid w:val="003A0B91"/>
    <w:rsid w:val="003A345B"/>
    <w:rsid w:val="003A3639"/>
    <w:rsid w:val="003B0745"/>
    <w:rsid w:val="003B2304"/>
    <w:rsid w:val="003B2EC9"/>
    <w:rsid w:val="003B7BB2"/>
    <w:rsid w:val="003C50B6"/>
    <w:rsid w:val="003C6207"/>
    <w:rsid w:val="003C71EC"/>
    <w:rsid w:val="003D40AE"/>
    <w:rsid w:val="003D4DD3"/>
    <w:rsid w:val="003E04FB"/>
    <w:rsid w:val="003F1BD0"/>
    <w:rsid w:val="003F2E33"/>
    <w:rsid w:val="004030EF"/>
    <w:rsid w:val="00406566"/>
    <w:rsid w:val="004071C6"/>
    <w:rsid w:val="00421B15"/>
    <w:rsid w:val="0043280F"/>
    <w:rsid w:val="004358C9"/>
    <w:rsid w:val="00435A04"/>
    <w:rsid w:val="00440A01"/>
    <w:rsid w:val="00443C1A"/>
    <w:rsid w:val="004549D8"/>
    <w:rsid w:val="0046130B"/>
    <w:rsid w:val="004649D0"/>
    <w:rsid w:val="004651E1"/>
    <w:rsid w:val="004701A7"/>
    <w:rsid w:val="00470A6E"/>
    <w:rsid w:val="00473A4F"/>
    <w:rsid w:val="0047670B"/>
    <w:rsid w:val="00485CD5"/>
    <w:rsid w:val="004862E8"/>
    <w:rsid w:val="004972FE"/>
    <w:rsid w:val="004A269F"/>
    <w:rsid w:val="004A300F"/>
    <w:rsid w:val="004B1AAA"/>
    <w:rsid w:val="004B655B"/>
    <w:rsid w:val="004B683D"/>
    <w:rsid w:val="004B7017"/>
    <w:rsid w:val="004C0031"/>
    <w:rsid w:val="004C22C4"/>
    <w:rsid w:val="004C731B"/>
    <w:rsid w:val="004D47AC"/>
    <w:rsid w:val="004D7640"/>
    <w:rsid w:val="004E3D1F"/>
    <w:rsid w:val="004E5C1D"/>
    <w:rsid w:val="004F2178"/>
    <w:rsid w:val="004F7D26"/>
    <w:rsid w:val="00500208"/>
    <w:rsid w:val="005030FB"/>
    <w:rsid w:val="00503BD1"/>
    <w:rsid w:val="00504134"/>
    <w:rsid w:val="005058EE"/>
    <w:rsid w:val="0050620D"/>
    <w:rsid w:val="005202F0"/>
    <w:rsid w:val="00521C7E"/>
    <w:rsid w:val="00522960"/>
    <w:rsid w:val="00542586"/>
    <w:rsid w:val="00564FF5"/>
    <w:rsid w:val="00566DE7"/>
    <w:rsid w:val="0058209D"/>
    <w:rsid w:val="005823BE"/>
    <w:rsid w:val="005914DF"/>
    <w:rsid w:val="0059171F"/>
    <w:rsid w:val="00594F75"/>
    <w:rsid w:val="00596A68"/>
    <w:rsid w:val="005B6FF8"/>
    <w:rsid w:val="005B75FD"/>
    <w:rsid w:val="005F0B62"/>
    <w:rsid w:val="005F2754"/>
    <w:rsid w:val="005F5EB4"/>
    <w:rsid w:val="005F63C4"/>
    <w:rsid w:val="005F7B18"/>
    <w:rsid w:val="00602C11"/>
    <w:rsid w:val="006044DA"/>
    <w:rsid w:val="00611AC7"/>
    <w:rsid w:val="00620885"/>
    <w:rsid w:val="006218B1"/>
    <w:rsid w:val="00622625"/>
    <w:rsid w:val="00623669"/>
    <w:rsid w:val="00630C5A"/>
    <w:rsid w:val="00632374"/>
    <w:rsid w:val="00632E26"/>
    <w:rsid w:val="00636048"/>
    <w:rsid w:val="006455CB"/>
    <w:rsid w:val="00662E34"/>
    <w:rsid w:val="0067237A"/>
    <w:rsid w:val="00675A6E"/>
    <w:rsid w:val="00676A85"/>
    <w:rsid w:val="00692BBC"/>
    <w:rsid w:val="00697D98"/>
    <w:rsid w:val="006A1303"/>
    <w:rsid w:val="006B0272"/>
    <w:rsid w:val="006B27E3"/>
    <w:rsid w:val="006B7079"/>
    <w:rsid w:val="006D6DDA"/>
    <w:rsid w:val="006E1DF0"/>
    <w:rsid w:val="006E3CDF"/>
    <w:rsid w:val="006F1B48"/>
    <w:rsid w:val="006F4461"/>
    <w:rsid w:val="00701DEB"/>
    <w:rsid w:val="00706549"/>
    <w:rsid w:val="00706DBA"/>
    <w:rsid w:val="00710016"/>
    <w:rsid w:val="007114BD"/>
    <w:rsid w:val="00715966"/>
    <w:rsid w:val="00716934"/>
    <w:rsid w:val="00720D9D"/>
    <w:rsid w:val="00725DD2"/>
    <w:rsid w:val="00726161"/>
    <w:rsid w:val="00736989"/>
    <w:rsid w:val="0073761F"/>
    <w:rsid w:val="00737D41"/>
    <w:rsid w:val="00743713"/>
    <w:rsid w:val="00746167"/>
    <w:rsid w:val="00746E08"/>
    <w:rsid w:val="00755B39"/>
    <w:rsid w:val="00766044"/>
    <w:rsid w:val="007674D8"/>
    <w:rsid w:val="00773958"/>
    <w:rsid w:val="00782FE9"/>
    <w:rsid w:val="0078400F"/>
    <w:rsid w:val="00790490"/>
    <w:rsid w:val="00792EB0"/>
    <w:rsid w:val="00795894"/>
    <w:rsid w:val="00795D2E"/>
    <w:rsid w:val="007A7336"/>
    <w:rsid w:val="007B337F"/>
    <w:rsid w:val="007B53E2"/>
    <w:rsid w:val="007B667D"/>
    <w:rsid w:val="007C4B8C"/>
    <w:rsid w:val="007D46EA"/>
    <w:rsid w:val="007D7724"/>
    <w:rsid w:val="007E39B1"/>
    <w:rsid w:val="007E68A7"/>
    <w:rsid w:val="007F507E"/>
    <w:rsid w:val="007F7AD0"/>
    <w:rsid w:val="00805211"/>
    <w:rsid w:val="00805375"/>
    <w:rsid w:val="00811EDC"/>
    <w:rsid w:val="0083548B"/>
    <w:rsid w:val="00840D3B"/>
    <w:rsid w:val="00842752"/>
    <w:rsid w:val="0085082D"/>
    <w:rsid w:val="00855BEF"/>
    <w:rsid w:val="00867502"/>
    <w:rsid w:val="00874840"/>
    <w:rsid w:val="00883501"/>
    <w:rsid w:val="008847EE"/>
    <w:rsid w:val="00885DF5"/>
    <w:rsid w:val="00885FAD"/>
    <w:rsid w:val="008A6E24"/>
    <w:rsid w:val="008A758D"/>
    <w:rsid w:val="008B64C6"/>
    <w:rsid w:val="008C0871"/>
    <w:rsid w:val="008C2E96"/>
    <w:rsid w:val="008C3913"/>
    <w:rsid w:val="008D3F2B"/>
    <w:rsid w:val="008D4A3C"/>
    <w:rsid w:val="008E1686"/>
    <w:rsid w:val="008F4021"/>
    <w:rsid w:val="00912FC9"/>
    <w:rsid w:val="00923F3E"/>
    <w:rsid w:val="009245D0"/>
    <w:rsid w:val="00927F7D"/>
    <w:rsid w:val="00933F22"/>
    <w:rsid w:val="009415D5"/>
    <w:rsid w:val="00952AB3"/>
    <w:rsid w:val="00954CCF"/>
    <w:rsid w:val="0096213E"/>
    <w:rsid w:val="00965835"/>
    <w:rsid w:val="00966DED"/>
    <w:rsid w:val="00982B75"/>
    <w:rsid w:val="009A3541"/>
    <w:rsid w:val="009A4C5F"/>
    <w:rsid w:val="009C0738"/>
    <w:rsid w:val="009D4D5C"/>
    <w:rsid w:val="009D5D8F"/>
    <w:rsid w:val="009D6354"/>
    <w:rsid w:val="009E0CC0"/>
    <w:rsid w:val="009E5A82"/>
    <w:rsid w:val="009E697D"/>
    <w:rsid w:val="009E7D7C"/>
    <w:rsid w:val="009F0891"/>
    <w:rsid w:val="009F7C67"/>
    <w:rsid w:val="00A029CB"/>
    <w:rsid w:val="00A03861"/>
    <w:rsid w:val="00A063E3"/>
    <w:rsid w:val="00A10201"/>
    <w:rsid w:val="00A12B26"/>
    <w:rsid w:val="00A22E88"/>
    <w:rsid w:val="00A24DA8"/>
    <w:rsid w:val="00A26498"/>
    <w:rsid w:val="00A30AD8"/>
    <w:rsid w:val="00A30CC0"/>
    <w:rsid w:val="00A318BF"/>
    <w:rsid w:val="00A31C9A"/>
    <w:rsid w:val="00A36F48"/>
    <w:rsid w:val="00A451ED"/>
    <w:rsid w:val="00A51A67"/>
    <w:rsid w:val="00A57C95"/>
    <w:rsid w:val="00A75170"/>
    <w:rsid w:val="00A801BC"/>
    <w:rsid w:val="00A8249B"/>
    <w:rsid w:val="00A848B7"/>
    <w:rsid w:val="00A84940"/>
    <w:rsid w:val="00A85512"/>
    <w:rsid w:val="00A96B94"/>
    <w:rsid w:val="00AA0870"/>
    <w:rsid w:val="00AA0C1D"/>
    <w:rsid w:val="00AA1CB7"/>
    <w:rsid w:val="00AC137B"/>
    <w:rsid w:val="00AC3D0A"/>
    <w:rsid w:val="00AC4370"/>
    <w:rsid w:val="00AE2868"/>
    <w:rsid w:val="00AE6D5D"/>
    <w:rsid w:val="00AF3501"/>
    <w:rsid w:val="00B00B59"/>
    <w:rsid w:val="00B01FC0"/>
    <w:rsid w:val="00B079C7"/>
    <w:rsid w:val="00B07D21"/>
    <w:rsid w:val="00B11228"/>
    <w:rsid w:val="00B1192A"/>
    <w:rsid w:val="00B15604"/>
    <w:rsid w:val="00B2183A"/>
    <w:rsid w:val="00B2275E"/>
    <w:rsid w:val="00B231B5"/>
    <w:rsid w:val="00B234AA"/>
    <w:rsid w:val="00B255D1"/>
    <w:rsid w:val="00B320F2"/>
    <w:rsid w:val="00B326E2"/>
    <w:rsid w:val="00B35F35"/>
    <w:rsid w:val="00B57C90"/>
    <w:rsid w:val="00B62024"/>
    <w:rsid w:val="00B77620"/>
    <w:rsid w:val="00B8264F"/>
    <w:rsid w:val="00B8459C"/>
    <w:rsid w:val="00B9640E"/>
    <w:rsid w:val="00B96DF8"/>
    <w:rsid w:val="00BA5AA0"/>
    <w:rsid w:val="00BA7B1C"/>
    <w:rsid w:val="00BB1D82"/>
    <w:rsid w:val="00BB30C0"/>
    <w:rsid w:val="00BB3455"/>
    <w:rsid w:val="00BC6995"/>
    <w:rsid w:val="00BC73AF"/>
    <w:rsid w:val="00BC74B7"/>
    <w:rsid w:val="00BD15D8"/>
    <w:rsid w:val="00BD6D67"/>
    <w:rsid w:val="00BD6EDB"/>
    <w:rsid w:val="00BE5EB1"/>
    <w:rsid w:val="00BE6BBB"/>
    <w:rsid w:val="00BF4653"/>
    <w:rsid w:val="00BF692F"/>
    <w:rsid w:val="00C01D9D"/>
    <w:rsid w:val="00C02950"/>
    <w:rsid w:val="00C10924"/>
    <w:rsid w:val="00C11EE4"/>
    <w:rsid w:val="00C167E8"/>
    <w:rsid w:val="00C17E01"/>
    <w:rsid w:val="00C21667"/>
    <w:rsid w:val="00C31D05"/>
    <w:rsid w:val="00C33231"/>
    <w:rsid w:val="00C52BB1"/>
    <w:rsid w:val="00C55B05"/>
    <w:rsid w:val="00C57755"/>
    <w:rsid w:val="00C60EFE"/>
    <w:rsid w:val="00C62D9E"/>
    <w:rsid w:val="00C67F4B"/>
    <w:rsid w:val="00C731C2"/>
    <w:rsid w:val="00C95799"/>
    <w:rsid w:val="00C95DDA"/>
    <w:rsid w:val="00CB0695"/>
    <w:rsid w:val="00CB4732"/>
    <w:rsid w:val="00CD3F62"/>
    <w:rsid w:val="00CE5299"/>
    <w:rsid w:val="00CE57D8"/>
    <w:rsid w:val="00CF6385"/>
    <w:rsid w:val="00D03507"/>
    <w:rsid w:val="00D12DE9"/>
    <w:rsid w:val="00D26673"/>
    <w:rsid w:val="00D270D1"/>
    <w:rsid w:val="00D47F96"/>
    <w:rsid w:val="00D537B8"/>
    <w:rsid w:val="00D54FA2"/>
    <w:rsid w:val="00D5576C"/>
    <w:rsid w:val="00D56F2A"/>
    <w:rsid w:val="00D63C83"/>
    <w:rsid w:val="00D66B25"/>
    <w:rsid w:val="00D7168A"/>
    <w:rsid w:val="00D72989"/>
    <w:rsid w:val="00D74CEA"/>
    <w:rsid w:val="00D82C29"/>
    <w:rsid w:val="00D871F6"/>
    <w:rsid w:val="00D93C9D"/>
    <w:rsid w:val="00D96F0A"/>
    <w:rsid w:val="00DA104C"/>
    <w:rsid w:val="00DA231D"/>
    <w:rsid w:val="00DC0687"/>
    <w:rsid w:val="00DC5421"/>
    <w:rsid w:val="00DD457D"/>
    <w:rsid w:val="00DE7AF1"/>
    <w:rsid w:val="00DF7ADD"/>
    <w:rsid w:val="00DF7F0D"/>
    <w:rsid w:val="00E1270B"/>
    <w:rsid w:val="00E170D0"/>
    <w:rsid w:val="00E206E4"/>
    <w:rsid w:val="00E31129"/>
    <w:rsid w:val="00E328C1"/>
    <w:rsid w:val="00E36DAF"/>
    <w:rsid w:val="00E71C3C"/>
    <w:rsid w:val="00E74634"/>
    <w:rsid w:val="00E74946"/>
    <w:rsid w:val="00E75A65"/>
    <w:rsid w:val="00E803C0"/>
    <w:rsid w:val="00E84E49"/>
    <w:rsid w:val="00E86C83"/>
    <w:rsid w:val="00E90F06"/>
    <w:rsid w:val="00E93B0D"/>
    <w:rsid w:val="00E95439"/>
    <w:rsid w:val="00EA481E"/>
    <w:rsid w:val="00EA5C0D"/>
    <w:rsid w:val="00ED5537"/>
    <w:rsid w:val="00EE4EDC"/>
    <w:rsid w:val="00EF2B55"/>
    <w:rsid w:val="00EF2CB1"/>
    <w:rsid w:val="00EF4DF7"/>
    <w:rsid w:val="00EF69F1"/>
    <w:rsid w:val="00EF6A29"/>
    <w:rsid w:val="00F04404"/>
    <w:rsid w:val="00F04E98"/>
    <w:rsid w:val="00F07FED"/>
    <w:rsid w:val="00F17DB6"/>
    <w:rsid w:val="00F331C7"/>
    <w:rsid w:val="00F34E85"/>
    <w:rsid w:val="00F42182"/>
    <w:rsid w:val="00F47539"/>
    <w:rsid w:val="00F5497F"/>
    <w:rsid w:val="00F56D00"/>
    <w:rsid w:val="00F57C6A"/>
    <w:rsid w:val="00F622F5"/>
    <w:rsid w:val="00F62742"/>
    <w:rsid w:val="00F62962"/>
    <w:rsid w:val="00F65D77"/>
    <w:rsid w:val="00F729D8"/>
    <w:rsid w:val="00F73CAD"/>
    <w:rsid w:val="00F76B4E"/>
    <w:rsid w:val="00F838DB"/>
    <w:rsid w:val="00F877D7"/>
    <w:rsid w:val="00F91A20"/>
    <w:rsid w:val="00F9623B"/>
    <w:rsid w:val="00F97BAA"/>
    <w:rsid w:val="00FA0466"/>
    <w:rsid w:val="00FA4809"/>
    <w:rsid w:val="00FB0FA0"/>
    <w:rsid w:val="00FB3F4F"/>
    <w:rsid w:val="00FB773E"/>
    <w:rsid w:val="00FC22C9"/>
    <w:rsid w:val="00FD0E63"/>
    <w:rsid w:val="00FD505F"/>
    <w:rsid w:val="00FD672A"/>
    <w:rsid w:val="00FE4035"/>
    <w:rsid w:val="00FE4324"/>
    <w:rsid w:val="00FE522D"/>
    <w:rsid w:val="00FE60DF"/>
    <w:rsid w:val="00FE6734"/>
    <w:rsid w:val="00FE7D55"/>
    <w:rsid w:val="00FF1456"/>
    <w:rsid w:val="00FF68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2B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8C1"/>
    <w:pPr>
      <w:keepNext/>
      <w:keepLines/>
      <w:numPr>
        <w:numId w:val="26"/>
      </w:numPr>
      <w:tabs>
        <w:tab w:val="left" w:pos="1735"/>
      </w:tabs>
      <w:spacing w:after="0" w:line="276" w:lineRule="auto"/>
      <w:outlineLvl w:val="0"/>
    </w:pPr>
    <w:rPr>
      <w:rFonts w:ascii="Arial" w:eastAsiaTheme="majorEastAsia" w:hAnsi="Arial" w:cs="Arial"/>
      <w:sz w:val="36"/>
      <w:lang w:val="en-US"/>
    </w:rPr>
  </w:style>
  <w:style w:type="paragraph" w:styleId="Heading2">
    <w:name w:val="heading 2"/>
    <w:basedOn w:val="Normal"/>
    <w:next w:val="Normal"/>
    <w:link w:val="Heading2Char"/>
    <w:uiPriority w:val="9"/>
    <w:unhideWhenUsed/>
    <w:qFormat/>
    <w:rsid w:val="00E328C1"/>
    <w:pPr>
      <w:numPr>
        <w:ilvl w:val="1"/>
        <w:numId w:val="26"/>
      </w:numPr>
      <w:spacing w:after="0" w:line="276" w:lineRule="auto"/>
      <w:outlineLvl w:val="1"/>
    </w:pPr>
    <w:rPr>
      <w:rFonts w:ascii="Arial" w:hAnsi="Arial" w:cs="Arial"/>
      <w:b/>
    </w:rPr>
  </w:style>
  <w:style w:type="paragraph" w:styleId="Heading3">
    <w:name w:val="heading 3"/>
    <w:basedOn w:val="Normal"/>
    <w:next w:val="Normal"/>
    <w:link w:val="Heading3Char"/>
    <w:uiPriority w:val="9"/>
    <w:semiHidden/>
    <w:unhideWhenUsed/>
    <w:qFormat/>
    <w:rsid w:val="00E328C1"/>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28C1"/>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14BD"/>
    <w:pPr>
      <w:keepNext/>
      <w:keepLines/>
      <w:numPr>
        <w:ilvl w:val="4"/>
        <w:numId w:val="26"/>
      </w:numPr>
      <w:tabs>
        <w:tab w:val="left" w:pos="1735"/>
      </w:tabs>
      <w:spacing w:after="0" w:line="276" w:lineRule="auto"/>
      <w:outlineLvl w:val="4"/>
    </w:pPr>
    <w:rPr>
      <w:rFonts w:ascii="Arial" w:eastAsiaTheme="majorEastAsia" w:hAnsi="Arial" w:cstheme="majorBidi"/>
      <w:b/>
      <w:sz w:val="24"/>
      <w:szCs w:val="24"/>
      <w:lang w:val="en-US"/>
    </w:rPr>
  </w:style>
  <w:style w:type="paragraph" w:styleId="Heading6">
    <w:name w:val="heading 6"/>
    <w:basedOn w:val="Normal"/>
    <w:next w:val="Normal"/>
    <w:link w:val="Heading6Char"/>
    <w:uiPriority w:val="9"/>
    <w:semiHidden/>
    <w:unhideWhenUsed/>
    <w:qFormat/>
    <w:rsid w:val="00E328C1"/>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328C1"/>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328C1"/>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28C1"/>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14BD"/>
    <w:rPr>
      <w:rFonts w:ascii="Arial" w:eastAsiaTheme="majorEastAsia" w:hAnsi="Arial" w:cstheme="majorBidi"/>
      <w:b/>
      <w:sz w:val="24"/>
      <w:szCs w:val="24"/>
      <w:lang w:val="en-US"/>
    </w:rPr>
  </w:style>
  <w:style w:type="table" w:styleId="TableGrid">
    <w:name w:val="Table Grid"/>
    <w:basedOn w:val="TableNormal"/>
    <w:uiPriority w:val="59"/>
    <w:rsid w:val="0071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body"/>
    <w:basedOn w:val="Normal"/>
    <w:uiPriority w:val="1"/>
    <w:qFormat/>
    <w:rsid w:val="007114BD"/>
    <w:pPr>
      <w:spacing w:before="120" w:after="0" w:line="276" w:lineRule="auto"/>
      <w:ind w:left="28"/>
    </w:pPr>
    <w:rPr>
      <w:rFonts w:ascii="Arial" w:hAnsi="Arial" w:cs="Arial"/>
      <w:sz w:val="20"/>
      <w:szCs w:val="24"/>
    </w:rPr>
  </w:style>
  <w:style w:type="character" w:customStyle="1" w:styleId="Heading2Char">
    <w:name w:val="Heading 2 Char"/>
    <w:basedOn w:val="DefaultParagraphFont"/>
    <w:link w:val="Heading2"/>
    <w:uiPriority w:val="9"/>
    <w:rsid w:val="00E328C1"/>
    <w:rPr>
      <w:rFonts w:ascii="Arial" w:hAnsi="Arial" w:cs="Arial"/>
      <w:b/>
    </w:rPr>
  </w:style>
  <w:style w:type="character" w:styleId="Hyperlink">
    <w:name w:val="Hyperlink"/>
    <w:basedOn w:val="DefaultParagraphFont"/>
    <w:uiPriority w:val="99"/>
    <w:unhideWhenUsed/>
    <w:rsid w:val="00AC4370"/>
    <w:rPr>
      <w:color w:val="0563C1" w:themeColor="hyperlink"/>
      <w:u w:val="single"/>
    </w:rPr>
  </w:style>
  <w:style w:type="paragraph" w:styleId="ListParagraph">
    <w:name w:val="List Paragraph"/>
    <w:basedOn w:val="Normal"/>
    <w:uiPriority w:val="34"/>
    <w:qFormat/>
    <w:rsid w:val="007674D8"/>
    <w:pPr>
      <w:ind w:left="720"/>
      <w:contextualSpacing/>
    </w:pPr>
  </w:style>
  <w:style w:type="character" w:styleId="CommentReference">
    <w:name w:val="annotation reference"/>
    <w:basedOn w:val="DefaultParagraphFont"/>
    <w:uiPriority w:val="99"/>
    <w:semiHidden/>
    <w:unhideWhenUsed/>
    <w:rsid w:val="004F7D26"/>
    <w:rPr>
      <w:sz w:val="16"/>
      <w:szCs w:val="16"/>
    </w:rPr>
  </w:style>
  <w:style w:type="paragraph" w:styleId="CommentText">
    <w:name w:val="annotation text"/>
    <w:basedOn w:val="Normal"/>
    <w:link w:val="CommentTextChar"/>
    <w:uiPriority w:val="99"/>
    <w:semiHidden/>
    <w:unhideWhenUsed/>
    <w:rsid w:val="004F7D26"/>
    <w:pPr>
      <w:spacing w:line="240" w:lineRule="auto"/>
    </w:pPr>
    <w:rPr>
      <w:sz w:val="20"/>
      <w:szCs w:val="20"/>
    </w:rPr>
  </w:style>
  <w:style w:type="character" w:customStyle="1" w:styleId="CommentTextChar">
    <w:name w:val="Comment Text Char"/>
    <w:basedOn w:val="DefaultParagraphFont"/>
    <w:link w:val="CommentText"/>
    <w:uiPriority w:val="99"/>
    <w:semiHidden/>
    <w:rsid w:val="004F7D26"/>
    <w:rPr>
      <w:sz w:val="20"/>
      <w:szCs w:val="20"/>
    </w:rPr>
  </w:style>
  <w:style w:type="paragraph" w:styleId="CommentSubject">
    <w:name w:val="annotation subject"/>
    <w:basedOn w:val="CommentText"/>
    <w:next w:val="CommentText"/>
    <w:link w:val="CommentSubjectChar"/>
    <w:uiPriority w:val="99"/>
    <w:semiHidden/>
    <w:unhideWhenUsed/>
    <w:rsid w:val="004F7D26"/>
    <w:rPr>
      <w:b/>
      <w:bCs/>
    </w:rPr>
  </w:style>
  <w:style w:type="character" w:customStyle="1" w:styleId="CommentSubjectChar">
    <w:name w:val="Comment Subject Char"/>
    <w:basedOn w:val="CommentTextChar"/>
    <w:link w:val="CommentSubject"/>
    <w:uiPriority w:val="99"/>
    <w:semiHidden/>
    <w:rsid w:val="004F7D26"/>
    <w:rPr>
      <w:b/>
      <w:bCs/>
      <w:sz w:val="20"/>
      <w:szCs w:val="20"/>
    </w:rPr>
  </w:style>
  <w:style w:type="paragraph" w:styleId="BalloonText">
    <w:name w:val="Balloon Text"/>
    <w:basedOn w:val="Normal"/>
    <w:link w:val="BalloonTextChar"/>
    <w:uiPriority w:val="99"/>
    <w:semiHidden/>
    <w:unhideWhenUsed/>
    <w:rsid w:val="004F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2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F2E33"/>
    <w:rPr>
      <w:color w:val="605E5C"/>
      <w:shd w:val="clear" w:color="auto" w:fill="E1DFDD"/>
    </w:rPr>
  </w:style>
  <w:style w:type="paragraph" w:styleId="Header">
    <w:name w:val="header"/>
    <w:basedOn w:val="Normal"/>
    <w:link w:val="HeaderChar"/>
    <w:uiPriority w:val="99"/>
    <w:unhideWhenUsed/>
    <w:rsid w:val="007A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36"/>
  </w:style>
  <w:style w:type="paragraph" w:styleId="Footer">
    <w:name w:val="footer"/>
    <w:basedOn w:val="Normal"/>
    <w:link w:val="FooterChar"/>
    <w:uiPriority w:val="99"/>
    <w:unhideWhenUsed/>
    <w:rsid w:val="007A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36"/>
  </w:style>
  <w:style w:type="character" w:customStyle="1" w:styleId="Heading1Char">
    <w:name w:val="Heading 1 Char"/>
    <w:basedOn w:val="DefaultParagraphFont"/>
    <w:link w:val="Heading1"/>
    <w:uiPriority w:val="9"/>
    <w:rsid w:val="00E328C1"/>
    <w:rPr>
      <w:rFonts w:ascii="Arial" w:eastAsiaTheme="majorEastAsia" w:hAnsi="Arial" w:cs="Arial"/>
      <w:sz w:val="36"/>
      <w:lang w:val="en-US"/>
    </w:rPr>
  </w:style>
  <w:style w:type="character" w:customStyle="1" w:styleId="Heading3Char">
    <w:name w:val="Heading 3 Char"/>
    <w:basedOn w:val="DefaultParagraphFont"/>
    <w:link w:val="Heading3"/>
    <w:uiPriority w:val="9"/>
    <w:semiHidden/>
    <w:rsid w:val="00E328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328C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E328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328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328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28C1"/>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805375"/>
    <w:rPr>
      <w:color w:val="605E5C"/>
      <w:shd w:val="clear" w:color="auto" w:fill="E1DFDD"/>
    </w:rPr>
  </w:style>
  <w:style w:type="paragraph" w:styleId="Revision">
    <w:name w:val="Revision"/>
    <w:hidden/>
    <w:uiPriority w:val="99"/>
    <w:semiHidden/>
    <w:rsid w:val="00CE5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icregulations@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regulations@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D3DA-2A73-4C9F-8F44-802DD9FD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2019-07-11T10:40:00Z</dcterms:created>
  <dcterms:modified xsi:type="dcterms:W3CDTF">2019-07-11T10:40:00Z</dcterms:modified>
</cp:coreProperties>
</file>