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B0" w:rsidRPr="001A72B0" w:rsidRDefault="001A72B0" w:rsidP="001A72B0">
      <w:pPr>
        <w:keepNext/>
        <w:keepLines/>
        <w:spacing w:before="480" w:after="0"/>
        <w:outlineLvl w:val="0"/>
        <w:rPr>
          <w:rFonts w:ascii="Times New Roman" w:hAnsi="Times New Roman" w:cs="Times New Roman"/>
          <w:bCs/>
          <w:sz w:val="40"/>
          <w:szCs w:val="40"/>
          <w:lang w:eastAsia="en-US"/>
        </w:rPr>
      </w:pPr>
      <w:r w:rsidRPr="001A72B0">
        <w:rPr>
          <w:rFonts w:ascii="Times New Roman" w:hAnsi="Times New Roman" w:cs="Times New Roman"/>
          <w:bCs/>
          <w:sz w:val="40"/>
          <w:szCs w:val="40"/>
          <w:lang w:eastAsia="en-US"/>
        </w:rPr>
        <w:t>A Game theoretical approach for CCS infrastructure design</w:t>
      </w:r>
    </w:p>
    <w:p w:rsidR="00DE61BE" w:rsidRPr="00DE61BE" w:rsidRDefault="00DE61BE" w:rsidP="00DE61BE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sz w:val="20"/>
          <w:szCs w:val="20"/>
          <w:lang w:val="it-IT" w:eastAsia="en-US"/>
        </w:rPr>
      </w:pPr>
      <w:bookmarkStart w:id="0" w:name="_GoBack"/>
      <w:bookmarkEnd w:id="0"/>
      <w:r w:rsidRPr="00DE61BE">
        <w:rPr>
          <w:rFonts w:ascii="Times New Roman" w:eastAsia="SimSun" w:hAnsi="Times New Roman" w:cs="Times New Roman"/>
          <w:sz w:val="20"/>
          <w:szCs w:val="20"/>
          <w:lang w:val="it-IT" w:eastAsia="en-US"/>
        </w:rPr>
        <w:t>Di Zhang</w:t>
      </w:r>
      <w:r w:rsidRPr="00DE61BE">
        <w:rPr>
          <w:rFonts w:eastAsiaTheme="minorHAnsi"/>
          <w:vertAlign w:val="superscript"/>
          <w:lang w:eastAsia="en-US"/>
        </w:rPr>
        <w:t>a</w:t>
      </w:r>
      <w:r w:rsidRPr="00DE61BE">
        <w:rPr>
          <w:rFonts w:ascii="Times New Roman" w:eastAsia="SimSun" w:hAnsi="Times New Roman" w:cs="Times New Roman"/>
          <w:sz w:val="20"/>
          <w:szCs w:val="20"/>
          <w:lang w:val="it-IT" w:eastAsia="en-US"/>
        </w:rPr>
        <w:t>, Yousef Alhorr</w:t>
      </w:r>
      <w:r w:rsidRPr="00DE61BE">
        <w:rPr>
          <w:rFonts w:eastAsiaTheme="minorHAnsi"/>
          <w:vertAlign w:val="superscript"/>
          <w:lang w:eastAsia="en-US"/>
        </w:rPr>
        <w:t>b</w:t>
      </w:r>
      <w:r w:rsidRPr="00DE61BE">
        <w:rPr>
          <w:rFonts w:ascii="Times New Roman" w:eastAsia="SimSun" w:hAnsi="Times New Roman" w:cs="Times New Roman"/>
          <w:sz w:val="20"/>
          <w:szCs w:val="20"/>
          <w:lang w:val="it-IT" w:eastAsia="en-US"/>
        </w:rPr>
        <w:t>, Esam Elsarrag</w:t>
      </w:r>
      <w:r w:rsidRPr="00DE61BE">
        <w:rPr>
          <w:rFonts w:eastAsiaTheme="minorHAnsi"/>
          <w:vertAlign w:val="superscript"/>
          <w:lang w:eastAsia="en-US"/>
        </w:rPr>
        <w:t>b</w:t>
      </w:r>
      <w:r w:rsidRPr="00DE61BE">
        <w:rPr>
          <w:rFonts w:ascii="Times New Roman" w:eastAsia="SimSun" w:hAnsi="Times New Roman" w:cs="Times New Roman"/>
          <w:sz w:val="20"/>
          <w:szCs w:val="20"/>
          <w:lang w:val="it-IT" w:eastAsia="en-US"/>
        </w:rPr>
        <w:t xml:space="preserve">, </w:t>
      </w:r>
      <w:r w:rsidRPr="00DE61BE">
        <w:rPr>
          <w:rFonts w:ascii="Times New Roman" w:eastAsia="SimSun" w:hAnsi="Times New Roman" w:cs="Times New Roman"/>
          <w:sz w:val="20"/>
          <w:szCs w:val="20"/>
          <w:lang w:val="en-US" w:eastAsia="en-US"/>
        </w:rPr>
        <w:t xml:space="preserve">Abdul Hamid </w:t>
      </w:r>
      <w:proofErr w:type="spellStart"/>
      <w:r w:rsidRPr="00DE61BE">
        <w:rPr>
          <w:rFonts w:ascii="Times New Roman" w:eastAsia="SimSun" w:hAnsi="Times New Roman" w:cs="Times New Roman"/>
          <w:sz w:val="20"/>
          <w:szCs w:val="20"/>
          <w:lang w:val="en-US" w:eastAsia="en-US"/>
        </w:rPr>
        <w:t>Marafia</w:t>
      </w:r>
      <w:proofErr w:type="spellEnd"/>
      <w:r w:rsidRPr="00DE61BE">
        <w:rPr>
          <w:rFonts w:eastAsiaTheme="minorHAnsi"/>
          <w:vertAlign w:val="superscript"/>
          <w:lang w:eastAsia="en-US"/>
        </w:rPr>
        <w:t>b</w:t>
      </w:r>
      <w:r w:rsidRPr="00DE61BE">
        <w:rPr>
          <w:rFonts w:ascii="Times New Roman" w:eastAsia="SimSun" w:hAnsi="Times New Roman" w:cs="Times New Roman"/>
          <w:sz w:val="20"/>
          <w:szCs w:val="20"/>
          <w:lang w:val="en-US" w:eastAsia="en-US"/>
        </w:rPr>
        <w:t xml:space="preserve"> , </w:t>
      </w:r>
      <w:r w:rsidRPr="00DE61BE">
        <w:rPr>
          <w:rFonts w:ascii="Times New Roman" w:eastAsia="SimSun" w:hAnsi="Times New Roman" w:cs="Times New Roman"/>
          <w:sz w:val="20"/>
          <w:szCs w:val="20"/>
          <w:lang w:val="it-IT" w:eastAsia="en-US"/>
        </w:rPr>
        <w:t>Paola Lettieri</w:t>
      </w:r>
      <w:r w:rsidRPr="00DE61BE">
        <w:rPr>
          <w:rFonts w:eastAsiaTheme="minorHAnsi"/>
          <w:vertAlign w:val="superscript"/>
          <w:lang w:eastAsia="en-US"/>
        </w:rPr>
        <w:t>a</w:t>
      </w:r>
      <w:r w:rsidRPr="00DE61BE">
        <w:rPr>
          <w:rFonts w:ascii="Times New Roman" w:eastAsia="SimSun" w:hAnsi="Times New Roman" w:cs="Times New Roman"/>
          <w:sz w:val="20"/>
          <w:szCs w:val="20"/>
          <w:lang w:val="it-IT" w:eastAsia="en-US"/>
        </w:rPr>
        <w:t>, Lazaros G. Papageorgiou</w:t>
      </w:r>
      <w:r w:rsidRPr="00DE61BE">
        <w:rPr>
          <w:rFonts w:eastAsiaTheme="minorHAnsi"/>
          <w:vertAlign w:val="superscript"/>
          <w:lang w:eastAsia="en-US"/>
        </w:rPr>
        <w:t>a</w:t>
      </w:r>
    </w:p>
    <w:p w:rsidR="00DE61BE" w:rsidRPr="00DE61BE" w:rsidRDefault="00DE61BE" w:rsidP="00DE61BE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eastAsia="en-GB"/>
        </w:rPr>
      </w:pPr>
      <w:proofErr w:type="gramStart"/>
      <w:r w:rsidRPr="00DE61BE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en-GB"/>
        </w:rPr>
        <w:t>a</w:t>
      </w:r>
      <w:proofErr w:type="gramEnd"/>
      <w:r w:rsidRPr="00DE61BE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en-GB"/>
        </w:rPr>
        <w:t xml:space="preserve"> </w:t>
      </w:r>
      <w:r w:rsidRPr="00DE61BE">
        <w:rPr>
          <w:rFonts w:ascii="Times New Roman" w:eastAsia="SimSun" w:hAnsi="Times New Roman" w:cs="Times New Roman"/>
          <w:i/>
          <w:sz w:val="20"/>
          <w:szCs w:val="20"/>
          <w:lang w:eastAsia="en-GB"/>
        </w:rPr>
        <w:t xml:space="preserve">Centre for Process Systems Engineering, Department of </w:t>
      </w:r>
      <w:r w:rsidRPr="00DE61BE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en-GB"/>
        </w:rPr>
        <w:t xml:space="preserve"> </w:t>
      </w:r>
      <w:r w:rsidRPr="00DE61BE">
        <w:rPr>
          <w:rFonts w:ascii="Times New Roman" w:eastAsia="SimSun" w:hAnsi="Times New Roman" w:cs="Times New Roman"/>
          <w:i/>
          <w:sz w:val="20"/>
          <w:szCs w:val="20"/>
          <w:lang w:eastAsia="en-GB"/>
        </w:rPr>
        <w:t>Chemical Engineering, University College London, London WC1E 7JE, U.K.</w:t>
      </w:r>
    </w:p>
    <w:p w:rsidR="00DE61BE" w:rsidRPr="00DE61BE" w:rsidRDefault="00DE61BE" w:rsidP="00DE61BE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eastAsia="en-GB"/>
        </w:rPr>
      </w:pPr>
      <w:proofErr w:type="gramStart"/>
      <w:r w:rsidRPr="00DE61BE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en-GB"/>
        </w:rPr>
        <w:t>b</w:t>
      </w:r>
      <w:proofErr w:type="gramEnd"/>
      <w:r w:rsidRPr="00DE61BE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en-GB"/>
        </w:rPr>
        <w:t xml:space="preserve"> </w:t>
      </w:r>
      <w:r w:rsidRPr="00DE61BE">
        <w:rPr>
          <w:rFonts w:ascii="Times New Roman" w:eastAsia="SimSun" w:hAnsi="Times New Roman" w:cs="Times New Roman"/>
          <w:i/>
          <w:sz w:val="20"/>
          <w:szCs w:val="20"/>
          <w:lang w:eastAsia="en-GB"/>
        </w:rPr>
        <w:t>Gulf Organisation for Research and Development, Qatar.</w:t>
      </w:r>
    </w:p>
    <w:p w:rsidR="00DE61BE" w:rsidRPr="00DE61BE" w:rsidRDefault="00DE61BE" w:rsidP="00DE61BE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DE61BE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Abstract</w:t>
      </w:r>
    </w:p>
    <w:p w:rsidR="00DE61BE" w:rsidRPr="00DE61BE" w:rsidRDefault="006E4C1C" w:rsidP="00DE61B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Carbon capture and storage (CCS) is recognised as an attractive option for CO</w:t>
      </w:r>
      <w:r w:rsidRPr="00DF4225">
        <w:rPr>
          <w:rFonts w:ascii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abatement on a large scale from centralised energy systems and it enables the continued use of fossil fuels. </w:t>
      </w:r>
      <w:r w:rsidR="00F11F32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The major challenge toward deployment of CCS is its high cost, while carbon trading approach is proposed for emission control from economic incentives.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T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he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emitters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have two options: investing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on CCS 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>systems or buying carbon credits for the excess emissions above their allowances</w:t>
      </w:r>
      <w:r w:rsidR="00B665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[1]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F11F32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Qatar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currently</w:t>
      </w:r>
      <w:r w:rsidR="00F11F32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targets emission reduction by exercising tight controls on gas flaring.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In this work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a mixed integer linear programming (MILP) model is developed for the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fair 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>design of integrated carbon capture, transport and storage infrastructure in Qatar under carbon trading scheme</w:t>
      </w:r>
      <w:r w:rsidR="00B665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based on the work in [2]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The c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ritical carbon credit price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is determined </w:t>
      </w:r>
      <w:r w:rsidR="00DF4225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first between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to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invest on CCS systems or to buy carbon credits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from abroad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Then the fair design of the CCS infrastructure is obtained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by applying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the game theory Nash approach. </w:t>
      </w:r>
      <w:r w:rsidR="00C0580B" w:rsidRPr="00DF4225">
        <w:rPr>
          <w:rFonts w:ascii="Times New Roman" w:hAnsi="Times New Roman" w:cs="Times New Roman"/>
          <w:bCs/>
          <w:sz w:val="24"/>
          <w:szCs w:val="24"/>
          <w:lang w:eastAsia="en-US"/>
        </w:rPr>
        <w:t>Costs is distributed fairly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among power plants in Qatar by selecting the CO</w:t>
      </w:r>
      <w:r w:rsidR="00DE61BE" w:rsidRPr="00DE61BE">
        <w:rPr>
          <w:rFonts w:ascii="Times New Roman" w:eastAsiaTheme="minorHAnsi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="00DE61BE"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resources (power plants) with available capture technologies and materials, designing the transportation pipeline network to connect the resources with the sequestration and/or utilisation sites and determining the carbon trading price and amount among power plants.</w:t>
      </w:r>
      <w:r w:rsidR="00DE61BE" w:rsidRPr="00DE61B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Under </w:t>
      </w:r>
      <w:r w:rsidR="00C0580B">
        <w:rPr>
          <w:rFonts w:ascii="Times New Roman" w:eastAsia="SimSun" w:hAnsi="Times New Roman" w:cs="Times New Roman"/>
          <w:sz w:val="24"/>
          <w:szCs w:val="24"/>
          <w:lang w:eastAsia="en-US"/>
        </w:rPr>
        <w:t>the</w:t>
      </w:r>
      <w:r w:rsidR="00DE61BE" w:rsidRPr="00DE61B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fairness</w:t>
      </w:r>
      <w:r w:rsidR="00C0580B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scenario</w:t>
      </w:r>
      <w:r w:rsidR="00DE61BE" w:rsidRPr="00DE61BE">
        <w:rPr>
          <w:rFonts w:ascii="Times New Roman" w:eastAsia="SimSun" w:hAnsi="Times New Roman" w:cs="Times New Roman"/>
          <w:sz w:val="24"/>
          <w:szCs w:val="24"/>
          <w:lang w:eastAsia="en-US"/>
        </w:rPr>
        <w:t>, the total costs are slightly higher than that from minimising the total cost to obtain the fair cost distribution. It results</w:t>
      </w:r>
      <w:r w:rsidR="00DE61BE" w:rsidRPr="00DE61BE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from the selected carbon trading price and transfer amount between power plants. Power plants with higher CO</w:t>
      </w:r>
      <w:r w:rsidR="00DE61BE" w:rsidRPr="00DE61BE">
        <w:rPr>
          <w:rFonts w:ascii="Times New Roman" w:eastAsia="SimSu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="00DE61BE" w:rsidRPr="00DE61BE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emissions determine to install CCS system, while other power plants buy the carbon credits from domestic or international market to fulfil their carbon allowance requirements. </w:t>
      </w:r>
    </w:p>
    <w:p w:rsidR="00DE61BE" w:rsidRDefault="00DE61BE" w:rsidP="00DE61BE">
      <w:pPr>
        <w:keepNext/>
        <w:keepLines/>
        <w:spacing w:before="480" w:after="0"/>
        <w:outlineLvl w:val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DE61BE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Key words</w:t>
      </w:r>
      <w:r w:rsidRPr="00DE61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</w:t>
      </w:r>
      <w:r w:rsidRPr="00DE61BE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CCS; carbon trading; Game theory; mixed integer linear programming (MILP)</w:t>
      </w:r>
    </w:p>
    <w:p w:rsidR="00DF4225" w:rsidRPr="00DE61BE" w:rsidRDefault="00DF4225" w:rsidP="00DE61BE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DF4225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References:</w:t>
      </w:r>
    </w:p>
    <w:p w:rsidR="00DF4225" w:rsidRPr="00FA4AC2" w:rsidRDefault="00B66554" w:rsidP="00DF4225">
      <w:pPr>
        <w:pStyle w:val="EndNoteBibliograph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 w:rsidR="00DF4225" w:rsidRPr="00FA4AC2">
        <w:rPr>
          <w:rFonts w:ascii="Times New Roman" w:hAnsi="Times New Roman" w:cs="Times New Roman"/>
        </w:rPr>
        <w:t>Chaabane, A., Ramudhin, A., Paquet, M., 2012. Design of sustainable supply chains under the emission trading scheme. International Journal of Production Economics 135, 37-49.</w:t>
      </w:r>
    </w:p>
    <w:p w:rsidR="00DF4225" w:rsidRPr="00FA4AC2" w:rsidRDefault="00B66554" w:rsidP="00DF4225">
      <w:pPr>
        <w:pStyle w:val="EndNoteBibliograph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[2] </w:t>
      </w:r>
      <w:r w:rsidR="00DF4225" w:rsidRPr="00FA4AC2">
        <w:rPr>
          <w:rFonts w:ascii="Times New Roman" w:hAnsi="Times New Roman" w:cs="Times New Roman"/>
        </w:rPr>
        <w:t>Hasan, M.M.F., Boukouvala, F., First, E.L., Floudas, C.A., 2014. Nationwide, Regional, and Statewide CO2 Capture, Utilization, and Sequestration Supply Chain Network Optimization. Industrial &amp; Engineering Chemistry Research 53, 7489-7506.</w:t>
      </w:r>
    </w:p>
    <w:p w:rsidR="001C526B" w:rsidRDefault="001C526B"/>
    <w:sectPr w:rsidR="001C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E"/>
    <w:rsid w:val="001A72B0"/>
    <w:rsid w:val="001C526B"/>
    <w:rsid w:val="004F0DFC"/>
    <w:rsid w:val="005E53E8"/>
    <w:rsid w:val="006E4C1C"/>
    <w:rsid w:val="00B66554"/>
    <w:rsid w:val="00C0580B"/>
    <w:rsid w:val="00DE61BE"/>
    <w:rsid w:val="00DF4225"/>
    <w:rsid w:val="00F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F4225"/>
    <w:pPr>
      <w:spacing w:line="240" w:lineRule="auto"/>
      <w:jc w:val="both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4225"/>
    <w:rPr>
      <w:rFonts w:ascii="Calibri" w:eastAsiaTheme="minorHAnsi" w:hAnsi="Calibri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F4225"/>
    <w:pPr>
      <w:spacing w:line="240" w:lineRule="auto"/>
      <w:jc w:val="both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4225"/>
    <w:rPr>
      <w:rFonts w:ascii="Calibri" w:eastAsiaTheme="minorHAnsi" w:hAnsi="Calibri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 Engineering</dc:creator>
  <cp:lastModifiedBy>Chemical Engineering</cp:lastModifiedBy>
  <cp:revision>7</cp:revision>
  <dcterms:created xsi:type="dcterms:W3CDTF">2016-05-16T11:12:00Z</dcterms:created>
  <dcterms:modified xsi:type="dcterms:W3CDTF">2016-05-17T08:55:00Z</dcterms:modified>
</cp:coreProperties>
</file>